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宋体" w:hAnsi="宋体"/>
          <w:b/>
          <w:sz w:val="44"/>
          <w:szCs w:val="44"/>
        </w:rPr>
      </w:pPr>
    </w:p>
    <w:p>
      <w:pPr>
        <w:spacing w:line="0" w:lineRule="atLeast"/>
        <w:jc w:val="center"/>
        <w:rPr>
          <w:rFonts w:ascii="宋体" w:hAnsi="宋体"/>
          <w:b/>
          <w:spacing w:val="-11"/>
          <w:sz w:val="48"/>
          <w:szCs w:val="48"/>
        </w:rPr>
      </w:pPr>
    </w:p>
    <w:p>
      <w:pPr>
        <w:jc w:val="center"/>
        <w:rPr>
          <w:rFonts w:hint="eastAsia" w:ascii="宋体" w:hAnsi="宋体" w:eastAsia="宋体"/>
          <w:b/>
          <w:sz w:val="52"/>
          <w:szCs w:val="52"/>
          <w:lang w:eastAsia="zh-CN"/>
        </w:rPr>
      </w:pPr>
      <w:r>
        <w:rPr>
          <w:rFonts w:hint="eastAsia" w:ascii="宋体" w:hAnsi="宋体"/>
          <w:b/>
          <w:sz w:val="52"/>
          <w:szCs w:val="52"/>
          <w:lang w:eastAsia="zh-CN"/>
        </w:rPr>
        <w:t>桐庐县2022年普通国道养护大中修工程（G320沪瑞线）</w:t>
      </w:r>
    </w:p>
    <w:p>
      <w:pPr>
        <w:pStyle w:val="36"/>
        <w:rPr>
          <w:sz w:val="48"/>
          <w:szCs w:val="48"/>
        </w:rPr>
      </w:pPr>
      <w:r>
        <w:rPr>
          <w:sz w:val="48"/>
          <w:szCs w:val="48"/>
        </w:rPr>
        <w:t>窗体顶端</w:t>
      </w:r>
    </w:p>
    <w:p>
      <w:pPr>
        <w:spacing w:line="600" w:lineRule="exact"/>
        <w:rPr>
          <w:rFonts w:ascii="宋体" w:hAnsi="宋体"/>
          <w:sz w:val="44"/>
          <w:szCs w:val="44"/>
        </w:rPr>
      </w:pPr>
    </w:p>
    <w:p>
      <w:pPr>
        <w:rPr>
          <w:rFonts w:ascii="宋体" w:hAnsi="宋体"/>
          <w:b/>
          <w:sz w:val="84"/>
          <w:szCs w:val="84"/>
        </w:rPr>
      </w:pPr>
    </w:p>
    <w:p>
      <w:pPr>
        <w:jc w:val="center"/>
        <w:rPr>
          <w:rFonts w:ascii="宋体" w:hAnsi="宋体"/>
          <w:b/>
          <w:sz w:val="72"/>
          <w:szCs w:val="72"/>
        </w:rPr>
      </w:pPr>
    </w:p>
    <w:p>
      <w:pPr>
        <w:jc w:val="center"/>
        <w:rPr>
          <w:rFonts w:ascii="宋体" w:hAnsi="宋体"/>
          <w:b/>
          <w:sz w:val="72"/>
          <w:szCs w:val="72"/>
        </w:rPr>
      </w:pPr>
      <w:r>
        <w:rPr>
          <w:rFonts w:hint="eastAsia" w:ascii="宋体" w:hAnsi="宋体"/>
          <w:b/>
          <w:sz w:val="72"/>
          <w:szCs w:val="72"/>
        </w:rPr>
        <w:t>施工招标文件</w:t>
      </w:r>
    </w:p>
    <w:p>
      <w:pPr>
        <w:jc w:val="center"/>
        <w:rPr>
          <w:rFonts w:ascii="宋体" w:hAnsi="宋体"/>
          <w:b/>
          <w:sz w:val="24"/>
        </w:rPr>
      </w:pPr>
    </w:p>
    <w:p>
      <w:pPr>
        <w:spacing w:line="600" w:lineRule="exact"/>
        <w:jc w:val="center"/>
        <w:rPr>
          <w:rFonts w:ascii="宋体" w:hAnsi="宋体"/>
          <w:b/>
          <w:sz w:val="24"/>
        </w:rPr>
      </w:pPr>
      <w:r>
        <w:rPr>
          <w:rFonts w:hint="eastAsia" w:ascii="宋体" w:hAnsi="宋体"/>
          <w:b/>
          <w:sz w:val="24"/>
        </w:rPr>
        <w:t>【招标编号：            】</w:t>
      </w:r>
    </w:p>
    <w:p>
      <w:pPr>
        <w:spacing w:line="600" w:lineRule="exact"/>
        <w:jc w:val="center"/>
        <w:rPr>
          <w:rFonts w:ascii="宋体" w:hAnsi="宋体"/>
          <w:sz w:val="36"/>
          <w:szCs w:val="36"/>
        </w:rPr>
      </w:pPr>
    </w:p>
    <w:p>
      <w:pPr>
        <w:spacing w:line="600" w:lineRule="exact"/>
        <w:rPr>
          <w:rFonts w:ascii="宋体" w:hAnsi="宋体"/>
          <w:szCs w:val="21"/>
        </w:rPr>
      </w:pPr>
    </w:p>
    <w:p>
      <w:pPr>
        <w:spacing w:line="600" w:lineRule="exact"/>
        <w:jc w:val="center"/>
        <w:rPr>
          <w:rFonts w:ascii="宋体" w:hAnsi="宋体"/>
          <w:szCs w:val="21"/>
        </w:rPr>
      </w:pPr>
    </w:p>
    <w:p>
      <w:pPr>
        <w:pStyle w:val="2"/>
        <w:ind w:firstLine="240"/>
      </w:pPr>
    </w:p>
    <w:p>
      <w:pPr>
        <w:pStyle w:val="2"/>
        <w:ind w:firstLine="0" w:firstLineChars="0"/>
        <w:rPr>
          <w:rFonts w:ascii="宋体" w:hAnsi="宋体"/>
          <w:szCs w:val="21"/>
        </w:rPr>
      </w:pPr>
    </w:p>
    <w:p>
      <w:pPr>
        <w:pStyle w:val="2"/>
        <w:ind w:firstLine="240"/>
        <w:rPr>
          <w:rFonts w:ascii="宋体" w:hAnsi="宋体"/>
          <w:szCs w:val="21"/>
        </w:rPr>
      </w:pPr>
    </w:p>
    <w:p>
      <w:pPr>
        <w:pStyle w:val="2"/>
        <w:ind w:firstLine="240"/>
        <w:rPr>
          <w:rFonts w:ascii="宋体" w:hAnsi="宋体"/>
          <w:szCs w:val="21"/>
        </w:rPr>
      </w:pPr>
    </w:p>
    <w:p>
      <w:pPr>
        <w:pStyle w:val="2"/>
        <w:ind w:firstLine="240"/>
        <w:rPr>
          <w:rFonts w:ascii="宋体" w:hAnsi="宋体"/>
          <w:szCs w:val="21"/>
        </w:rPr>
      </w:pPr>
    </w:p>
    <w:p>
      <w:pPr>
        <w:spacing w:line="600" w:lineRule="exact"/>
        <w:rPr>
          <w:rFonts w:ascii="宋体" w:hAnsi="宋体"/>
          <w:szCs w:val="21"/>
        </w:rPr>
      </w:pPr>
    </w:p>
    <w:p>
      <w:pPr>
        <w:spacing w:line="600" w:lineRule="exact"/>
        <w:ind w:firstLine="1928" w:firstLineChars="600"/>
        <w:rPr>
          <w:rFonts w:ascii="宋体" w:hAnsi="宋体"/>
          <w:b/>
          <w:bCs/>
          <w:spacing w:val="174"/>
          <w:sz w:val="32"/>
          <w:szCs w:val="32"/>
        </w:rPr>
      </w:pPr>
      <w:r>
        <w:rPr>
          <w:rFonts w:hint="eastAsia" w:ascii="宋体" w:hAnsi="宋体"/>
          <w:b/>
          <w:bCs/>
          <w:sz w:val="32"/>
          <w:szCs w:val="32"/>
        </w:rPr>
        <w:t>招标单位：</w:t>
      </w:r>
      <w:r>
        <w:rPr>
          <w:rFonts w:hint="eastAsia" w:ascii="宋体" w:hAnsi="宋体"/>
          <w:b/>
          <w:bCs/>
          <w:w w:val="70"/>
          <w:sz w:val="32"/>
          <w:szCs w:val="32"/>
        </w:rPr>
        <w:t>桐庐县公路服务中心、桐庐县交通投资有限公司</w:t>
      </w:r>
    </w:p>
    <w:p>
      <w:pPr>
        <w:spacing w:line="600" w:lineRule="exact"/>
        <w:ind w:firstLine="1928" w:firstLineChars="600"/>
        <w:rPr>
          <w:rFonts w:ascii="宋体" w:hAnsi="宋体"/>
          <w:b/>
          <w:bCs/>
          <w:sz w:val="32"/>
          <w:szCs w:val="32"/>
        </w:rPr>
      </w:pPr>
      <w:r>
        <w:rPr>
          <w:rFonts w:hint="eastAsia" w:ascii="宋体" w:hAnsi="宋体"/>
          <w:b/>
          <w:bCs/>
          <w:sz w:val="32"/>
          <w:szCs w:val="32"/>
        </w:rPr>
        <w:t>代理单位：</w:t>
      </w:r>
      <w:r>
        <w:rPr>
          <w:rFonts w:hint="eastAsia" w:ascii="宋体" w:hAnsi="宋体"/>
          <w:b/>
          <w:bCs/>
          <w:spacing w:val="40"/>
          <w:sz w:val="32"/>
          <w:szCs w:val="32"/>
        </w:rPr>
        <w:t>浙江重阳项目管理有限公</w:t>
      </w:r>
      <w:r>
        <w:rPr>
          <w:rFonts w:hint="eastAsia" w:ascii="宋体" w:hAnsi="宋体"/>
          <w:b/>
          <w:bCs/>
          <w:sz w:val="32"/>
          <w:szCs w:val="32"/>
        </w:rPr>
        <w:t>司</w:t>
      </w:r>
    </w:p>
    <w:p>
      <w:pPr>
        <w:spacing w:line="600" w:lineRule="exact"/>
        <w:jc w:val="center"/>
        <w:rPr>
          <w:rFonts w:ascii="宋体" w:hAnsi="宋体"/>
          <w:b/>
          <w:bCs/>
          <w:sz w:val="32"/>
          <w:szCs w:val="32"/>
        </w:rPr>
      </w:pPr>
      <w:r>
        <w:rPr>
          <w:rFonts w:hint="eastAsia" w:ascii="宋体" w:hAnsi="宋体"/>
          <w:b/>
          <w:bCs/>
          <w:sz w:val="32"/>
          <w:szCs w:val="32"/>
        </w:rPr>
        <w:t>二○二二年三月</w:t>
      </w:r>
    </w:p>
    <w:p>
      <w:pPr>
        <w:spacing w:line="600" w:lineRule="exact"/>
        <w:jc w:val="center"/>
        <w:rPr>
          <w:rFonts w:ascii="宋体" w:hAnsi="宋体"/>
          <w:b/>
          <w:bCs/>
          <w:sz w:val="32"/>
          <w:szCs w:val="32"/>
        </w:rPr>
      </w:pPr>
    </w:p>
    <w:p>
      <w:pPr>
        <w:tabs>
          <w:tab w:val="right" w:leader="dot" w:pos="9060"/>
        </w:tabs>
        <w:ind w:firstLine="2249" w:firstLineChars="800"/>
        <w:rPr>
          <w:rFonts w:asciiTheme="minorEastAsia" w:hAnsiTheme="minorEastAsia" w:eastAsiaTheme="minorEastAsia" w:cstheme="minorEastAsia"/>
          <w:b/>
          <w:bCs/>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417" w:right="1418" w:bottom="1417" w:left="1418" w:header="1021" w:footer="1134" w:gutter="0"/>
          <w:pgNumType w:start="1"/>
          <w:cols w:space="0" w:num="1"/>
          <w:titlePg/>
          <w:docGrid w:linePitch="312" w:charSpace="0"/>
        </w:sectPr>
      </w:pPr>
    </w:p>
    <w:p>
      <w:pPr>
        <w:tabs>
          <w:tab w:val="right" w:leader="dot" w:pos="9060"/>
        </w:tabs>
        <w:ind w:firstLine="3534" w:firstLineChars="800"/>
        <w:rPr>
          <w:rFonts w:asciiTheme="minorEastAsia" w:hAnsiTheme="minorEastAsia" w:eastAsiaTheme="minorEastAsia" w:cstheme="minorEastAsia"/>
          <w:b/>
          <w:bCs/>
          <w:sz w:val="44"/>
          <w:szCs w:val="44"/>
        </w:rPr>
      </w:pPr>
      <w:r>
        <w:rPr>
          <w:rFonts w:hint="eastAsia" w:asciiTheme="minorEastAsia" w:hAnsiTheme="minorEastAsia" w:eastAsiaTheme="minorEastAsia" w:cstheme="minorEastAsia"/>
          <w:b/>
          <w:bCs/>
          <w:sz w:val="44"/>
          <w:szCs w:val="44"/>
        </w:rPr>
        <w:t>说   明</w:t>
      </w:r>
    </w:p>
    <w:p>
      <w:pPr>
        <w:tabs>
          <w:tab w:val="right" w:leader="dot" w:pos="9060"/>
        </w:tabs>
        <w:ind w:firstLine="4216" w:firstLineChars="1500"/>
        <w:rPr>
          <w:rFonts w:asciiTheme="minorEastAsia" w:hAnsiTheme="minorEastAsia" w:eastAsiaTheme="minorEastAsia" w:cstheme="minorEastAsia"/>
          <w:b/>
          <w:bCs/>
          <w:sz w:val="28"/>
          <w:szCs w:val="28"/>
        </w:rPr>
      </w:pPr>
    </w:p>
    <w:p>
      <w:pPr>
        <w:spacing w:line="360" w:lineRule="auto"/>
        <w:ind w:left="120" w:leftChars="57" w:firstLine="360" w:firstLineChars="150"/>
        <w:jc w:val="left"/>
        <w:rPr>
          <w:rFonts w:ascii="宋体" w:hAnsi="宋体"/>
          <w:sz w:val="24"/>
        </w:rPr>
      </w:pPr>
      <w:r>
        <w:rPr>
          <w:rFonts w:hint="eastAsia" w:ascii="宋体" w:hAnsi="宋体"/>
          <w:sz w:val="24"/>
        </w:rPr>
        <w:t>一、</w:t>
      </w:r>
      <w:r>
        <w:rPr>
          <w:rFonts w:hint="eastAsia" w:ascii="宋体" w:hAnsi="宋体" w:cs="宋体"/>
          <w:b/>
          <w:bCs/>
          <w:sz w:val="24"/>
          <w:u w:val="single"/>
          <w:lang w:eastAsia="zh-CN"/>
        </w:rPr>
        <w:t>桐庐县2022年普通国道养护大中修工程（G320沪瑞线）</w:t>
      </w:r>
      <w:r>
        <w:rPr>
          <w:rFonts w:hint="eastAsia" w:ascii="宋体" w:hAnsi="宋体"/>
          <w:sz w:val="24"/>
        </w:rPr>
        <w:t>施工招标文件，以中华人民共和国《标准施工招标文件》（2007 年版）为依据，结合本项目的特点和实际需要引用了 《浙江省公路养护工程施工招标文件范本（2011 年版）》中的 “投标人须知”、“评标办法”、“通用合同条款”正文。</w:t>
      </w:r>
    </w:p>
    <w:p>
      <w:pPr>
        <w:numPr>
          <w:ilvl w:val="255"/>
          <w:numId w:val="0"/>
        </w:numPr>
        <w:spacing w:line="360" w:lineRule="auto"/>
        <w:ind w:left="120" w:leftChars="57" w:firstLine="360" w:firstLineChars="150"/>
        <w:jc w:val="left"/>
        <w:rPr>
          <w:rFonts w:ascii="宋体" w:hAnsi="宋体"/>
          <w:sz w:val="24"/>
        </w:rPr>
      </w:pPr>
      <w:r>
        <w:rPr>
          <w:rFonts w:hint="eastAsia" w:ascii="宋体" w:hAnsi="宋体"/>
          <w:sz w:val="24"/>
        </w:rPr>
        <w:t>二、《标准施工招标文件》中“投标人须知”、“评标办法”、“通用合同条款”、是必须遵循的通用条款和规定，针对本项目的具体特点和实际情况：</w:t>
      </w:r>
    </w:p>
    <w:p>
      <w:pPr>
        <w:numPr>
          <w:ilvl w:val="255"/>
          <w:numId w:val="0"/>
        </w:numPr>
        <w:spacing w:line="360" w:lineRule="auto"/>
        <w:ind w:left="120" w:leftChars="57" w:firstLine="360" w:firstLineChars="150"/>
        <w:jc w:val="left"/>
        <w:rPr>
          <w:rFonts w:ascii="宋体" w:hAnsi="宋体"/>
          <w:sz w:val="24"/>
        </w:rPr>
      </w:pPr>
      <w:r>
        <w:rPr>
          <w:rFonts w:hint="eastAsia" w:ascii="宋体" w:hAnsi="宋体"/>
          <w:sz w:val="24"/>
        </w:rPr>
        <w:t>在“投标人须知前附表”和“评标办法前附表”中对“投标人须知” 、 “评标办法”进行了补充、细化。</w:t>
      </w:r>
    </w:p>
    <w:p>
      <w:pPr>
        <w:numPr>
          <w:ilvl w:val="255"/>
          <w:numId w:val="0"/>
        </w:numPr>
        <w:spacing w:line="360" w:lineRule="auto"/>
        <w:ind w:left="120" w:leftChars="57" w:firstLine="360" w:firstLineChars="150"/>
        <w:jc w:val="left"/>
        <w:rPr>
          <w:rFonts w:ascii="宋体" w:hAnsi="宋体"/>
          <w:sz w:val="24"/>
        </w:rPr>
      </w:pPr>
      <w:r>
        <w:rPr>
          <w:rFonts w:hint="eastAsia" w:ascii="宋体" w:hAnsi="宋体"/>
          <w:sz w:val="24"/>
        </w:rPr>
        <w:t>在“项目专用合同条款”中，对“通用合同条款”进行了补充、细化或约定。</w:t>
      </w:r>
    </w:p>
    <w:p>
      <w:pPr>
        <w:numPr>
          <w:ilvl w:val="255"/>
          <w:numId w:val="0"/>
        </w:numPr>
        <w:spacing w:line="360" w:lineRule="auto"/>
        <w:ind w:left="120" w:leftChars="57" w:firstLine="360" w:firstLineChars="150"/>
        <w:jc w:val="left"/>
        <w:rPr>
          <w:rFonts w:ascii="宋体" w:hAnsi="宋体"/>
          <w:sz w:val="24"/>
        </w:rPr>
      </w:pPr>
      <w:r>
        <w:rPr>
          <w:rFonts w:hint="eastAsia" w:ascii="宋体" w:hAnsi="宋体"/>
          <w:sz w:val="24"/>
        </w:rPr>
        <w:t>三、招标文件中的“通用技术规范”直接引用了《浙江省公路养护工程施工招标文件范本（2011 年版）》的技术规范，其内容详见《浙江省公路养护工程施工招标文件范本（2011 年版）》 。</w:t>
      </w:r>
    </w:p>
    <w:p>
      <w:pPr>
        <w:numPr>
          <w:ilvl w:val="255"/>
          <w:numId w:val="0"/>
        </w:numPr>
        <w:spacing w:line="360" w:lineRule="auto"/>
        <w:ind w:left="120" w:leftChars="57" w:firstLine="360" w:firstLineChars="150"/>
        <w:jc w:val="left"/>
        <w:rPr>
          <w:rFonts w:ascii="宋体" w:hAnsi="宋体"/>
          <w:sz w:val="24"/>
        </w:rPr>
      </w:pPr>
      <w:r>
        <w:rPr>
          <w:rFonts w:hint="eastAsia" w:ascii="宋体" w:hAnsi="宋体"/>
          <w:sz w:val="24"/>
        </w:rPr>
        <w:t>根据本项目的具体特点和实际需要，在“项目专用技术规范”中对“通用技术规范”进行了补充和修改。</w:t>
      </w:r>
    </w:p>
    <w:p>
      <w:pPr>
        <w:spacing w:line="360" w:lineRule="auto"/>
        <w:ind w:left="120" w:leftChars="57" w:firstLine="360" w:firstLineChars="150"/>
        <w:jc w:val="left"/>
        <w:rPr>
          <w:rFonts w:ascii="宋体" w:hAnsi="宋体"/>
          <w:sz w:val="24"/>
        </w:rPr>
      </w:pPr>
      <w:r>
        <w:rPr>
          <w:rFonts w:hint="eastAsia" w:ascii="宋体" w:hAnsi="宋体"/>
          <w:sz w:val="24"/>
        </w:rPr>
        <w:t>四、投标人应按招标文件的要求认真编制投标文件，完整地反映招标文件的规定和内容，避免投标文件因不能通过评审而被拒绝。</w:t>
      </w:r>
    </w:p>
    <w:p>
      <w:pPr>
        <w:spacing w:line="360" w:lineRule="auto"/>
        <w:ind w:left="120" w:leftChars="57" w:firstLine="360" w:firstLineChars="150"/>
        <w:jc w:val="left"/>
        <w:rPr>
          <w:rFonts w:ascii="宋体" w:hAnsi="宋体"/>
          <w:sz w:val="24"/>
        </w:rPr>
      </w:pPr>
      <w:r>
        <w:rPr>
          <w:rFonts w:hint="eastAsia" w:ascii="宋体" w:hAnsi="宋体"/>
          <w:sz w:val="24"/>
        </w:rPr>
        <w:t>五、《浙江省公路养护工程施工招标文件范本（2011 年版）》（下册）由投标人自备。</w:t>
      </w:r>
    </w:p>
    <w:p>
      <w:pPr>
        <w:spacing w:line="360" w:lineRule="auto"/>
        <w:ind w:left="120" w:leftChars="57" w:firstLine="420" w:firstLineChars="150"/>
        <w:jc w:val="left"/>
        <w:rPr>
          <w:rFonts w:ascii="宋体" w:hAnsi="宋体"/>
          <w:sz w:val="28"/>
          <w:szCs w:val="28"/>
        </w:rPr>
      </w:pPr>
    </w:p>
    <w:p>
      <w:pPr>
        <w:tabs>
          <w:tab w:val="right" w:leader="dot" w:pos="9060"/>
        </w:tabs>
        <w:rPr>
          <w:rFonts w:eastAsia="楷体_GB2312"/>
          <w:w w:val="150"/>
          <w:sz w:val="52"/>
        </w:rPr>
      </w:pPr>
    </w:p>
    <w:p>
      <w:pPr>
        <w:jc w:val="center"/>
        <w:rPr>
          <w:rFonts w:ascii="宋体" w:hAnsi="宋体"/>
          <w:b/>
          <w:bCs/>
          <w:sz w:val="40"/>
          <w:szCs w:val="48"/>
        </w:rPr>
        <w:sectPr>
          <w:headerReference r:id="rId10" w:type="first"/>
          <w:footerReference r:id="rId12" w:type="first"/>
          <w:headerReference r:id="rId9" w:type="default"/>
          <w:footerReference r:id="rId11" w:type="default"/>
          <w:pgSz w:w="11906" w:h="16838"/>
          <w:pgMar w:top="1417" w:right="1418" w:bottom="1417" w:left="1418" w:header="794" w:footer="1134" w:gutter="0"/>
          <w:pgNumType w:start="1"/>
          <w:cols w:space="0" w:num="1"/>
          <w:titlePg/>
          <w:docGrid w:linePitch="312" w:charSpace="0"/>
        </w:sectPr>
      </w:pPr>
    </w:p>
    <w:p>
      <w:pPr>
        <w:jc w:val="center"/>
        <w:rPr>
          <w:b/>
          <w:bCs/>
          <w:sz w:val="40"/>
          <w:szCs w:val="48"/>
        </w:rPr>
      </w:pPr>
      <w:r>
        <w:rPr>
          <w:rFonts w:ascii="宋体" w:hAnsi="宋体"/>
          <w:b/>
          <w:bCs/>
          <w:sz w:val="40"/>
          <w:szCs w:val="48"/>
        </w:rPr>
        <w:t>目录</w:t>
      </w:r>
    </w:p>
    <w:p>
      <w:pPr>
        <w:pStyle w:val="18"/>
        <w:tabs>
          <w:tab w:val="right" w:leader="dot" w:pos="9070"/>
        </w:tabs>
        <w:spacing w:line="360" w:lineRule="auto"/>
        <w:rPr>
          <w:sz w:val="21"/>
          <w:szCs w:val="21"/>
        </w:rPr>
      </w:pPr>
      <w:r>
        <w:rPr>
          <w:rFonts w:hint="eastAsia"/>
          <w:b w:val="0"/>
          <w:sz w:val="21"/>
          <w:szCs w:val="21"/>
        </w:rPr>
        <w:fldChar w:fldCharType="begin"/>
      </w:r>
      <w:r>
        <w:rPr>
          <w:rFonts w:hint="eastAsia"/>
          <w:b w:val="0"/>
          <w:sz w:val="21"/>
          <w:szCs w:val="21"/>
        </w:rPr>
        <w:instrText xml:space="preserve">TOC \o "1-3" \h \u </w:instrText>
      </w:r>
      <w:r>
        <w:rPr>
          <w:rFonts w:hint="eastAsia"/>
          <w:b w:val="0"/>
          <w:sz w:val="21"/>
          <w:szCs w:val="21"/>
        </w:rPr>
        <w:fldChar w:fldCharType="separate"/>
      </w:r>
      <w:r>
        <w:fldChar w:fldCharType="begin"/>
      </w:r>
      <w:r>
        <w:instrText xml:space="preserve"> HYPERLINK \l "_Toc3416" </w:instrText>
      </w:r>
      <w:r>
        <w:fldChar w:fldCharType="separate"/>
      </w:r>
      <w:r>
        <w:rPr>
          <w:rFonts w:hint="eastAsia" w:ascii="黑体"/>
          <w:bCs w:val="0"/>
          <w:sz w:val="21"/>
          <w:szCs w:val="21"/>
        </w:rPr>
        <w:t>第 一 卷</w:t>
      </w:r>
      <w:r>
        <w:rPr>
          <w:sz w:val="21"/>
          <w:szCs w:val="21"/>
        </w:rPr>
        <w:tab/>
      </w:r>
      <w:r>
        <w:rPr>
          <w:sz w:val="21"/>
          <w:szCs w:val="21"/>
        </w:rPr>
        <w:fldChar w:fldCharType="begin"/>
      </w:r>
      <w:r>
        <w:rPr>
          <w:sz w:val="21"/>
          <w:szCs w:val="21"/>
        </w:rPr>
        <w:instrText xml:space="preserve"> PAGEREF _Toc3416 \h </w:instrText>
      </w:r>
      <w:r>
        <w:rPr>
          <w:sz w:val="21"/>
          <w:szCs w:val="21"/>
        </w:rPr>
        <w:fldChar w:fldCharType="separate"/>
      </w:r>
      <w:r>
        <w:rPr>
          <w:sz w:val="21"/>
          <w:szCs w:val="21"/>
        </w:rPr>
        <w:t>3</w:t>
      </w:r>
      <w:r>
        <w:rPr>
          <w:sz w:val="21"/>
          <w:szCs w:val="21"/>
        </w:rPr>
        <w:fldChar w:fldCharType="end"/>
      </w:r>
      <w:r>
        <w:rPr>
          <w:sz w:val="21"/>
          <w:szCs w:val="21"/>
        </w:rPr>
        <w:fldChar w:fldCharType="end"/>
      </w:r>
    </w:p>
    <w:p>
      <w:pPr>
        <w:pStyle w:val="18"/>
        <w:tabs>
          <w:tab w:val="right" w:leader="dot" w:pos="9070"/>
        </w:tabs>
        <w:spacing w:line="360" w:lineRule="auto"/>
        <w:ind w:firstLine="201" w:firstLineChars="100"/>
        <w:rPr>
          <w:sz w:val="21"/>
          <w:szCs w:val="21"/>
        </w:rPr>
      </w:pPr>
      <w:r>
        <w:fldChar w:fldCharType="begin"/>
      </w:r>
      <w:r>
        <w:instrText xml:space="preserve"> HYPERLINK \l "_Toc23160" </w:instrText>
      </w:r>
      <w:r>
        <w:fldChar w:fldCharType="separate"/>
      </w:r>
      <w:r>
        <w:rPr>
          <w:rFonts w:hint="eastAsia" w:ascii="黑体"/>
          <w:bCs w:val="0"/>
          <w:sz w:val="21"/>
          <w:szCs w:val="21"/>
        </w:rPr>
        <w:t>第一章 招标公告</w:t>
      </w:r>
      <w:r>
        <w:rPr>
          <w:sz w:val="21"/>
          <w:szCs w:val="21"/>
        </w:rPr>
        <w:tab/>
      </w:r>
      <w:r>
        <w:rPr>
          <w:sz w:val="21"/>
          <w:szCs w:val="21"/>
        </w:rPr>
        <w:fldChar w:fldCharType="begin"/>
      </w:r>
      <w:r>
        <w:rPr>
          <w:sz w:val="21"/>
          <w:szCs w:val="21"/>
        </w:rPr>
        <w:instrText xml:space="preserve"> PAGEREF _Toc23160 \h </w:instrText>
      </w:r>
      <w:r>
        <w:rPr>
          <w:sz w:val="21"/>
          <w:szCs w:val="21"/>
        </w:rPr>
        <w:fldChar w:fldCharType="separate"/>
      </w:r>
      <w:r>
        <w:rPr>
          <w:sz w:val="21"/>
          <w:szCs w:val="21"/>
        </w:rPr>
        <w:t>4</w:t>
      </w:r>
      <w:r>
        <w:rPr>
          <w:sz w:val="21"/>
          <w:szCs w:val="21"/>
        </w:rPr>
        <w:fldChar w:fldCharType="end"/>
      </w:r>
      <w:r>
        <w:rPr>
          <w:sz w:val="21"/>
          <w:szCs w:val="21"/>
        </w:rPr>
        <w:fldChar w:fldCharType="end"/>
      </w:r>
    </w:p>
    <w:p>
      <w:pPr>
        <w:pStyle w:val="11"/>
        <w:tabs>
          <w:tab w:val="right" w:leader="dot" w:pos="9070"/>
        </w:tabs>
        <w:spacing w:line="360" w:lineRule="auto"/>
        <w:rPr>
          <w:i w:val="0"/>
          <w:sz w:val="21"/>
          <w:szCs w:val="21"/>
        </w:rPr>
      </w:pPr>
      <w:r>
        <w:fldChar w:fldCharType="begin"/>
      </w:r>
      <w:r>
        <w:instrText xml:space="preserve"> HYPERLINK \l "_Toc7524" </w:instrText>
      </w:r>
      <w:r>
        <w:fldChar w:fldCharType="separate"/>
      </w:r>
      <w:r>
        <w:rPr>
          <w:rFonts w:hint="eastAsia" w:ascii="楷体" w:hAnsi="楷体" w:cs="楷体"/>
          <w:bCs/>
          <w:i w:val="0"/>
          <w:sz w:val="21"/>
          <w:szCs w:val="21"/>
        </w:rPr>
        <w:t>1．招标条件</w:t>
      </w:r>
      <w:r>
        <w:rPr>
          <w:i w:val="0"/>
          <w:sz w:val="21"/>
          <w:szCs w:val="21"/>
        </w:rPr>
        <w:tab/>
      </w:r>
      <w:r>
        <w:rPr>
          <w:i w:val="0"/>
          <w:sz w:val="21"/>
          <w:szCs w:val="21"/>
        </w:rPr>
        <w:fldChar w:fldCharType="begin"/>
      </w:r>
      <w:r>
        <w:rPr>
          <w:i w:val="0"/>
          <w:sz w:val="21"/>
          <w:szCs w:val="21"/>
        </w:rPr>
        <w:instrText xml:space="preserve"> PAGEREF _Toc7524 \h </w:instrText>
      </w:r>
      <w:r>
        <w:rPr>
          <w:i w:val="0"/>
          <w:sz w:val="21"/>
          <w:szCs w:val="21"/>
        </w:rPr>
        <w:fldChar w:fldCharType="separate"/>
      </w:r>
      <w:r>
        <w:rPr>
          <w:i w:val="0"/>
          <w:sz w:val="21"/>
          <w:szCs w:val="21"/>
        </w:rPr>
        <w:t>4</w:t>
      </w:r>
      <w:r>
        <w:rPr>
          <w:i w:val="0"/>
          <w:sz w:val="21"/>
          <w:szCs w:val="21"/>
        </w:rPr>
        <w:fldChar w:fldCharType="end"/>
      </w:r>
      <w:r>
        <w:rPr>
          <w:i w:val="0"/>
          <w:sz w:val="21"/>
          <w:szCs w:val="21"/>
        </w:rPr>
        <w:fldChar w:fldCharType="end"/>
      </w:r>
    </w:p>
    <w:p>
      <w:pPr>
        <w:pStyle w:val="11"/>
        <w:tabs>
          <w:tab w:val="right" w:leader="dot" w:pos="9070"/>
        </w:tabs>
        <w:spacing w:line="360" w:lineRule="auto"/>
        <w:rPr>
          <w:i w:val="0"/>
          <w:sz w:val="21"/>
          <w:szCs w:val="21"/>
        </w:rPr>
      </w:pPr>
      <w:r>
        <w:fldChar w:fldCharType="begin"/>
      </w:r>
      <w:r>
        <w:instrText xml:space="preserve"> HYPERLINK \l "_Toc4389" </w:instrText>
      </w:r>
      <w:r>
        <w:fldChar w:fldCharType="separate"/>
      </w:r>
      <w:r>
        <w:rPr>
          <w:rFonts w:hint="eastAsia" w:ascii="楷体" w:hAnsi="楷体" w:cs="楷体"/>
          <w:bCs/>
          <w:i w:val="0"/>
          <w:sz w:val="21"/>
          <w:szCs w:val="21"/>
        </w:rPr>
        <w:t>2．项目概况与招标范围</w:t>
      </w:r>
      <w:r>
        <w:rPr>
          <w:i w:val="0"/>
          <w:sz w:val="21"/>
          <w:szCs w:val="21"/>
        </w:rPr>
        <w:tab/>
      </w:r>
      <w:r>
        <w:rPr>
          <w:i w:val="0"/>
          <w:sz w:val="21"/>
          <w:szCs w:val="21"/>
        </w:rPr>
        <w:fldChar w:fldCharType="begin"/>
      </w:r>
      <w:r>
        <w:rPr>
          <w:i w:val="0"/>
          <w:sz w:val="21"/>
          <w:szCs w:val="21"/>
        </w:rPr>
        <w:instrText xml:space="preserve"> PAGEREF _Toc4389 \h </w:instrText>
      </w:r>
      <w:r>
        <w:rPr>
          <w:i w:val="0"/>
          <w:sz w:val="21"/>
          <w:szCs w:val="21"/>
        </w:rPr>
        <w:fldChar w:fldCharType="separate"/>
      </w:r>
      <w:r>
        <w:rPr>
          <w:i w:val="0"/>
          <w:sz w:val="21"/>
          <w:szCs w:val="21"/>
        </w:rPr>
        <w:t>4</w:t>
      </w:r>
      <w:r>
        <w:rPr>
          <w:i w:val="0"/>
          <w:sz w:val="21"/>
          <w:szCs w:val="21"/>
        </w:rPr>
        <w:fldChar w:fldCharType="end"/>
      </w:r>
      <w:r>
        <w:rPr>
          <w:i w:val="0"/>
          <w:sz w:val="21"/>
          <w:szCs w:val="21"/>
        </w:rPr>
        <w:fldChar w:fldCharType="end"/>
      </w:r>
    </w:p>
    <w:p>
      <w:pPr>
        <w:pStyle w:val="11"/>
        <w:tabs>
          <w:tab w:val="right" w:leader="dot" w:pos="9070"/>
        </w:tabs>
        <w:spacing w:line="360" w:lineRule="auto"/>
        <w:rPr>
          <w:i w:val="0"/>
          <w:sz w:val="21"/>
          <w:szCs w:val="21"/>
        </w:rPr>
      </w:pPr>
      <w:r>
        <w:fldChar w:fldCharType="begin"/>
      </w:r>
      <w:r>
        <w:instrText xml:space="preserve"> HYPERLINK \l "_Toc12428" </w:instrText>
      </w:r>
      <w:r>
        <w:fldChar w:fldCharType="separate"/>
      </w:r>
      <w:r>
        <w:rPr>
          <w:rFonts w:hint="eastAsia" w:ascii="楷体" w:hAnsi="楷体" w:cs="楷体"/>
          <w:bCs/>
          <w:i w:val="0"/>
          <w:sz w:val="21"/>
          <w:szCs w:val="21"/>
        </w:rPr>
        <w:t>3. 投标人资格要求</w:t>
      </w:r>
      <w:r>
        <w:rPr>
          <w:i w:val="0"/>
          <w:sz w:val="21"/>
          <w:szCs w:val="21"/>
        </w:rPr>
        <w:tab/>
      </w:r>
      <w:r>
        <w:rPr>
          <w:i w:val="0"/>
          <w:sz w:val="21"/>
          <w:szCs w:val="21"/>
        </w:rPr>
        <w:fldChar w:fldCharType="begin"/>
      </w:r>
      <w:r>
        <w:rPr>
          <w:i w:val="0"/>
          <w:sz w:val="21"/>
          <w:szCs w:val="21"/>
        </w:rPr>
        <w:instrText xml:space="preserve"> PAGEREF _Toc12428 \h </w:instrText>
      </w:r>
      <w:r>
        <w:rPr>
          <w:i w:val="0"/>
          <w:sz w:val="21"/>
          <w:szCs w:val="21"/>
        </w:rPr>
        <w:fldChar w:fldCharType="separate"/>
      </w:r>
      <w:r>
        <w:rPr>
          <w:i w:val="0"/>
          <w:sz w:val="21"/>
          <w:szCs w:val="21"/>
        </w:rPr>
        <w:t>4</w:t>
      </w:r>
      <w:r>
        <w:rPr>
          <w:i w:val="0"/>
          <w:sz w:val="21"/>
          <w:szCs w:val="21"/>
        </w:rPr>
        <w:fldChar w:fldCharType="end"/>
      </w:r>
      <w:r>
        <w:rPr>
          <w:i w:val="0"/>
          <w:sz w:val="21"/>
          <w:szCs w:val="21"/>
        </w:rPr>
        <w:fldChar w:fldCharType="end"/>
      </w:r>
    </w:p>
    <w:p>
      <w:pPr>
        <w:pStyle w:val="11"/>
        <w:tabs>
          <w:tab w:val="right" w:leader="dot" w:pos="9070"/>
        </w:tabs>
        <w:spacing w:line="360" w:lineRule="auto"/>
        <w:rPr>
          <w:i w:val="0"/>
          <w:sz w:val="21"/>
          <w:szCs w:val="21"/>
        </w:rPr>
      </w:pPr>
      <w:r>
        <w:fldChar w:fldCharType="begin"/>
      </w:r>
      <w:r>
        <w:instrText xml:space="preserve"> HYPERLINK \l "_Toc18696" </w:instrText>
      </w:r>
      <w:r>
        <w:fldChar w:fldCharType="separate"/>
      </w:r>
      <w:r>
        <w:rPr>
          <w:rFonts w:hint="eastAsia" w:ascii="楷体" w:hAnsi="楷体" w:cs="楷体"/>
          <w:bCs/>
          <w:i w:val="0"/>
          <w:sz w:val="21"/>
          <w:szCs w:val="21"/>
        </w:rPr>
        <w:t>4．招标文件的获取</w:t>
      </w:r>
      <w:r>
        <w:rPr>
          <w:i w:val="0"/>
          <w:sz w:val="21"/>
          <w:szCs w:val="21"/>
        </w:rPr>
        <w:tab/>
      </w:r>
      <w:r>
        <w:rPr>
          <w:i w:val="0"/>
          <w:sz w:val="21"/>
          <w:szCs w:val="21"/>
        </w:rPr>
        <w:fldChar w:fldCharType="begin"/>
      </w:r>
      <w:r>
        <w:rPr>
          <w:i w:val="0"/>
          <w:sz w:val="21"/>
          <w:szCs w:val="21"/>
        </w:rPr>
        <w:instrText xml:space="preserve"> PAGEREF _Toc18696 \h </w:instrText>
      </w:r>
      <w:r>
        <w:rPr>
          <w:i w:val="0"/>
          <w:sz w:val="21"/>
          <w:szCs w:val="21"/>
        </w:rPr>
        <w:fldChar w:fldCharType="separate"/>
      </w:r>
      <w:r>
        <w:rPr>
          <w:i w:val="0"/>
          <w:sz w:val="21"/>
          <w:szCs w:val="21"/>
        </w:rPr>
        <w:t>5</w:t>
      </w:r>
      <w:r>
        <w:rPr>
          <w:i w:val="0"/>
          <w:sz w:val="21"/>
          <w:szCs w:val="21"/>
        </w:rPr>
        <w:fldChar w:fldCharType="end"/>
      </w:r>
      <w:r>
        <w:rPr>
          <w:i w:val="0"/>
          <w:sz w:val="21"/>
          <w:szCs w:val="21"/>
        </w:rPr>
        <w:fldChar w:fldCharType="end"/>
      </w:r>
    </w:p>
    <w:p>
      <w:pPr>
        <w:pStyle w:val="11"/>
        <w:tabs>
          <w:tab w:val="right" w:leader="dot" w:pos="9070"/>
        </w:tabs>
        <w:spacing w:line="360" w:lineRule="auto"/>
        <w:rPr>
          <w:i w:val="0"/>
          <w:sz w:val="21"/>
          <w:szCs w:val="21"/>
        </w:rPr>
      </w:pPr>
      <w:r>
        <w:fldChar w:fldCharType="begin"/>
      </w:r>
      <w:r>
        <w:instrText xml:space="preserve"> HYPERLINK \l "_Toc10092" </w:instrText>
      </w:r>
      <w:r>
        <w:fldChar w:fldCharType="separate"/>
      </w:r>
      <w:r>
        <w:rPr>
          <w:rFonts w:hint="eastAsia" w:ascii="楷体" w:hAnsi="楷体" w:cs="楷体"/>
          <w:bCs/>
          <w:i w:val="0"/>
          <w:sz w:val="21"/>
          <w:szCs w:val="21"/>
        </w:rPr>
        <w:t>5．投标文件的提交</w:t>
      </w:r>
      <w:r>
        <w:rPr>
          <w:i w:val="0"/>
          <w:sz w:val="21"/>
          <w:szCs w:val="21"/>
        </w:rPr>
        <w:tab/>
      </w:r>
      <w:r>
        <w:rPr>
          <w:i w:val="0"/>
          <w:sz w:val="21"/>
          <w:szCs w:val="21"/>
        </w:rPr>
        <w:fldChar w:fldCharType="begin"/>
      </w:r>
      <w:r>
        <w:rPr>
          <w:i w:val="0"/>
          <w:sz w:val="21"/>
          <w:szCs w:val="21"/>
        </w:rPr>
        <w:instrText xml:space="preserve"> PAGEREF _Toc10092 \h </w:instrText>
      </w:r>
      <w:r>
        <w:rPr>
          <w:i w:val="0"/>
          <w:sz w:val="21"/>
          <w:szCs w:val="21"/>
        </w:rPr>
        <w:fldChar w:fldCharType="separate"/>
      </w:r>
      <w:r>
        <w:rPr>
          <w:i w:val="0"/>
          <w:sz w:val="21"/>
          <w:szCs w:val="21"/>
        </w:rPr>
        <w:t>5</w:t>
      </w:r>
      <w:r>
        <w:rPr>
          <w:i w:val="0"/>
          <w:sz w:val="21"/>
          <w:szCs w:val="21"/>
        </w:rPr>
        <w:fldChar w:fldCharType="end"/>
      </w:r>
      <w:r>
        <w:rPr>
          <w:i w:val="0"/>
          <w:sz w:val="21"/>
          <w:szCs w:val="21"/>
        </w:rPr>
        <w:fldChar w:fldCharType="end"/>
      </w:r>
    </w:p>
    <w:p>
      <w:pPr>
        <w:pStyle w:val="11"/>
        <w:tabs>
          <w:tab w:val="right" w:leader="dot" w:pos="9070"/>
        </w:tabs>
        <w:spacing w:line="360" w:lineRule="auto"/>
        <w:rPr>
          <w:i w:val="0"/>
          <w:sz w:val="21"/>
          <w:szCs w:val="21"/>
        </w:rPr>
      </w:pPr>
      <w:r>
        <w:fldChar w:fldCharType="begin"/>
      </w:r>
      <w:r>
        <w:instrText xml:space="preserve"> HYPERLINK \l "_Toc12518" </w:instrText>
      </w:r>
      <w:r>
        <w:fldChar w:fldCharType="separate"/>
      </w:r>
      <w:r>
        <w:rPr>
          <w:rFonts w:hint="eastAsia" w:ascii="楷体" w:hAnsi="楷体" w:cs="楷体"/>
          <w:i w:val="0"/>
          <w:sz w:val="21"/>
          <w:szCs w:val="21"/>
        </w:rPr>
        <w:t>6．发布公告的媒介</w:t>
      </w:r>
      <w:r>
        <w:rPr>
          <w:i w:val="0"/>
          <w:sz w:val="21"/>
          <w:szCs w:val="21"/>
        </w:rPr>
        <w:tab/>
      </w:r>
      <w:r>
        <w:rPr>
          <w:i w:val="0"/>
          <w:sz w:val="21"/>
          <w:szCs w:val="21"/>
        </w:rPr>
        <w:fldChar w:fldCharType="begin"/>
      </w:r>
      <w:r>
        <w:rPr>
          <w:i w:val="0"/>
          <w:sz w:val="21"/>
          <w:szCs w:val="21"/>
        </w:rPr>
        <w:instrText xml:space="preserve"> PAGEREF _Toc12518 \h </w:instrText>
      </w:r>
      <w:r>
        <w:rPr>
          <w:i w:val="0"/>
          <w:sz w:val="21"/>
          <w:szCs w:val="21"/>
        </w:rPr>
        <w:fldChar w:fldCharType="separate"/>
      </w:r>
      <w:r>
        <w:rPr>
          <w:i w:val="0"/>
          <w:sz w:val="21"/>
          <w:szCs w:val="21"/>
        </w:rPr>
        <w:t>6</w:t>
      </w:r>
      <w:r>
        <w:rPr>
          <w:i w:val="0"/>
          <w:sz w:val="21"/>
          <w:szCs w:val="21"/>
        </w:rPr>
        <w:fldChar w:fldCharType="end"/>
      </w:r>
      <w:r>
        <w:rPr>
          <w:i w:val="0"/>
          <w:sz w:val="21"/>
          <w:szCs w:val="21"/>
        </w:rPr>
        <w:fldChar w:fldCharType="end"/>
      </w:r>
    </w:p>
    <w:p>
      <w:pPr>
        <w:pStyle w:val="11"/>
        <w:tabs>
          <w:tab w:val="right" w:leader="dot" w:pos="9070"/>
        </w:tabs>
        <w:spacing w:line="360" w:lineRule="auto"/>
        <w:rPr>
          <w:i w:val="0"/>
          <w:sz w:val="21"/>
          <w:szCs w:val="21"/>
        </w:rPr>
      </w:pPr>
      <w:r>
        <w:fldChar w:fldCharType="begin"/>
      </w:r>
      <w:r>
        <w:instrText xml:space="preserve"> HYPERLINK \l "_Toc4603" </w:instrText>
      </w:r>
      <w:r>
        <w:fldChar w:fldCharType="separate"/>
      </w:r>
      <w:r>
        <w:rPr>
          <w:rFonts w:hint="eastAsia" w:ascii="楷体" w:hAnsi="楷体" w:cs="楷体"/>
          <w:i w:val="0"/>
          <w:sz w:val="21"/>
          <w:szCs w:val="21"/>
        </w:rPr>
        <w:t>7．联系方式</w:t>
      </w:r>
      <w:r>
        <w:rPr>
          <w:i w:val="0"/>
          <w:sz w:val="21"/>
          <w:szCs w:val="21"/>
        </w:rPr>
        <w:tab/>
      </w:r>
      <w:r>
        <w:rPr>
          <w:i w:val="0"/>
          <w:sz w:val="21"/>
          <w:szCs w:val="21"/>
        </w:rPr>
        <w:fldChar w:fldCharType="begin"/>
      </w:r>
      <w:r>
        <w:rPr>
          <w:i w:val="0"/>
          <w:sz w:val="21"/>
          <w:szCs w:val="21"/>
        </w:rPr>
        <w:instrText xml:space="preserve"> PAGEREF _Toc4603 \h </w:instrText>
      </w:r>
      <w:r>
        <w:rPr>
          <w:i w:val="0"/>
          <w:sz w:val="21"/>
          <w:szCs w:val="21"/>
        </w:rPr>
        <w:fldChar w:fldCharType="separate"/>
      </w:r>
      <w:r>
        <w:rPr>
          <w:i w:val="0"/>
          <w:sz w:val="21"/>
          <w:szCs w:val="21"/>
        </w:rPr>
        <w:t>6</w:t>
      </w:r>
      <w:r>
        <w:rPr>
          <w:i w:val="0"/>
          <w:sz w:val="21"/>
          <w:szCs w:val="21"/>
        </w:rPr>
        <w:fldChar w:fldCharType="end"/>
      </w:r>
      <w:r>
        <w:rPr>
          <w:i w:val="0"/>
          <w:sz w:val="21"/>
          <w:szCs w:val="21"/>
        </w:rPr>
        <w:fldChar w:fldCharType="end"/>
      </w:r>
    </w:p>
    <w:p>
      <w:pPr>
        <w:pStyle w:val="18"/>
        <w:tabs>
          <w:tab w:val="right" w:leader="dot" w:pos="9070"/>
        </w:tabs>
        <w:spacing w:line="360" w:lineRule="auto"/>
        <w:ind w:firstLine="201" w:firstLineChars="100"/>
        <w:rPr>
          <w:sz w:val="21"/>
          <w:szCs w:val="21"/>
        </w:rPr>
      </w:pPr>
      <w:r>
        <w:fldChar w:fldCharType="begin"/>
      </w:r>
      <w:r>
        <w:instrText xml:space="preserve"> HYPERLINK \l "_Toc29666" </w:instrText>
      </w:r>
      <w:r>
        <w:fldChar w:fldCharType="separate"/>
      </w:r>
      <w:r>
        <w:rPr>
          <w:rFonts w:hint="eastAsia" w:ascii="黑体"/>
          <w:bCs w:val="0"/>
          <w:sz w:val="21"/>
          <w:szCs w:val="21"/>
        </w:rPr>
        <w:t>第二章 投标人须知</w:t>
      </w:r>
      <w:r>
        <w:rPr>
          <w:sz w:val="21"/>
          <w:szCs w:val="21"/>
        </w:rPr>
        <w:tab/>
      </w:r>
      <w:r>
        <w:rPr>
          <w:sz w:val="21"/>
          <w:szCs w:val="21"/>
        </w:rPr>
        <w:fldChar w:fldCharType="begin"/>
      </w:r>
      <w:r>
        <w:rPr>
          <w:sz w:val="21"/>
          <w:szCs w:val="21"/>
        </w:rPr>
        <w:instrText xml:space="preserve"> PAGEREF _Toc29666 \h </w:instrText>
      </w:r>
      <w:r>
        <w:rPr>
          <w:sz w:val="21"/>
          <w:szCs w:val="21"/>
        </w:rPr>
        <w:fldChar w:fldCharType="separate"/>
      </w:r>
      <w:r>
        <w:rPr>
          <w:sz w:val="21"/>
          <w:szCs w:val="21"/>
        </w:rPr>
        <w:t>7</w:t>
      </w:r>
      <w:r>
        <w:rPr>
          <w:sz w:val="21"/>
          <w:szCs w:val="21"/>
        </w:rPr>
        <w:fldChar w:fldCharType="end"/>
      </w:r>
      <w:r>
        <w:rPr>
          <w:sz w:val="21"/>
          <w:szCs w:val="21"/>
        </w:rPr>
        <w:fldChar w:fldCharType="end"/>
      </w:r>
    </w:p>
    <w:p>
      <w:pPr>
        <w:pStyle w:val="11"/>
        <w:tabs>
          <w:tab w:val="right" w:leader="dot" w:pos="9070"/>
        </w:tabs>
        <w:spacing w:line="360" w:lineRule="auto"/>
        <w:rPr>
          <w:rFonts w:ascii="楷体" w:hAnsi="楷体" w:cs="楷体"/>
          <w:i w:val="0"/>
          <w:sz w:val="21"/>
          <w:szCs w:val="21"/>
        </w:rPr>
      </w:pPr>
      <w:r>
        <w:fldChar w:fldCharType="begin"/>
      </w:r>
      <w:r>
        <w:instrText xml:space="preserve"> HYPERLINK \l "_Toc1454" </w:instrText>
      </w:r>
      <w:r>
        <w:fldChar w:fldCharType="separate"/>
      </w:r>
      <w:r>
        <w:rPr>
          <w:rFonts w:hint="eastAsia" w:ascii="楷体" w:hAnsi="楷体" w:cs="楷体"/>
          <w:i w:val="0"/>
          <w:sz w:val="21"/>
          <w:szCs w:val="21"/>
        </w:rPr>
        <w:t>投标人须知前附表</w:t>
      </w:r>
      <w:r>
        <w:rPr>
          <w:rFonts w:hint="eastAsia" w:ascii="楷体" w:hAnsi="楷体" w:cs="楷体"/>
          <w:i w:val="0"/>
          <w:sz w:val="21"/>
          <w:szCs w:val="21"/>
        </w:rPr>
        <w:tab/>
      </w:r>
      <w:r>
        <w:rPr>
          <w:rFonts w:hint="eastAsia" w:ascii="楷体" w:hAnsi="楷体" w:cs="楷体"/>
          <w:i w:val="0"/>
          <w:sz w:val="21"/>
          <w:szCs w:val="21"/>
        </w:rPr>
        <w:fldChar w:fldCharType="begin"/>
      </w:r>
      <w:r>
        <w:rPr>
          <w:rFonts w:hint="eastAsia" w:ascii="楷体" w:hAnsi="楷体" w:cs="楷体"/>
          <w:i w:val="0"/>
          <w:sz w:val="21"/>
          <w:szCs w:val="21"/>
        </w:rPr>
        <w:instrText xml:space="preserve"> PAGEREF _Toc1454 \h </w:instrText>
      </w:r>
      <w:r>
        <w:rPr>
          <w:rFonts w:hint="eastAsia" w:ascii="楷体" w:hAnsi="楷体" w:cs="楷体"/>
          <w:i w:val="0"/>
          <w:sz w:val="21"/>
          <w:szCs w:val="21"/>
        </w:rPr>
        <w:fldChar w:fldCharType="separate"/>
      </w:r>
      <w:r>
        <w:rPr>
          <w:rFonts w:hint="eastAsia" w:ascii="楷体" w:hAnsi="楷体" w:cs="楷体"/>
          <w:i w:val="0"/>
          <w:sz w:val="21"/>
          <w:szCs w:val="21"/>
        </w:rPr>
        <w:t>7</w:t>
      </w:r>
      <w:r>
        <w:rPr>
          <w:rFonts w:hint="eastAsia" w:ascii="楷体" w:hAnsi="楷体" w:cs="楷体"/>
          <w:i w:val="0"/>
          <w:sz w:val="21"/>
          <w:szCs w:val="21"/>
        </w:rPr>
        <w:fldChar w:fldCharType="end"/>
      </w:r>
      <w:r>
        <w:rPr>
          <w:rFonts w:hint="eastAsia" w:ascii="楷体" w:hAnsi="楷体" w:cs="楷体"/>
          <w:i w:val="0"/>
          <w:sz w:val="21"/>
          <w:szCs w:val="21"/>
        </w:rPr>
        <w:fldChar w:fldCharType="end"/>
      </w:r>
    </w:p>
    <w:p>
      <w:pPr>
        <w:pStyle w:val="11"/>
        <w:tabs>
          <w:tab w:val="right" w:leader="dot" w:pos="9070"/>
        </w:tabs>
        <w:spacing w:line="360" w:lineRule="auto"/>
        <w:rPr>
          <w:rFonts w:ascii="楷体" w:hAnsi="楷体" w:cs="楷体"/>
          <w:i w:val="0"/>
          <w:sz w:val="21"/>
          <w:szCs w:val="21"/>
        </w:rPr>
      </w:pPr>
      <w:r>
        <w:fldChar w:fldCharType="begin"/>
      </w:r>
      <w:r>
        <w:instrText xml:space="preserve"> HYPERLINK \l "_Toc5366" </w:instrText>
      </w:r>
      <w:r>
        <w:fldChar w:fldCharType="separate"/>
      </w:r>
      <w:r>
        <w:rPr>
          <w:rFonts w:hint="eastAsia" w:ascii="楷体" w:hAnsi="楷体" w:cs="楷体"/>
          <w:i w:val="0"/>
          <w:sz w:val="21"/>
          <w:szCs w:val="21"/>
        </w:rPr>
        <w:t>1．总则</w:t>
      </w:r>
      <w:r>
        <w:rPr>
          <w:rFonts w:hint="eastAsia" w:ascii="楷体" w:hAnsi="楷体" w:cs="楷体"/>
          <w:i w:val="0"/>
          <w:sz w:val="21"/>
          <w:szCs w:val="21"/>
        </w:rPr>
        <w:tab/>
      </w:r>
      <w:r>
        <w:rPr>
          <w:rFonts w:hint="eastAsia" w:ascii="楷体" w:hAnsi="楷体" w:cs="楷体"/>
          <w:i w:val="0"/>
          <w:sz w:val="21"/>
          <w:szCs w:val="21"/>
        </w:rPr>
        <w:fldChar w:fldCharType="begin"/>
      </w:r>
      <w:r>
        <w:rPr>
          <w:rFonts w:hint="eastAsia" w:ascii="楷体" w:hAnsi="楷体" w:cs="楷体"/>
          <w:i w:val="0"/>
          <w:sz w:val="21"/>
          <w:szCs w:val="21"/>
        </w:rPr>
        <w:instrText xml:space="preserve"> PAGEREF _Toc5366 \h </w:instrText>
      </w:r>
      <w:r>
        <w:rPr>
          <w:rFonts w:hint="eastAsia" w:ascii="楷体" w:hAnsi="楷体" w:cs="楷体"/>
          <w:i w:val="0"/>
          <w:sz w:val="21"/>
          <w:szCs w:val="21"/>
        </w:rPr>
        <w:fldChar w:fldCharType="separate"/>
      </w:r>
      <w:r>
        <w:rPr>
          <w:rFonts w:hint="eastAsia" w:ascii="楷体" w:hAnsi="楷体" w:cs="楷体"/>
          <w:i w:val="0"/>
          <w:sz w:val="21"/>
          <w:szCs w:val="21"/>
        </w:rPr>
        <w:t>21</w:t>
      </w:r>
      <w:r>
        <w:rPr>
          <w:rFonts w:hint="eastAsia" w:ascii="楷体" w:hAnsi="楷体" w:cs="楷体"/>
          <w:i w:val="0"/>
          <w:sz w:val="21"/>
          <w:szCs w:val="21"/>
        </w:rPr>
        <w:fldChar w:fldCharType="end"/>
      </w:r>
      <w:r>
        <w:rPr>
          <w:rFonts w:hint="eastAsia" w:ascii="楷体" w:hAnsi="楷体" w:cs="楷体"/>
          <w:i w:val="0"/>
          <w:sz w:val="21"/>
          <w:szCs w:val="21"/>
        </w:rPr>
        <w:fldChar w:fldCharType="end"/>
      </w:r>
    </w:p>
    <w:p>
      <w:pPr>
        <w:pStyle w:val="11"/>
        <w:tabs>
          <w:tab w:val="right" w:leader="dot" w:pos="9070"/>
        </w:tabs>
        <w:spacing w:line="360" w:lineRule="auto"/>
        <w:rPr>
          <w:rFonts w:ascii="楷体" w:hAnsi="楷体" w:cs="楷体"/>
          <w:i w:val="0"/>
          <w:sz w:val="21"/>
          <w:szCs w:val="21"/>
        </w:rPr>
      </w:pPr>
      <w:r>
        <w:fldChar w:fldCharType="begin"/>
      </w:r>
      <w:r>
        <w:instrText xml:space="preserve"> HYPERLINK \l "_Toc19534" </w:instrText>
      </w:r>
      <w:r>
        <w:fldChar w:fldCharType="separate"/>
      </w:r>
      <w:r>
        <w:rPr>
          <w:rFonts w:hint="eastAsia" w:ascii="楷体" w:hAnsi="楷体" w:cs="楷体"/>
          <w:i w:val="0"/>
          <w:sz w:val="21"/>
          <w:szCs w:val="21"/>
        </w:rPr>
        <w:t>2．招标文件</w:t>
      </w:r>
      <w:r>
        <w:rPr>
          <w:rFonts w:hint="eastAsia" w:ascii="楷体" w:hAnsi="楷体" w:cs="楷体"/>
          <w:i w:val="0"/>
          <w:sz w:val="21"/>
          <w:szCs w:val="21"/>
        </w:rPr>
        <w:tab/>
      </w:r>
      <w:r>
        <w:rPr>
          <w:rFonts w:hint="eastAsia" w:ascii="楷体" w:hAnsi="楷体" w:cs="楷体"/>
          <w:i w:val="0"/>
          <w:sz w:val="21"/>
          <w:szCs w:val="21"/>
        </w:rPr>
        <w:fldChar w:fldCharType="begin"/>
      </w:r>
      <w:r>
        <w:rPr>
          <w:rFonts w:hint="eastAsia" w:ascii="楷体" w:hAnsi="楷体" w:cs="楷体"/>
          <w:i w:val="0"/>
          <w:sz w:val="21"/>
          <w:szCs w:val="21"/>
        </w:rPr>
        <w:instrText xml:space="preserve"> PAGEREF _Toc19534 \h </w:instrText>
      </w:r>
      <w:r>
        <w:rPr>
          <w:rFonts w:hint="eastAsia" w:ascii="楷体" w:hAnsi="楷体" w:cs="楷体"/>
          <w:i w:val="0"/>
          <w:sz w:val="21"/>
          <w:szCs w:val="21"/>
        </w:rPr>
        <w:fldChar w:fldCharType="separate"/>
      </w:r>
      <w:r>
        <w:rPr>
          <w:rFonts w:hint="eastAsia" w:ascii="楷体" w:hAnsi="楷体" w:cs="楷体"/>
          <w:i w:val="0"/>
          <w:sz w:val="21"/>
          <w:szCs w:val="21"/>
        </w:rPr>
        <w:t>24</w:t>
      </w:r>
      <w:r>
        <w:rPr>
          <w:rFonts w:hint="eastAsia" w:ascii="楷体" w:hAnsi="楷体" w:cs="楷体"/>
          <w:i w:val="0"/>
          <w:sz w:val="21"/>
          <w:szCs w:val="21"/>
        </w:rPr>
        <w:fldChar w:fldCharType="end"/>
      </w:r>
      <w:r>
        <w:rPr>
          <w:rFonts w:hint="eastAsia" w:ascii="楷体" w:hAnsi="楷体" w:cs="楷体"/>
          <w:i w:val="0"/>
          <w:sz w:val="21"/>
          <w:szCs w:val="21"/>
        </w:rPr>
        <w:fldChar w:fldCharType="end"/>
      </w:r>
    </w:p>
    <w:p>
      <w:pPr>
        <w:pStyle w:val="11"/>
        <w:tabs>
          <w:tab w:val="right" w:leader="dot" w:pos="9070"/>
        </w:tabs>
        <w:spacing w:line="360" w:lineRule="auto"/>
        <w:rPr>
          <w:rFonts w:ascii="楷体" w:hAnsi="楷体" w:cs="楷体"/>
          <w:i w:val="0"/>
          <w:sz w:val="21"/>
          <w:szCs w:val="21"/>
        </w:rPr>
      </w:pPr>
      <w:r>
        <w:fldChar w:fldCharType="begin"/>
      </w:r>
      <w:r>
        <w:instrText xml:space="preserve"> HYPERLINK \l "_Toc30179" </w:instrText>
      </w:r>
      <w:r>
        <w:fldChar w:fldCharType="separate"/>
      </w:r>
      <w:r>
        <w:rPr>
          <w:rFonts w:hint="eastAsia" w:ascii="楷体" w:hAnsi="楷体" w:cs="楷体"/>
          <w:i w:val="0"/>
          <w:sz w:val="21"/>
          <w:szCs w:val="21"/>
        </w:rPr>
        <w:t>3．投标文件</w:t>
      </w:r>
      <w:r>
        <w:rPr>
          <w:rFonts w:hint="eastAsia" w:ascii="楷体" w:hAnsi="楷体" w:cs="楷体"/>
          <w:i w:val="0"/>
          <w:sz w:val="21"/>
          <w:szCs w:val="21"/>
        </w:rPr>
        <w:tab/>
      </w:r>
      <w:r>
        <w:rPr>
          <w:rFonts w:hint="eastAsia" w:ascii="楷体" w:hAnsi="楷体" w:cs="楷体"/>
          <w:i w:val="0"/>
          <w:sz w:val="21"/>
          <w:szCs w:val="21"/>
        </w:rPr>
        <w:fldChar w:fldCharType="begin"/>
      </w:r>
      <w:r>
        <w:rPr>
          <w:rFonts w:hint="eastAsia" w:ascii="楷体" w:hAnsi="楷体" w:cs="楷体"/>
          <w:i w:val="0"/>
          <w:sz w:val="21"/>
          <w:szCs w:val="21"/>
        </w:rPr>
        <w:instrText xml:space="preserve"> PAGEREF _Toc30179 \h </w:instrText>
      </w:r>
      <w:r>
        <w:rPr>
          <w:rFonts w:hint="eastAsia" w:ascii="楷体" w:hAnsi="楷体" w:cs="楷体"/>
          <w:i w:val="0"/>
          <w:sz w:val="21"/>
          <w:szCs w:val="21"/>
        </w:rPr>
        <w:fldChar w:fldCharType="separate"/>
      </w:r>
      <w:r>
        <w:rPr>
          <w:rFonts w:hint="eastAsia" w:ascii="楷体" w:hAnsi="楷体" w:cs="楷体"/>
          <w:i w:val="0"/>
          <w:sz w:val="21"/>
          <w:szCs w:val="21"/>
        </w:rPr>
        <w:t>25</w:t>
      </w:r>
      <w:r>
        <w:rPr>
          <w:rFonts w:hint="eastAsia" w:ascii="楷体" w:hAnsi="楷体" w:cs="楷体"/>
          <w:i w:val="0"/>
          <w:sz w:val="21"/>
          <w:szCs w:val="21"/>
        </w:rPr>
        <w:fldChar w:fldCharType="end"/>
      </w:r>
      <w:r>
        <w:rPr>
          <w:rFonts w:hint="eastAsia" w:ascii="楷体" w:hAnsi="楷体" w:cs="楷体"/>
          <w:i w:val="0"/>
          <w:sz w:val="21"/>
          <w:szCs w:val="21"/>
        </w:rPr>
        <w:fldChar w:fldCharType="end"/>
      </w:r>
    </w:p>
    <w:p>
      <w:pPr>
        <w:pStyle w:val="11"/>
        <w:tabs>
          <w:tab w:val="right" w:leader="dot" w:pos="9070"/>
        </w:tabs>
        <w:spacing w:line="360" w:lineRule="auto"/>
        <w:rPr>
          <w:rFonts w:ascii="楷体" w:hAnsi="楷体" w:cs="楷体"/>
          <w:i w:val="0"/>
          <w:sz w:val="21"/>
          <w:szCs w:val="21"/>
        </w:rPr>
      </w:pPr>
      <w:r>
        <w:fldChar w:fldCharType="begin"/>
      </w:r>
      <w:r>
        <w:instrText xml:space="preserve"> HYPERLINK \l "_Toc25074" </w:instrText>
      </w:r>
      <w:r>
        <w:fldChar w:fldCharType="separate"/>
      </w:r>
      <w:r>
        <w:rPr>
          <w:rFonts w:hint="eastAsia" w:ascii="楷体" w:hAnsi="楷体" w:cs="楷体"/>
          <w:i w:val="0"/>
          <w:sz w:val="21"/>
          <w:szCs w:val="21"/>
        </w:rPr>
        <w:t>4.  投标</w:t>
      </w:r>
      <w:r>
        <w:rPr>
          <w:rFonts w:hint="eastAsia" w:ascii="楷体" w:hAnsi="楷体" w:cs="楷体"/>
          <w:i w:val="0"/>
          <w:sz w:val="21"/>
          <w:szCs w:val="21"/>
        </w:rPr>
        <w:tab/>
      </w:r>
      <w:r>
        <w:rPr>
          <w:rFonts w:hint="eastAsia" w:ascii="楷体" w:hAnsi="楷体" w:cs="楷体"/>
          <w:i w:val="0"/>
          <w:sz w:val="21"/>
          <w:szCs w:val="21"/>
        </w:rPr>
        <w:fldChar w:fldCharType="begin"/>
      </w:r>
      <w:r>
        <w:rPr>
          <w:rFonts w:hint="eastAsia" w:ascii="楷体" w:hAnsi="楷体" w:cs="楷体"/>
          <w:i w:val="0"/>
          <w:sz w:val="21"/>
          <w:szCs w:val="21"/>
        </w:rPr>
        <w:instrText xml:space="preserve"> PAGEREF _Toc25074 \h </w:instrText>
      </w:r>
      <w:r>
        <w:rPr>
          <w:rFonts w:hint="eastAsia" w:ascii="楷体" w:hAnsi="楷体" w:cs="楷体"/>
          <w:i w:val="0"/>
          <w:sz w:val="21"/>
          <w:szCs w:val="21"/>
        </w:rPr>
        <w:fldChar w:fldCharType="separate"/>
      </w:r>
      <w:r>
        <w:rPr>
          <w:rFonts w:hint="eastAsia" w:ascii="楷体" w:hAnsi="楷体" w:cs="楷体"/>
          <w:i w:val="0"/>
          <w:sz w:val="21"/>
          <w:szCs w:val="21"/>
        </w:rPr>
        <w:t>28</w:t>
      </w:r>
      <w:r>
        <w:rPr>
          <w:rFonts w:hint="eastAsia" w:ascii="楷体" w:hAnsi="楷体" w:cs="楷体"/>
          <w:i w:val="0"/>
          <w:sz w:val="21"/>
          <w:szCs w:val="21"/>
        </w:rPr>
        <w:fldChar w:fldCharType="end"/>
      </w:r>
      <w:r>
        <w:rPr>
          <w:rFonts w:hint="eastAsia" w:ascii="楷体" w:hAnsi="楷体" w:cs="楷体"/>
          <w:i w:val="0"/>
          <w:sz w:val="21"/>
          <w:szCs w:val="21"/>
        </w:rPr>
        <w:fldChar w:fldCharType="end"/>
      </w:r>
    </w:p>
    <w:p>
      <w:pPr>
        <w:pStyle w:val="11"/>
        <w:tabs>
          <w:tab w:val="right" w:leader="dot" w:pos="9070"/>
        </w:tabs>
        <w:spacing w:line="360" w:lineRule="auto"/>
        <w:rPr>
          <w:rFonts w:ascii="楷体" w:hAnsi="楷体" w:cs="楷体"/>
          <w:i w:val="0"/>
          <w:sz w:val="21"/>
          <w:szCs w:val="21"/>
        </w:rPr>
      </w:pPr>
      <w:r>
        <w:fldChar w:fldCharType="begin"/>
      </w:r>
      <w:r>
        <w:instrText xml:space="preserve"> HYPERLINK \l "_Toc20763" </w:instrText>
      </w:r>
      <w:r>
        <w:fldChar w:fldCharType="separate"/>
      </w:r>
      <w:r>
        <w:rPr>
          <w:rFonts w:hint="eastAsia" w:ascii="楷体" w:hAnsi="楷体" w:cs="楷体"/>
          <w:i w:val="0"/>
          <w:sz w:val="21"/>
          <w:szCs w:val="21"/>
        </w:rPr>
        <w:t>5．开标</w:t>
      </w:r>
      <w:r>
        <w:rPr>
          <w:rFonts w:hint="eastAsia" w:ascii="楷体" w:hAnsi="楷体" w:cs="楷体"/>
          <w:i w:val="0"/>
          <w:sz w:val="21"/>
          <w:szCs w:val="21"/>
        </w:rPr>
        <w:tab/>
      </w:r>
      <w:r>
        <w:rPr>
          <w:rFonts w:hint="eastAsia" w:ascii="楷体" w:hAnsi="楷体" w:cs="楷体"/>
          <w:i w:val="0"/>
          <w:sz w:val="21"/>
          <w:szCs w:val="21"/>
        </w:rPr>
        <w:fldChar w:fldCharType="begin"/>
      </w:r>
      <w:r>
        <w:rPr>
          <w:rFonts w:hint="eastAsia" w:ascii="楷体" w:hAnsi="楷体" w:cs="楷体"/>
          <w:i w:val="0"/>
          <w:sz w:val="21"/>
          <w:szCs w:val="21"/>
        </w:rPr>
        <w:instrText xml:space="preserve"> PAGEREF _Toc20763 \h </w:instrText>
      </w:r>
      <w:r>
        <w:rPr>
          <w:rFonts w:hint="eastAsia" w:ascii="楷体" w:hAnsi="楷体" w:cs="楷体"/>
          <w:i w:val="0"/>
          <w:sz w:val="21"/>
          <w:szCs w:val="21"/>
        </w:rPr>
        <w:fldChar w:fldCharType="separate"/>
      </w:r>
      <w:r>
        <w:rPr>
          <w:rFonts w:hint="eastAsia" w:ascii="楷体" w:hAnsi="楷体" w:cs="楷体"/>
          <w:i w:val="0"/>
          <w:sz w:val="21"/>
          <w:szCs w:val="21"/>
        </w:rPr>
        <w:t>29</w:t>
      </w:r>
      <w:r>
        <w:rPr>
          <w:rFonts w:hint="eastAsia" w:ascii="楷体" w:hAnsi="楷体" w:cs="楷体"/>
          <w:i w:val="0"/>
          <w:sz w:val="21"/>
          <w:szCs w:val="21"/>
        </w:rPr>
        <w:fldChar w:fldCharType="end"/>
      </w:r>
      <w:r>
        <w:rPr>
          <w:rFonts w:hint="eastAsia" w:ascii="楷体" w:hAnsi="楷体" w:cs="楷体"/>
          <w:i w:val="0"/>
          <w:sz w:val="21"/>
          <w:szCs w:val="21"/>
        </w:rPr>
        <w:fldChar w:fldCharType="end"/>
      </w:r>
    </w:p>
    <w:p>
      <w:pPr>
        <w:pStyle w:val="11"/>
        <w:tabs>
          <w:tab w:val="right" w:leader="dot" w:pos="9070"/>
        </w:tabs>
        <w:spacing w:line="360" w:lineRule="auto"/>
        <w:rPr>
          <w:rFonts w:ascii="楷体" w:hAnsi="楷体" w:cs="楷体"/>
          <w:i w:val="0"/>
          <w:sz w:val="21"/>
          <w:szCs w:val="21"/>
        </w:rPr>
      </w:pPr>
      <w:r>
        <w:fldChar w:fldCharType="begin"/>
      </w:r>
      <w:r>
        <w:instrText xml:space="preserve"> HYPERLINK \l "_Toc4778" </w:instrText>
      </w:r>
      <w:r>
        <w:fldChar w:fldCharType="separate"/>
      </w:r>
      <w:r>
        <w:rPr>
          <w:rFonts w:hint="eastAsia" w:ascii="楷体" w:hAnsi="楷体" w:cs="楷体"/>
          <w:i w:val="0"/>
          <w:sz w:val="21"/>
          <w:szCs w:val="21"/>
        </w:rPr>
        <w:t>6．评标</w:t>
      </w:r>
      <w:r>
        <w:rPr>
          <w:rFonts w:hint="eastAsia" w:ascii="楷体" w:hAnsi="楷体" w:cs="楷体"/>
          <w:i w:val="0"/>
          <w:sz w:val="21"/>
          <w:szCs w:val="21"/>
        </w:rPr>
        <w:tab/>
      </w:r>
      <w:r>
        <w:rPr>
          <w:rFonts w:hint="eastAsia" w:ascii="楷体" w:hAnsi="楷体" w:cs="楷体"/>
          <w:i w:val="0"/>
          <w:sz w:val="21"/>
          <w:szCs w:val="21"/>
        </w:rPr>
        <w:fldChar w:fldCharType="begin"/>
      </w:r>
      <w:r>
        <w:rPr>
          <w:rFonts w:hint="eastAsia" w:ascii="楷体" w:hAnsi="楷体" w:cs="楷体"/>
          <w:i w:val="0"/>
          <w:sz w:val="21"/>
          <w:szCs w:val="21"/>
        </w:rPr>
        <w:instrText xml:space="preserve"> PAGEREF _Toc4778 \h </w:instrText>
      </w:r>
      <w:r>
        <w:rPr>
          <w:rFonts w:hint="eastAsia" w:ascii="楷体" w:hAnsi="楷体" w:cs="楷体"/>
          <w:i w:val="0"/>
          <w:sz w:val="21"/>
          <w:szCs w:val="21"/>
        </w:rPr>
        <w:fldChar w:fldCharType="separate"/>
      </w:r>
      <w:r>
        <w:rPr>
          <w:rFonts w:hint="eastAsia" w:ascii="楷体" w:hAnsi="楷体" w:cs="楷体"/>
          <w:i w:val="0"/>
          <w:sz w:val="21"/>
          <w:szCs w:val="21"/>
        </w:rPr>
        <w:t>30</w:t>
      </w:r>
      <w:r>
        <w:rPr>
          <w:rFonts w:hint="eastAsia" w:ascii="楷体" w:hAnsi="楷体" w:cs="楷体"/>
          <w:i w:val="0"/>
          <w:sz w:val="21"/>
          <w:szCs w:val="21"/>
        </w:rPr>
        <w:fldChar w:fldCharType="end"/>
      </w:r>
      <w:r>
        <w:rPr>
          <w:rFonts w:hint="eastAsia" w:ascii="楷体" w:hAnsi="楷体" w:cs="楷体"/>
          <w:i w:val="0"/>
          <w:sz w:val="21"/>
          <w:szCs w:val="21"/>
        </w:rPr>
        <w:fldChar w:fldCharType="end"/>
      </w:r>
    </w:p>
    <w:p>
      <w:pPr>
        <w:pStyle w:val="11"/>
        <w:tabs>
          <w:tab w:val="right" w:leader="dot" w:pos="9070"/>
        </w:tabs>
        <w:spacing w:line="360" w:lineRule="auto"/>
        <w:rPr>
          <w:rFonts w:ascii="楷体" w:hAnsi="楷体" w:cs="楷体"/>
          <w:i w:val="0"/>
          <w:sz w:val="21"/>
          <w:szCs w:val="21"/>
        </w:rPr>
      </w:pPr>
      <w:r>
        <w:fldChar w:fldCharType="begin"/>
      </w:r>
      <w:r>
        <w:instrText xml:space="preserve"> HYPERLINK \l "_Toc30480" </w:instrText>
      </w:r>
      <w:r>
        <w:fldChar w:fldCharType="separate"/>
      </w:r>
      <w:r>
        <w:rPr>
          <w:rFonts w:hint="eastAsia" w:ascii="楷体" w:hAnsi="楷体" w:cs="楷体"/>
          <w:i w:val="0"/>
          <w:sz w:val="21"/>
          <w:szCs w:val="21"/>
        </w:rPr>
        <w:t>7．合同授予</w:t>
      </w:r>
      <w:r>
        <w:rPr>
          <w:rFonts w:hint="eastAsia" w:ascii="楷体" w:hAnsi="楷体" w:cs="楷体"/>
          <w:i w:val="0"/>
          <w:sz w:val="21"/>
          <w:szCs w:val="21"/>
        </w:rPr>
        <w:tab/>
      </w:r>
      <w:r>
        <w:rPr>
          <w:rFonts w:hint="eastAsia" w:ascii="楷体" w:hAnsi="楷体" w:cs="楷体"/>
          <w:i w:val="0"/>
          <w:sz w:val="21"/>
          <w:szCs w:val="21"/>
        </w:rPr>
        <w:fldChar w:fldCharType="begin"/>
      </w:r>
      <w:r>
        <w:rPr>
          <w:rFonts w:hint="eastAsia" w:ascii="楷体" w:hAnsi="楷体" w:cs="楷体"/>
          <w:i w:val="0"/>
          <w:sz w:val="21"/>
          <w:szCs w:val="21"/>
        </w:rPr>
        <w:instrText xml:space="preserve"> PAGEREF _Toc30480 \h </w:instrText>
      </w:r>
      <w:r>
        <w:rPr>
          <w:rFonts w:hint="eastAsia" w:ascii="楷体" w:hAnsi="楷体" w:cs="楷体"/>
          <w:i w:val="0"/>
          <w:sz w:val="21"/>
          <w:szCs w:val="21"/>
        </w:rPr>
        <w:fldChar w:fldCharType="separate"/>
      </w:r>
      <w:r>
        <w:rPr>
          <w:rFonts w:hint="eastAsia" w:ascii="楷体" w:hAnsi="楷体" w:cs="楷体"/>
          <w:i w:val="0"/>
          <w:sz w:val="21"/>
          <w:szCs w:val="21"/>
        </w:rPr>
        <w:t>30</w:t>
      </w:r>
      <w:r>
        <w:rPr>
          <w:rFonts w:hint="eastAsia" w:ascii="楷体" w:hAnsi="楷体" w:cs="楷体"/>
          <w:i w:val="0"/>
          <w:sz w:val="21"/>
          <w:szCs w:val="21"/>
        </w:rPr>
        <w:fldChar w:fldCharType="end"/>
      </w:r>
      <w:r>
        <w:rPr>
          <w:rFonts w:hint="eastAsia" w:ascii="楷体" w:hAnsi="楷体" w:cs="楷体"/>
          <w:i w:val="0"/>
          <w:sz w:val="21"/>
          <w:szCs w:val="21"/>
        </w:rPr>
        <w:fldChar w:fldCharType="end"/>
      </w:r>
    </w:p>
    <w:p>
      <w:pPr>
        <w:pStyle w:val="11"/>
        <w:tabs>
          <w:tab w:val="right" w:leader="dot" w:pos="9070"/>
        </w:tabs>
        <w:spacing w:line="360" w:lineRule="auto"/>
        <w:rPr>
          <w:rFonts w:ascii="楷体" w:hAnsi="楷体" w:cs="楷体"/>
          <w:i w:val="0"/>
          <w:sz w:val="21"/>
          <w:szCs w:val="21"/>
        </w:rPr>
      </w:pPr>
      <w:r>
        <w:fldChar w:fldCharType="begin"/>
      </w:r>
      <w:r>
        <w:instrText xml:space="preserve"> HYPERLINK \l "_Toc14382" </w:instrText>
      </w:r>
      <w:r>
        <w:fldChar w:fldCharType="separate"/>
      </w:r>
      <w:r>
        <w:rPr>
          <w:rFonts w:hint="eastAsia" w:ascii="楷体" w:hAnsi="楷体" w:cs="楷体"/>
          <w:i w:val="0"/>
          <w:sz w:val="21"/>
          <w:szCs w:val="21"/>
        </w:rPr>
        <w:t>8．重新招标和不再招标</w:t>
      </w:r>
      <w:r>
        <w:rPr>
          <w:rFonts w:hint="eastAsia" w:ascii="楷体" w:hAnsi="楷体" w:cs="楷体"/>
          <w:i w:val="0"/>
          <w:sz w:val="21"/>
          <w:szCs w:val="21"/>
        </w:rPr>
        <w:tab/>
      </w:r>
      <w:r>
        <w:rPr>
          <w:rFonts w:hint="eastAsia" w:ascii="楷体" w:hAnsi="楷体" w:cs="楷体"/>
          <w:i w:val="0"/>
          <w:sz w:val="21"/>
          <w:szCs w:val="21"/>
        </w:rPr>
        <w:fldChar w:fldCharType="begin"/>
      </w:r>
      <w:r>
        <w:rPr>
          <w:rFonts w:hint="eastAsia" w:ascii="楷体" w:hAnsi="楷体" w:cs="楷体"/>
          <w:i w:val="0"/>
          <w:sz w:val="21"/>
          <w:szCs w:val="21"/>
        </w:rPr>
        <w:instrText xml:space="preserve"> PAGEREF _Toc14382 \h </w:instrText>
      </w:r>
      <w:r>
        <w:rPr>
          <w:rFonts w:hint="eastAsia" w:ascii="楷体" w:hAnsi="楷体" w:cs="楷体"/>
          <w:i w:val="0"/>
          <w:sz w:val="21"/>
          <w:szCs w:val="21"/>
        </w:rPr>
        <w:fldChar w:fldCharType="separate"/>
      </w:r>
      <w:r>
        <w:rPr>
          <w:rFonts w:hint="eastAsia" w:ascii="楷体" w:hAnsi="楷体" w:cs="楷体"/>
          <w:i w:val="0"/>
          <w:sz w:val="21"/>
          <w:szCs w:val="21"/>
        </w:rPr>
        <w:t>31</w:t>
      </w:r>
      <w:r>
        <w:rPr>
          <w:rFonts w:hint="eastAsia" w:ascii="楷体" w:hAnsi="楷体" w:cs="楷体"/>
          <w:i w:val="0"/>
          <w:sz w:val="21"/>
          <w:szCs w:val="21"/>
        </w:rPr>
        <w:fldChar w:fldCharType="end"/>
      </w:r>
      <w:r>
        <w:rPr>
          <w:rFonts w:hint="eastAsia" w:ascii="楷体" w:hAnsi="楷体" w:cs="楷体"/>
          <w:i w:val="0"/>
          <w:sz w:val="21"/>
          <w:szCs w:val="21"/>
        </w:rPr>
        <w:fldChar w:fldCharType="end"/>
      </w:r>
    </w:p>
    <w:p>
      <w:pPr>
        <w:pStyle w:val="11"/>
        <w:tabs>
          <w:tab w:val="right" w:leader="dot" w:pos="9070"/>
        </w:tabs>
        <w:spacing w:line="360" w:lineRule="auto"/>
        <w:rPr>
          <w:rFonts w:ascii="楷体" w:hAnsi="楷体" w:cs="楷体"/>
          <w:i w:val="0"/>
          <w:sz w:val="21"/>
          <w:szCs w:val="21"/>
        </w:rPr>
      </w:pPr>
      <w:r>
        <w:fldChar w:fldCharType="begin"/>
      </w:r>
      <w:r>
        <w:instrText xml:space="preserve"> HYPERLINK \l "_Toc29369" </w:instrText>
      </w:r>
      <w:r>
        <w:fldChar w:fldCharType="separate"/>
      </w:r>
      <w:r>
        <w:rPr>
          <w:rFonts w:hint="eastAsia" w:ascii="楷体" w:hAnsi="楷体" w:cs="楷体"/>
          <w:i w:val="0"/>
          <w:sz w:val="21"/>
          <w:szCs w:val="21"/>
        </w:rPr>
        <w:t>9．纪律和监督</w:t>
      </w:r>
      <w:r>
        <w:rPr>
          <w:rFonts w:hint="eastAsia" w:ascii="楷体" w:hAnsi="楷体" w:cs="楷体"/>
          <w:i w:val="0"/>
          <w:sz w:val="21"/>
          <w:szCs w:val="21"/>
        </w:rPr>
        <w:tab/>
      </w:r>
      <w:r>
        <w:rPr>
          <w:rFonts w:hint="eastAsia" w:ascii="楷体" w:hAnsi="楷体" w:cs="楷体"/>
          <w:i w:val="0"/>
          <w:sz w:val="21"/>
          <w:szCs w:val="21"/>
        </w:rPr>
        <w:fldChar w:fldCharType="begin"/>
      </w:r>
      <w:r>
        <w:rPr>
          <w:rFonts w:hint="eastAsia" w:ascii="楷体" w:hAnsi="楷体" w:cs="楷体"/>
          <w:i w:val="0"/>
          <w:sz w:val="21"/>
          <w:szCs w:val="21"/>
        </w:rPr>
        <w:instrText xml:space="preserve"> PAGEREF _Toc29369 \h </w:instrText>
      </w:r>
      <w:r>
        <w:rPr>
          <w:rFonts w:hint="eastAsia" w:ascii="楷体" w:hAnsi="楷体" w:cs="楷体"/>
          <w:i w:val="0"/>
          <w:sz w:val="21"/>
          <w:szCs w:val="21"/>
        </w:rPr>
        <w:fldChar w:fldCharType="separate"/>
      </w:r>
      <w:r>
        <w:rPr>
          <w:rFonts w:hint="eastAsia" w:ascii="楷体" w:hAnsi="楷体" w:cs="楷体"/>
          <w:i w:val="0"/>
          <w:sz w:val="21"/>
          <w:szCs w:val="21"/>
        </w:rPr>
        <w:t>32</w:t>
      </w:r>
      <w:r>
        <w:rPr>
          <w:rFonts w:hint="eastAsia" w:ascii="楷体" w:hAnsi="楷体" w:cs="楷体"/>
          <w:i w:val="0"/>
          <w:sz w:val="21"/>
          <w:szCs w:val="21"/>
        </w:rPr>
        <w:fldChar w:fldCharType="end"/>
      </w:r>
      <w:r>
        <w:rPr>
          <w:rFonts w:hint="eastAsia" w:ascii="楷体" w:hAnsi="楷体" w:cs="楷体"/>
          <w:i w:val="0"/>
          <w:sz w:val="21"/>
          <w:szCs w:val="21"/>
        </w:rPr>
        <w:fldChar w:fldCharType="end"/>
      </w:r>
    </w:p>
    <w:p>
      <w:pPr>
        <w:pStyle w:val="11"/>
        <w:tabs>
          <w:tab w:val="right" w:leader="dot" w:pos="9070"/>
        </w:tabs>
        <w:spacing w:line="360" w:lineRule="auto"/>
        <w:rPr>
          <w:rFonts w:ascii="楷体" w:hAnsi="楷体" w:cs="楷体"/>
          <w:i w:val="0"/>
          <w:sz w:val="21"/>
          <w:szCs w:val="21"/>
        </w:rPr>
      </w:pPr>
      <w:r>
        <w:fldChar w:fldCharType="begin"/>
      </w:r>
      <w:r>
        <w:instrText xml:space="preserve"> HYPERLINK \l "_Toc22611" </w:instrText>
      </w:r>
      <w:r>
        <w:fldChar w:fldCharType="separate"/>
      </w:r>
      <w:r>
        <w:rPr>
          <w:rFonts w:hint="eastAsia" w:ascii="楷体" w:hAnsi="楷体" w:cs="楷体"/>
          <w:i w:val="0"/>
          <w:sz w:val="21"/>
          <w:szCs w:val="21"/>
        </w:rPr>
        <w:t>10．需要补充的其它内容</w:t>
      </w:r>
      <w:r>
        <w:rPr>
          <w:rFonts w:hint="eastAsia" w:ascii="楷体" w:hAnsi="楷体" w:cs="楷体"/>
          <w:i w:val="0"/>
          <w:sz w:val="21"/>
          <w:szCs w:val="21"/>
        </w:rPr>
        <w:tab/>
      </w:r>
      <w:r>
        <w:rPr>
          <w:rFonts w:hint="eastAsia" w:ascii="楷体" w:hAnsi="楷体" w:cs="楷体"/>
          <w:i w:val="0"/>
          <w:sz w:val="21"/>
          <w:szCs w:val="21"/>
        </w:rPr>
        <w:fldChar w:fldCharType="begin"/>
      </w:r>
      <w:r>
        <w:rPr>
          <w:rFonts w:hint="eastAsia" w:ascii="楷体" w:hAnsi="楷体" w:cs="楷体"/>
          <w:i w:val="0"/>
          <w:sz w:val="21"/>
          <w:szCs w:val="21"/>
        </w:rPr>
        <w:instrText xml:space="preserve"> PAGEREF _Toc22611 \h </w:instrText>
      </w:r>
      <w:r>
        <w:rPr>
          <w:rFonts w:hint="eastAsia" w:ascii="楷体" w:hAnsi="楷体" w:cs="楷体"/>
          <w:i w:val="0"/>
          <w:sz w:val="21"/>
          <w:szCs w:val="21"/>
        </w:rPr>
        <w:fldChar w:fldCharType="separate"/>
      </w:r>
      <w:r>
        <w:rPr>
          <w:rFonts w:hint="eastAsia" w:ascii="楷体" w:hAnsi="楷体" w:cs="楷体"/>
          <w:i w:val="0"/>
          <w:sz w:val="21"/>
          <w:szCs w:val="21"/>
        </w:rPr>
        <w:t>32</w:t>
      </w:r>
      <w:r>
        <w:rPr>
          <w:rFonts w:hint="eastAsia" w:ascii="楷体" w:hAnsi="楷体" w:cs="楷体"/>
          <w:i w:val="0"/>
          <w:sz w:val="21"/>
          <w:szCs w:val="21"/>
        </w:rPr>
        <w:fldChar w:fldCharType="end"/>
      </w:r>
      <w:r>
        <w:rPr>
          <w:rFonts w:hint="eastAsia" w:ascii="楷体" w:hAnsi="楷体" w:cs="楷体"/>
          <w:i w:val="0"/>
          <w:sz w:val="21"/>
          <w:szCs w:val="21"/>
        </w:rPr>
        <w:fldChar w:fldCharType="end"/>
      </w:r>
    </w:p>
    <w:p>
      <w:pPr>
        <w:pStyle w:val="19"/>
        <w:tabs>
          <w:tab w:val="right" w:leader="dot" w:pos="9070"/>
        </w:tabs>
        <w:spacing w:line="360" w:lineRule="auto"/>
        <w:rPr>
          <w:b/>
          <w:sz w:val="21"/>
          <w:szCs w:val="21"/>
        </w:rPr>
      </w:pPr>
      <w:r>
        <w:fldChar w:fldCharType="begin"/>
      </w:r>
      <w:r>
        <w:instrText xml:space="preserve"> HYPERLINK \l "_Toc15147" </w:instrText>
      </w:r>
      <w:r>
        <w:fldChar w:fldCharType="separate"/>
      </w:r>
      <w:r>
        <w:rPr>
          <w:rFonts w:hint="eastAsia" w:ascii="黑体"/>
          <w:b/>
          <w:bCs/>
          <w:sz w:val="21"/>
          <w:szCs w:val="21"/>
        </w:rPr>
        <w:t>第三章  评标办法（综合评估法）</w:t>
      </w:r>
      <w:r>
        <w:rPr>
          <w:b/>
          <w:bCs/>
          <w:sz w:val="21"/>
          <w:szCs w:val="21"/>
        </w:rPr>
        <w:tab/>
      </w:r>
      <w:r>
        <w:rPr>
          <w:b/>
          <w:bCs/>
          <w:sz w:val="21"/>
          <w:szCs w:val="21"/>
        </w:rPr>
        <w:fldChar w:fldCharType="begin"/>
      </w:r>
      <w:r>
        <w:rPr>
          <w:b/>
          <w:bCs/>
          <w:sz w:val="21"/>
          <w:szCs w:val="21"/>
        </w:rPr>
        <w:instrText xml:space="preserve"> PAGEREF _Toc15147 \h </w:instrText>
      </w:r>
      <w:r>
        <w:rPr>
          <w:b/>
          <w:bCs/>
          <w:sz w:val="21"/>
          <w:szCs w:val="21"/>
        </w:rPr>
        <w:fldChar w:fldCharType="separate"/>
      </w:r>
      <w:r>
        <w:rPr>
          <w:b/>
          <w:bCs/>
          <w:sz w:val="21"/>
          <w:szCs w:val="21"/>
        </w:rPr>
        <w:t>41</w:t>
      </w:r>
      <w:r>
        <w:rPr>
          <w:b/>
          <w:bCs/>
          <w:sz w:val="21"/>
          <w:szCs w:val="21"/>
        </w:rPr>
        <w:fldChar w:fldCharType="end"/>
      </w:r>
      <w:r>
        <w:rPr>
          <w:b/>
          <w:bCs/>
          <w:sz w:val="21"/>
          <w:szCs w:val="21"/>
        </w:rPr>
        <w:fldChar w:fldCharType="end"/>
      </w:r>
    </w:p>
    <w:p>
      <w:pPr>
        <w:pStyle w:val="11"/>
        <w:tabs>
          <w:tab w:val="right" w:leader="dot" w:pos="9070"/>
        </w:tabs>
        <w:spacing w:line="360" w:lineRule="auto"/>
        <w:rPr>
          <w:rFonts w:ascii="楷体" w:hAnsi="楷体" w:cs="楷体"/>
          <w:i w:val="0"/>
          <w:sz w:val="21"/>
          <w:szCs w:val="21"/>
        </w:rPr>
      </w:pPr>
      <w:r>
        <w:fldChar w:fldCharType="begin"/>
      </w:r>
      <w:r>
        <w:instrText xml:space="preserve"> HYPERLINK \l "_Toc4532" </w:instrText>
      </w:r>
      <w:r>
        <w:fldChar w:fldCharType="separate"/>
      </w:r>
      <w:r>
        <w:rPr>
          <w:rFonts w:hint="eastAsia" w:ascii="楷体" w:hAnsi="楷体" w:cs="楷体"/>
          <w:i w:val="0"/>
          <w:sz w:val="21"/>
          <w:szCs w:val="21"/>
        </w:rPr>
        <w:t>评标办法前附表</w:t>
      </w:r>
      <w:r>
        <w:rPr>
          <w:rFonts w:hint="eastAsia" w:ascii="楷体" w:hAnsi="楷体" w:cs="楷体"/>
          <w:i w:val="0"/>
          <w:sz w:val="21"/>
          <w:szCs w:val="21"/>
        </w:rPr>
        <w:tab/>
      </w:r>
      <w:r>
        <w:rPr>
          <w:rFonts w:hint="eastAsia" w:ascii="楷体" w:hAnsi="楷体" w:cs="楷体"/>
          <w:i w:val="0"/>
          <w:sz w:val="21"/>
          <w:szCs w:val="21"/>
        </w:rPr>
        <w:fldChar w:fldCharType="begin"/>
      </w:r>
      <w:r>
        <w:rPr>
          <w:rFonts w:hint="eastAsia" w:ascii="楷体" w:hAnsi="楷体" w:cs="楷体"/>
          <w:i w:val="0"/>
          <w:sz w:val="21"/>
          <w:szCs w:val="21"/>
        </w:rPr>
        <w:instrText xml:space="preserve"> PAGEREF _Toc4532 \h </w:instrText>
      </w:r>
      <w:r>
        <w:rPr>
          <w:rFonts w:hint="eastAsia" w:ascii="楷体" w:hAnsi="楷体" w:cs="楷体"/>
          <w:i w:val="0"/>
          <w:sz w:val="21"/>
          <w:szCs w:val="21"/>
        </w:rPr>
        <w:fldChar w:fldCharType="separate"/>
      </w:r>
      <w:r>
        <w:rPr>
          <w:rFonts w:hint="eastAsia" w:ascii="楷体" w:hAnsi="楷体" w:cs="楷体"/>
          <w:i w:val="0"/>
          <w:sz w:val="21"/>
          <w:szCs w:val="21"/>
        </w:rPr>
        <w:t>41</w:t>
      </w:r>
      <w:r>
        <w:rPr>
          <w:rFonts w:hint="eastAsia" w:ascii="楷体" w:hAnsi="楷体" w:cs="楷体"/>
          <w:i w:val="0"/>
          <w:sz w:val="21"/>
          <w:szCs w:val="21"/>
        </w:rPr>
        <w:fldChar w:fldCharType="end"/>
      </w:r>
      <w:r>
        <w:rPr>
          <w:rFonts w:hint="eastAsia" w:ascii="楷体" w:hAnsi="楷体" w:cs="楷体"/>
          <w:i w:val="0"/>
          <w:sz w:val="21"/>
          <w:szCs w:val="21"/>
        </w:rPr>
        <w:fldChar w:fldCharType="end"/>
      </w:r>
    </w:p>
    <w:p>
      <w:pPr>
        <w:pStyle w:val="11"/>
        <w:tabs>
          <w:tab w:val="right" w:leader="dot" w:pos="9070"/>
        </w:tabs>
        <w:spacing w:line="360" w:lineRule="auto"/>
        <w:rPr>
          <w:rFonts w:ascii="楷体" w:hAnsi="楷体" w:cs="楷体"/>
          <w:i w:val="0"/>
          <w:sz w:val="21"/>
          <w:szCs w:val="21"/>
        </w:rPr>
      </w:pPr>
      <w:r>
        <w:fldChar w:fldCharType="begin"/>
      </w:r>
      <w:r>
        <w:instrText xml:space="preserve"> HYPERLINK \l "_Toc9289" </w:instrText>
      </w:r>
      <w:r>
        <w:fldChar w:fldCharType="separate"/>
      </w:r>
      <w:r>
        <w:rPr>
          <w:rFonts w:hint="eastAsia" w:ascii="楷体" w:hAnsi="楷体" w:cs="楷体"/>
          <w:i w:val="0"/>
          <w:sz w:val="21"/>
          <w:szCs w:val="21"/>
        </w:rPr>
        <w:t>1．评标方法</w:t>
      </w:r>
      <w:r>
        <w:rPr>
          <w:rFonts w:hint="eastAsia" w:ascii="楷体" w:hAnsi="楷体" w:cs="楷体"/>
          <w:i w:val="0"/>
          <w:sz w:val="21"/>
          <w:szCs w:val="21"/>
        </w:rPr>
        <w:tab/>
      </w:r>
      <w:r>
        <w:rPr>
          <w:rFonts w:hint="eastAsia" w:ascii="楷体" w:hAnsi="楷体" w:cs="楷体"/>
          <w:i w:val="0"/>
          <w:sz w:val="21"/>
          <w:szCs w:val="21"/>
        </w:rPr>
        <w:fldChar w:fldCharType="begin"/>
      </w:r>
      <w:r>
        <w:rPr>
          <w:rFonts w:hint="eastAsia" w:ascii="楷体" w:hAnsi="楷体" w:cs="楷体"/>
          <w:i w:val="0"/>
          <w:sz w:val="21"/>
          <w:szCs w:val="21"/>
        </w:rPr>
        <w:instrText xml:space="preserve"> PAGEREF _Toc9289 \h </w:instrText>
      </w:r>
      <w:r>
        <w:rPr>
          <w:rFonts w:hint="eastAsia" w:ascii="楷体" w:hAnsi="楷体" w:cs="楷体"/>
          <w:i w:val="0"/>
          <w:sz w:val="21"/>
          <w:szCs w:val="21"/>
        </w:rPr>
        <w:fldChar w:fldCharType="separate"/>
      </w:r>
      <w:r>
        <w:rPr>
          <w:rFonts w:hint="eastAsia" w:ascii="楷体" w:hAnsi="楷体" w:cs="楷体"/>
          <w:i w:val="0"/>
          <w:sz w:val="21"/>
          <w:szCs w:val="21"/>
        </w:rPr>
        <w:t>46</w:t>
      </w:r>
      <w:r>
        <w:rPr>
          <w:rFonts w:hint="eastAsia" w:ascii="楷体" w:hAnsi="楷体" w:cs="楷体"/>
          <w:i w:val="0"/>
          <w:sz w:val="21"/>
          <w:szCs w:val="21"/>
        </w:rPr>
        <w:fldChar w:fldCharType="end"/>
      </w:r>
      <w:r>
        <w:rPr>
          <w:rFonts w:hint="eastAsia" w:ascii="楷体" w:hAnsi="楷体" w:cs="楷体"/>
          <w:i w:val="0"/>
          <w:sz w:val="21"/>
          <w:szCs w:val="21"/>
        </w:rPr>
        <w:fldChar w:fldCharType="end"/>
      </w:r>
    </w:p>
    <w:p>
      <w:pPr>
        <w:pStyle w:val="11"/>
        <w:tabs>
          <w:tab w:val="right" w:leader="dot" w:pos="9070"/>
        </w:tabs>
        <w:spacing w:line="360" w:lineRule="auto"/>
        <w:rPr>
          <w:rFonts w:ascii="楷体" w:hAnsi="楷体" w:cs="楷体"/>
          <w:i w:val="0"/>
          <w:sz w:val="21"/>
          <w:szCs w:val="21"/>
        </w:rPr>
      </w:pPr>
      <w:r>
        <w:fldChar w:fldCharType="begin"/>
      </w:r>
      <w:r>
        <w:instrText xml:space="preserve"> HYPERLINK \l "_Toc1065" </w:instrText>
      </w:r>
      <w:r>
        <w:fldChar w:fldCharType="separate"/>
      </w:r>
      <w:r>
        <w:rPr>
          <w:rFonts w:hint="eastAsia" w:ascii="楷体" w:hAnsi="楷体" w:cs="楷体"/>
          <w:i w:val="0"/>
          <w:sz w:val="21"/>
          <w:szCs w:val="21"/>
        </w:rPr>
        <w:t>2．评审标准</w:t>
      </w:r>
      <w:r>
        <w:rPr>
          <w:rFonts w:hint="eastAsia" w:ascii="楷体" w:hAnsi="楷体" w:cs="楷体"/>
          <w:i w:val="0"/>
          <w:sz w:val="21"/>
          <w:szCs w:val="21"/>
        </w:rPr>
        <w:tab/>
      </w:r>
      <w:r>
        <w:rPr>
          <w:rFonts w:hint="eastAsia" w:ascii="楷体" w:hAnsi="楷体" w:cs="楷体"/>
          <w:i w:val="0"/>
          <w:sz w:val="21"/>
          <w:szCs w:val="21"/>
        </w:rPr>
        <w:fldChar w:fldCharType="begin"/>
      </w:r>
      <w:r>
        <w:rPr>
          <w:rFonts w:hint="eastAsia" w:ascii="楷体" w:hAnsi="楷体" w:cs="楷体"/>
          <w:i w:val="0"/>
          <w:sz w:val="21"/>
          <w:szCs w:val="21"/>
        </w:rPr>
        <w:instrText xml:space="preserve"> PAGEREF _Toc1065 \h </w:instrText>
      </w:r>
      <w:r>
        <w:rPr>
          <w:rFonts w:hint="eastAsia" w:ascii="楷体" w:hAnsi="楷体" w:cs="楷体"/>
          <w:i w:val="0"/>
          <w:sz w:val="21"/>
          <w:szCs w:val="21"/>
        </w:rPr>
        <w:fldChar w:fldCharType="separate"/>
      </w:r>
      <w:r>
        <w:rPr>
          <w:rFonts w:hint="eastAsia" w:ascii="楷体" w:hAnsi="楷体" w:cs="楷体"/>
          <w:i w:val="0"/>
          <w:sz w:val="21"/>
          <w:szCs w:val="21"/>
        </w:rPr>
        <w:t>46</w:t>
      </w:r>
      <w:r>
        <w:rPr>
          <w:rFonts w:hint="eastAsia" w:ascii="楷体" w:hAnsi="楷体" w:cs="楷体"/>
          <w:i w:val="0"/>
          <w:sz w:val="21"/>
          <w:szCs w:val="21"/>
        </w:rPr>
        <w:fldChar w:fldCharType="end"/>
      </w:r>
      <w:r>
        <w:rPr>
          <w:rFonts w:hint="eastAsia" w:ascii="楷体" w:hAnsi="楷体" w:cs="楷体"/>
          <w:i w:val="0"/>
          <w:sz w:val="21"/>
          <w:szCs w:val="21"/>
        </w:rPr>
        <w:fldChar w:fldCharType="end"/>
      </w:r>
    </w:p>
    <w:p>
      <w:pPr>
        <w:pStyle w:val="11"/>
        <w:tabs>
          <w:tab w:val="right" w:leader="dot" w:pos="9070"/>
        </w:tabs>
        <w:spacing w:line="360" w:lineRule="auto"/>
        <w:rPr>
          <w:i w:val="0"/>
          <w:sz w:val="21"/>
          <w:szCs w:val="21"/>
        </w:rPr>
      </w:pPr>
      <w:r>
        <w:fldChar w:fldCharType="begin"/>
      </w:r>
      <w:r>
        <w:instrText xml:space="preserve"> HYPERLINK \l "_Toc23074" </w:instrText>
      </w:r>
      <w:r>
        <w:fldChar w:fldCharType="separate"/>
      </w:r>
      <w:r>
        <w:rPr>
          <w:rFonts w:hint="eastAsia" w:ascii="楷体" w:hAnsi="楷体" w:cs="楷体"/>
          <w:i w:val="0"/>
          <w:sz w:val="21"/>
          <w:szCs w:val="21"/>
        </w:rPr>
        <w:t>3．评标程序</w:t>
      </w:r>
      <w:r>
        <w:rPr>
          <w:rFonts w:hint="eastAsia" w:ascii="楷体" w:hAnsi="楷体" w:cs="楷体"/>
          <w:i w:val="0"/>
          <w:sz w:val="21"/>
          <w:szCs w:val="21"/>
        </w:rPr>
        <w:tab/>
      </w:r>
      <w:r>
        <w:rPr>
          <w:rFonts w:hint="eastAsia" w:ascii="楷体" w:hAnsi="楷体" w:cs="楷体"/>
          <w:i w:val="0"/>
          <w:sz w:val="21"/>
          <w:szCs w:val="21"/>
        </w:rPr>
        <w:fldChar w:fldCharType="begin"/>
      </w:r>
      <w:r>
        <w:rPr>
          <w:rFonts w:hint="eastAsia" w:ascii="楷体" w:hAnsi="楷体" w:cs="楷体"/>
          <w:i w:val="0"/>
          <w:sz w:val="21"/>
          <w:szCs w:val="21"/>
        </w:rPr>
        <w:instrText xml:space="preserve"> PAGEREF _Toc23074 \h </w:instrText>
      </w:r>
      <w:r>
        <w:rPr>
          <w:rFonts w:hint="eastAsia" w:ascii="楷体" w:hAnsi="楷体" w:cs="楷体"/>
          <w:i w:val="0"/>
          <w:sz w:val="21"/>
          <w:szCs w:val="21"/>
        </w:rPr>
        <w:fldChar w:fldCharType="separate"/>
      </w:r>
      <w:r>
        <w:rPr>
          <w:rFonts w:hint="eastAsia" w:ascii="楷体" w:hAnsi="楷体" w:cs="楷体"/>
          <w:i w:val="0"/>
          <w:sz w:val="21"/>
          <w:szCs w:val="21"/>
        </w:rPr>
        <w:t>46</w:t>
      </w:r>
      <w:r>
        <w:rPr>
          <w:rFonts w:hint="eastAsia" w:ascii="楷体" w:hAnsi="楷体" w:cs="楷体"/>
          <w:i w:val="0"/>
          <w:sz w:val="21"/>
          <w:szCs w:val="21"/>
        </w:rPr>
        <w:fldChar w:fldCharType="end"/>
      </w:r>
      <w:r>
        <w:rPr>
          <w:rFonts w:hint="eastAsia" w:ascii="楷体" w:hAnsi="楷体" w:cs="楷体"/>
          <w:i w:val="0"/>
          <w:sz w:val="21"/>
          <w:szCs w:val="21"/>
        </w:rPr>
        <w:fldChar w:fldCharType="end"/>
      </w:r>
    </w:p>
    <w:p>
      <w:pPr>
        <w:pStyle w:val="18"/>
        <w:tabs>
          <w:tab w:val="right" w:leader="dot" w:pos="9070"/>
        </w:tabs>
        <w:spacing w:line="360" w:lineRule="auto"/>
        <w:ind w:firstLine="201" w:firstLineChars="100"/>
        <w:rPr>
          <w:sz w:val="21"/>
          <w:szCs w:val="21"/>
        </w:rPr>
      </w:pPr>
      <w:r>
        <w:fldChar w:fldCharType="begin"/>
      </w:r>
      <w:r>
        <w:instrText xml:space="preserve"> HYPERLINK \l "_Toc12881" </w:instrText>
      </w:r>
      <w:r>
        <w:fldChar w:fldCharType="separate"/>
      </w:r>
      <w:r>
        <w:rPr>
          <w:rFonts w:hint="eastAsia" w:ascii="黑体"/>
          <w:bCs w:val="0"/>
          <w:sz w:val="21"/>
          <w:szCs w:val="21"/>
        </w:rPr>
        <w:t>第四章 合同条款及格式</w:t>
      </w:r>
      <w:r>
        <w:rPr>
          <w:sz w:val="21"/>
          <w:szCs w:val="21"/>
        </w:rPr>
        <w:tab/>
      </w:r>
      <w:r>
        <w:rPr>
          <w:sz w:val="21"/>
          <w:szCs w:val="21"/>
        </w:rPr>
        <w:fldChar w:fldCharType="begin"/>
      </w:r>
      <w:r>
        <w:rPr>
          <w:sz w:val="21"/>
          <w:szCs w:val="21"/>
        </w:rPr>
        <w:instrText xml:space="preserve"> PAGEREF _Toc12881 \h </w:instrText>
      </w:r>
      <w:r>
        <w:rPr>
          <w:sz w:val="21"/>
          <w:szCs w:val="21"/>
        </w:rPr>
        <w:fldChar w:fldCharType="separate"/>
      </w:r>
      <w:r>
        <w:rPr>
          <w:sz w:val="21"/>
          <w:szCs w:val="21"/>
        </w:rPr>
        <w:t>49</w:t>
      </w:r>
      <w:r>
        <w:rPr>
          <w:sz w:val="21"/>
          <w:szCs w:val="21"/>
        </w:rPr>
        <w:fldChar w:fldCharType="end"/>
      </w:r>
      <w:r>
        <w:rPr>
          <w:sz w:val="21"/>
          <w:szCs w:val="21"/>
        </w:rPr>
        <w:fldChar w:fldCharType="end"/>
      </w:r>
    </w:p>
    <w:p>
      <w:pPr>
        <w:pStyle w:val="11"/>
        <w:tabs>
          <w:tab w:val="right" w:leader="dot" w:pos="9070"/>
        </w:tabs>
        <w:spacing w:line="360" w:lineRule="auto"/>
        <w:rPr>
          <w:rFonts w:ascii="楷体" w:hAnsi="楷体" w:cs="楷体"/>
          <w:i w:val="0"/>
          <w:sz w:val="21"/>
          <w:szCs w:val="21"/>
        </w:rPr>
      </w:pPr>
      <w:r>
        <w:fldChar w:fldCharType="begin"/>
      </w:r>
      <w:r>
        <w:instrText xml:space="preserve"> HYPERLINK \l "_Toc21441" </w:instrText>
      </w:r>
      <w:r>
        <w:fldChar w:fldCharType="separate"/>
      </w:r>
      <w:r>
        <w:rPr>
          <w:rFonts w:hint="eastAsia" w:ascii="楷体" w:hAnsi="楷体" w:cs="楷体"/>
          <w:i w:val="0"/>
          <w:sz w:val="21"/>
          <w:szCs w:val="21"/>
        </w:rPr>
        <w:t>第一节 通用合同条款</w:t>
      </w:r>
      <w:r>
        <w:rPr>
          <w:rFonts w:hint="eastAsia" w:ascii="楷体" w:hAnsi="楷体" w:cs="楷体"/>
          <w:i w:val="0"/>
          <w:sz w:val="21"/>
          <w:szCs w:val="21"/>
        </w:rPr>
        <w:tab/>
      </w:r>
      <w:r>
        <w:rPr>
          <w:rFonts w:hint="eastAsia" w:ascii="楷体" w:hAnsi="楷体" w:cs="楷体"/>
          <w:i w:val="0"/>
          <w:sz w:val="21"/>
          <w:szCs w:val="21"/>
        </w:rPr>
        <w:fldChar w:fldCharType="begin"/>
      </w:r>
      <w:r>
        <w:rPr>
          <w:rFonts w:hint="eastAsia" w:ascii="楷体" w:hAnsi="楷体" w:cs="楷体"/>
          <w:i w:val="0"/>
          <w:sz w:val="21"/>
          <w:szCs w:val="21"/>
        </w:rPr>
        <w:instrText xml:space="preserve"> PAGEREF _Toc21441 \h </w:instrText>
      </w:r>
      <w:r>
        <w:rPr>
          <w:rFonts w:hint="eastAsia" w:ascii="楷体" w:hAnsi="楷体" w:cs="楷体"/>
          <w:i w:val="0"/>
          <w:sz w:val="21"/>
          <w:szCs w:val="21"/>
        </w:rPr>
        <w:fldChar w:fldCharType="separate"/>
      </w:r>
      <w:r>
        <w:rPr>
          <w:rFonts w:hint="eastAsia" w:ascii="楷体" w:hAnsi="楷体" w:cs="楷体"/>
          <w:i w:val="0"/>
          <w:sz w:val="21"/>
          <w:szCs w:val="21"/>
        </w:rPr>
        <w:t>49</w:t>
      </w:r>
      <w:r>
        <w:rPr>
          <w:rFonts w:hint="eastAsia" w:ascii="楷体" w:hAnsi="楷体" w:cs="楷体"/>
          <w:i w:val="0"/>
          <w:sz w:val="21"/>
          <w:szCs w:val="21"/>
        </w:rPr>
        <w:fldChar w:fldCharType="end"/>
      </w:r>
      <w:r>
        <w:rPr>
          <w:rFonts w:hint="eastAsia" w:ascii="楷体" w:hAnsi="楷体" w:cs="楷体"/>
          <w:i w:val="0"/>
          <w:sz w:val="21"/>
          <w:szCs w:val="21"/>
        </w:rPr>
        <w:fldChar w:fldCharType="end"/>
      </w:r>
    </w:p>
    <w:p>
      <w:pPr>
        <w:pStyle w:val="11"/>
        <w:tabs>
          <w:tab w:val="right" w:leader="dot" w:pos="9070"/>
        </w:tabs>
        <w:spacing w:line="360" w:lineRule="auto"/>
        <w:rPr>
          <w:rFonts w:ascii="楷体" w:hAnsi="楷体" w:cs="楷体"/>
          <w:i w:val="0"/>
          <w:sz w:val="21"/>
          <w:szCs w:val="21"/>
        </w:rPr>
      </w:pPr>
      <w:r>
        <w:fldChar w:fldCharType="begin"/>
      </w:r>
      <w:r>
        <w:instrText xml:space="preserve"> HYPERLINK \l "_Toc7002" </w:instrText>
      </w:r>
      <w:r>
        <w:fldChar w:fldCharType="separate"/>
      </w:r>
      <w:r>
        <w:rPr>
          <w:rFonts w:hint="eastAsia" w:ascii="楷体" w:hAnsi="楷体" w:cs="楷体"/>
          <w:i w:val="0"/>
          <w:sz w:val="21"/>
          <w:szCs w:val="21"/>
        </w:rPr>
        <w:t>第二节  项目专用合同条款</w:t>
      </w:r>
      <w:r>
        <w:rPr>
          <w:rFonts w:hint="eastAsia" w:ascii="楷体" w:hAnsi="楷体" w:cs="楷体"/>
          <w:i w:val="0"/>
          <w:sz w:val="21"/>
          <w:szCs w:val="21"/>
        </w:rPr>
        <w:tab/>
      </w:r>
      <w:r>
        <w:rPr>
          <w:rFonts w:hint="eastAsia" w:ascii="楷体" w:hAnsi="楷体" w:cs="楷体"/>
          <w:i w:val="0"/>
          <w:sz w:val="21"/>
          <w:szCs w:val="21"/>
        </w:rPr>
        <w:fldChar w:fldCharType="begin"/>
      </w:r>
      <w:r>
        <w:rPr>
          <w:rFonts w:hint="eastAsia" w:ascii="楷体" w:hAnsi="楷体" w:cs="楷体"/>
          <w:i w:val="0"/>
          <w:sz w:val="21"/>
          <w:szCs w:val="21"/>
        </w:rPr>
        <w:instrText xml:space="preserve"> PAGEREF _Toc7002 \h </w:instrText>
      </w:r>
      <w:r>
        <w:rPr>
          <w:rFonts w:hint="eastAsia" w:ascii="楷体" w:hAnsi="楷体" w:cs="楷体"/>
          <w:i w:val="0"/>
          <w:sz w:val="21"/>
          <w:szCs w:val="21"/>
        </w:rPr>
        <w:fldChar w:fldCharType="separate"/>
      </w:r>
      <w:r>
        <w:rPr>
          <w:rFonts w:hint="eastAsia" w:ascii="楷体" w:hAnsi="楷体" w:cs="楷体"/>
          <w:i w:val="0"/>
          <w:sz w:val="21"/>
          <w:szCs w:val="21"/>
        </w:rPr>
        <w:t>102</w:t>
      </w:r>
      <w:r>
        <w:rPr>
          <w:rFonts w:hint="eastAsia" w:ascii="楷体" w:hAnsi="楷体" w:cs="楷体"/>
          <w:i w:val="0"/>
          <w:sz w:val="21"/>
          <w:szCs w:val="21"/>
        </w:rPr>
        <w:fldChar w:fldCharType="end"/>
      </w:r>
      <w:r>
        <w:rPr>
          <w:rFonts w:hint="eastAsia" w:ascii="楷体" w:hAnsi="楷体" w:cs="楷体"/>
          <w:i w:val="0"/>
          <w:sz w:val="21"/>
          <w:szCs w:val="21"/>
        </w:rPr>
        <w:fldChar w:fldCharType="end"/>
      </w:r>
    </w:p>
    <w:p>
      <w:pPr>
        <w:pStyle w:val="11"/>
        <w:tabs>
          <w:tab w:val="right" w:leader="dot" w:pos="9070"/>
        </w:tabs>
        <w:spacing w:line="360" w:lineRule="auto"/>
        <w:rPr>
          <w:rFonts w:ascii="楷体" w:hAnsi="楷体" w:cs="楷体"/>
          <w:i w:val="0"/>
          <w:sz w:val="21"/>
          <w:szCs w:val="21"/>
        </w:rPr>
      </w:pPr>
      <w:r>
        <w:fldChar w:fldCharType="begin"/>
      </w:r>
      <w:r>
        <w:instrText xml:space="preserve"> HYPERLINK \l "_Toc4262" </w:instrText>
      </w:r>
      <w:r>
        <w:fldChar w:fldCharType="separate"/>
      </w:r>
      <w:r>
        <w:rPr>
          <w:rFonts w:hint="eastAsia" w:ascii="楷体" w:hAnsi="楷体" w:cs="楷体"/>
          <w:i w:val="0"/>
          <w:sz w:val="21"/>
          <w:szCs w:val="21"/>
        </w:rPr>
        <w:t>第三节  合同附件格式</w:t>
      </w:r>
      <w:r>
        <w:rPr>
          <w:rFonts w:hint="eastAsia" w:ascii="楷体" w:hAnsi="楷体" w:cs="楷体"/>
          <w:i w:val="0"/>
          <w:sz w:val="21"/>
          <w:szCs w:val="21"/>
        </w:rPr>
        <w:tab/>
      </w:r>
      <w:r>
        <w:rPr>
          <w:rFonts w:hint="eastAsia" w:ascii="楷体" w:hAnsi="楷体" w:cs="楷体"/>
          <w:i w:val="0"/>
          <w:sz w:val="21"/>
          <w:szCs w:val="21"/>
        </w:rPr>
        <w:fldChar w:fldCharType="begin"/>
      </w:r>
      <w:r>
        <w:rPr>
          <w:rFonts w:hint="eastAsia" w:ascii="楷体" w:hAnsi="楷体" w:cs="楷体"/>
          <w:i w:val="0"/>
          <w:sz w:val="21"/>
          <w:szCs w:val="21"/>
        </w:rPr>
        <w:instrText xml:space="preserve"> PAGEREF _Toc4262 \h </w:instrText>
      </w:r>
      <w:r>
        <w:rPr>
          <w:rFonts w:hint="eastAsia" w:ascii="楷体" w:hAnsi="楷体" w:cs="楷体"/>
          <w:i w:val="0"/>
          <w:sz w:val="21"/>
          <w:szCs w:val="21"/>
        </w:rPr>
        <w:fldChar w:fldCharType="separate"/>
      </w:r>
      <w:r>
        <w:rPr>
          <w:rFonts w:hint="eastAsia" w:ascii="楷体" w:hAnsi="楷体" w:cs="楷体"/>
          <w:i w:val="0"/>
          <w:sz w:val="21"/>
          <w:szCs w:val="21"/>
        </w:rPr>
        <w:t>117</w:t>
      </w:r>
      <w:r>
        <w:rPr>
          <w:rFonts w:hint="eastAsia" w:ascii="楷体" w:hAnsi="楷体" w:cs="楷体"/>
          <w:i w:val="0"/>
          <w:sz w:val="21"/>
          <w:szCs w:val="21"/>
        </w:rPr>
        <w:fldChar w:fldCharType="end"/>
      </w:r>
      <w:r>
        <w:rPr>
          <w:rFonts w:hint="eastAsia" w:ascii="楷体" w:hAnsi="楷体" w:cs="楷体"/>
          <w:i w:val="0"/>
          <w:sz w:val="21"/>
          <w:szCs w:val="21"/>
        </w:rPr>
        <w:fldChar w:fldCharType="end"/>
      </w:r>
    </w:p>
    <w:p>
      <w:pPr>
        <w:pStyle w:val="18"/>
        <w:tabs>
          <w:tab w:val="right" w:leader="dot" w:pos="9070"/>
        </w:tabs>
        <w:spacing w:line="360" w:lineRule="auto"/>
        <w:ind w:firstLine="201" w:firstLineChars="100"/>
        <w:rPr>
          <w:sz w:val="21"/>
          <w:szCs w:val="21"/>
        </w:rPr>
      </w:pPr>
      <w:r>
        <w:fldChar w:fldCharType="begin"/>
      </w:r>
      <w:r>
        <w:instrText xml:space="preserve"> HYPERLINK \l "_Toc5862" </w:instrText>
      </w:r>
      <w:r>
        <w:fldChar w:fldCharType="separate"/>
      </w:r>
      <w:r>
        <w:rPr>
          <w:rFonts w:hint="eastAsia" w:ascii="黑体"/>
          <w:bCs w:val="0"/>
          <w:sz w:val="21"/>
          <w:szCs w:val="21"/>
        </w:rPr>
        <w:t>第五章 工程量清单</w:t>
      </w:r>
      <w:r>
        <w:rPr>
          <w:sz w:val="21"/>
          <w:szCs w:val="21"/>
        </w:rPr>
        <w:tab/>
      </w:r>
      <w:r>
        <w:rPr>
          <w:sz w:val="21"/>
          <w:szCs w:val="21"/>
        </w:rPr>
        <w:fldChar w:fldCharType="begin"/>
      </w:r>
      <w:r>
        <w:rPr>
          <w:sz w:val="21"/>
          <w:szCs w:val="21"/>
        </w:rPr>
        <w:instrText xml:space="preserve"> PAGEREF _Toc5862 \h </w:instrText>
      </w:r>
      <w:r>
        <w:rPr>
          <w:sz w:val="21"/>
          <w:szCs w:val="21"/>
        </w:rPr>
        <w:fldChar w:fldCharType="separate"/>
      </w:r>
      <w:r>
        <w:rPr>
          <w:sz w:val="21"/>
          <w:szCs w:val="21"/>
        </w:rPr>
        <w:t>137</w:t>
      </w:r>
      <w:r>
        <w:rPr>
          <w:sz w:val="21"/>
          <w:szCs w:val="21"/>
        </w:rPr>
        <w:fldChar w:fldCharType="end"/>
      </w:r>
      <w:r>
        <w:rPr>
          <w:sz w:val="21"/>
          <w:szCs w:val="21"/>
        </w:rPr>
        <w:fldChar w:fldCharType="end"/>
      </w:r>
    </w:p>
    <w:p>
      <w:pPr>
        <w:pStyle w:val="11"/>
        <w:tabs>
          <w:tab w:val="right" w:leader="dot" w:pos="9070"/>
        </w:tabs>
        <w:spacing w:line="360" w:lineRule="auto"/>
        <w:rPr>
          <w:rFonts w:ascii="楷体" w:hAnsi="楷体" w:cs="楷体"/>
          <w:i w:val="0"/>
          <w:sz w:val="21"/>
          <w:szCs w:val="21"/>
        </w:rPr>
      </w:pPr>
      <w:r>
        <w:fldChar w:fldCharType="begin"/>
      </w:r>
      <w:r>
        <w:instrText xml:space="preserve"> HYPERLINK \l "_Toc3694" </w:instrText>
      </w:r>
      <w:r>
        <w:fldChar w:fldCharType="separate"/>
      </w:r>
      <w:r>
        <w:rPr>
          <w:rFonts w:hint="eastAsia" w:ascii="楷体" w:hAnsi="楷体" w:cs="楷体"/>
          <w:i w:val="0"/>
          <w:sz w:val="21"/>
          <w:szCs w:val="21"/>
        </w:rPr>
        <w:t>1．工程量清单说明</w:t>
      </w:r>
      <w:r>
        <w:rPr>
          <w:rFonts w:hint="eastAsia" w:ascii="楷体" w:hAnsi="楷体" w:cs="楷体"/>
          <w:i w:val="0"/>
          <w:sz w:val="21"/>
          <w:szCs w:val="21"/>
        </w:rPr>
        <w:tab/>
      </w:r>
      <w:r>
        <w:rPr>
          <w:rFonts w:hint="eastAsia" w:ascii="楷体" w:hAnsi="楷体" w:cs="楷体"/>
          <w:i w:val="0"/>
          <w:sz w:val="21"/>
          <w:szCs w:val="21"/>
        </w:rPr>
        <w:fldChar w:fldCharType="begin"/>
      </w:r>
      <w:r>
        <w:rPr>
          <w:rFonts w:hint="eastAsia" w:ascii="楷体" w:hAnsi="楷体" w:cs="楷体"/>
          <w:i w:val="0"/>
          <w:sz w:val="21"/>
          <w:szCs w:val="21"/>
        </w:rPr>
        <w:instrText xml:space="preserve"> PAGEREF _Toc3694 \h </w:instrText>
      </w:r>
      <w:r>
        <w:rPr>
          <w:rFonts w:hint="eastAsia" w:ascii="楷体" w:hAnsi="楷体" w:cs="楷体"/>
          <w:i w:val="0"/>
          <w:sz w:val="21"/>
          <w:szCs w:val="21"/>
        </w:rPr>
        <w:fldChar w:fldCharType="separate"/>
      </w:r>
      <w:r>
        <w:rPr>
          <w:rFonts w:hint="eastAsia" w:ascii="楷体" w:hAnsi="楷体" w:cs="楷体"/>
          <w:i w:val="0"/>
          <w:sz w:val="21"/>
          <w:szCs w:val="21"/>
        </w:rPr>
        <w:t>137</w:t>
      </w:r>
      <w:r>
        <w:rPr>
          <w:rFonts w:hint="eastAsia" w:ascii="楷体" w:hAnsi="楷体" w:cs="楷体"/>
          <w:i w:val="0"/>
          <w:sz w:val="21"/>
          <w:szCs w:val="21"/>
        </w:rPr>
        <w:fldChar w:fldCharType="end"/>
      </w:r>
      <w:r>
        <w:rPr>
          <w:rFonts w:hint="eastAsia" w:ascii="楷体" w:hAnsi="楷体" w:cs="楷体"/>
          <w:i w:val="0"/>
          <w:sz w:val="21"/>
          <w:szCs w:val="21"/>
        </w:rPr>
        <w:fldChar w:fldCharType="end"/>
      </w:r>
    </w:p>
    <w:p>
      <w:pPr>
        <w:pStyle w:val="11"/>
        <w:tabs>
          <w:tab w:val="right" w:leader="dot" w:pos="9070"/>
        </w:tabs>
        <w:spacing w:line="360" w:lineRule="auto"/>
        <w:rPr>
          <w:rFonts w:ascii="楷体" w:hAnsi="楷体" w:cs="楷体"/>
          <w:i w:val="0"/>
          <w:sz w:val="21"/>
          <w:szCs w:val="21"/>
        </w:rPr>
      </w:pPr>
      <w:r>
        <w:fldChar w:fldCharType="begin"/>
      </w:r>
      <w:r>
        <w:instrText xml:space="preserve"> HYPERLINK \l "_Toc17663" </w:instrText>
      </w:r>
      <w:r>
        <w:fldChar w:fldCharType="separate"/>
      </w:r>
      <w:r>
        <w:rPr>
          <w:rFonts w:hint="eastAsia" w:ascii="楷体" w:hAnsi="楷体" w:cs="楷体"/>
          <w:i w:val="0"/>
          <w:sz w:val="21"/>
          <w:szCs w:val="21"/>
        </w:rPr>
        <w:t>2．投标报价说明</w:t>
      </w:r>
      <w:r>
        <w:rPr>
          <w:rFonts w:hint="eastAsia" w:ascii="楷体" w:hAnsi="楷体" w:cs="楷体"/>
          <w:i w:val="0"/>
          <w:sz w:val="21"/>
          <w:szCs w:val="21"/>
        </w:rPr>
        <w:tab/>
      </w:r>
      <w:r>
        <w:rPr>
          <w:rFonts w:hint="eastAsia" w:ascii="楷体" w:hAnsi="楷体" w:cs="楷体"/>
          <w:i w:val="0"/>
          <w:sz w:val="21"/>
          <w:szCs w:val="21"/>
        </w:rPr>
        <w:fldChar w:fldCharType="begin"/>
      </w:r>
      <w:r>
        <w:rPr>
          <w:rFonts w:hint="eastAsia" w:ascii="楷体" w:hAnsi="楷体" w:cs="楷体"/>
          <w:i w:val="0"/>
          <w:sz w:val="21"/>
          <w:szCs w:val="21"/>
        </w:rPr>
        <w:instrText xml:space="preserve"> PAGEREF _Toc17663 \h </w:instrText>
      </w:r>
      <w:r>
        <w:rPr>
          <w:rFonts w:hint="eastAsia" w:ascii="楷体" w:hAnsi="楷体" w:cs="楷体"/>
          <w:i w:val="0"/>
          <w:sz w:val="21"/>
          <w:szCs w:val="21"/>
        </w:rPr>
        <w:fldChar w:fldCharType="separate"/>
      </w:r>
      <w:r>
        <w:rPr>
          <w:rFonts w:hint="eastAsia" w:ascii="楷体" w:hAnsi="楷体" w:cs="楷体"/>
          <w:i w:val="0"/>
          <w:sz w:val="21"/>
          <w:szCs w:val="21"/>
        </w:rPr>
        <w:t>138</w:t>
      </w:r>
      <w:r>
        <w:rPr>
          <w:rFonts w:hint="eastAsia" w:ascii="楷体" w:hAnsi="楷体" w:cs="楷体"/>
          <w:i w:val="0"/>
          <w:sz w:val="21"/>
          <w:szCs w:val="21"/>
        </w:rPr>
        <w:fldChar w:fldCharType="end"/>
      </w:r>
      <w:r>
        <w:rPr>
          <w:rFonts w:hint="eastAsia" w:ascii="楷体" w:hAnsi="楷体" w:cs="楷体"/>
          <w:i w:val="0"/>
          <w:sz w:val="21"/>
          <w:szCs w:val="21"/>
        </w:rPr>
        <w:fldChar w:fldCharType="end"/>
      </w:r>
    </w:p>
    <w:p>
      <w:pPr>
        <w:pStyle w:val="11"/>
        <w:tabs>
          <w:tab w:val="right" w:leader="dot" w:pos="9070"/>
        </w:tabs>
        <w:spacing w:line="360" w:lineRule="auto"/>
        <w:rPr>
          <w:rFonts w:ascii="楷体" w:hAnsi="楷体" w:cs="楷体"/>
          <w:i w:val="0"/>
          <w:sz w:val="21"/>
          <w:szCs w:val="21"/>
        </w:rPr>
      </w:pPr>
      <w:r>
        <w:fldChar w:fldCharType="begin"/>
      </w:r>
      <w:r>
        <w:instrText xml:space="preserve"> HYPERLINK \l "_Toc28774" </w:instrText>
      </w:r>
      <w:r>
        <w:fldChar w:fldCharType="separate"/>
      </w:r>
      <w:r>
        <w:rPr>
          <w:rFonts w:hint="eastAsia" w:ascii="楷体" w:hAnsi="楷体" w:cs="楷体"/>
          <w:i w:val="0"/>
          <w:sz w:val="21"/>
          <w:szCs w:val="21"/>
        </w:rPr>
        <w:t>3．其它说明</w:t>
      </w:r>
      <w:r>
        <w:rPr>
          <w:rFonts w:hint="eastAsia" w:ascii="楷体" w:hAnsi="楷体" w:cs="楷体"/>
          <w:i w:val="0"/>
          <w:sz w:val="21"/>
          <w:szCs w:val="21"/>
        </w:rPr>
        <w:tab/>
      </w:r>
      <w:r>
        <w:rPr>
          <w:rFonts w:hint="eastAsia" w:ascii="楷体" w:hAnsi="楷体" w:cs="楷体"/>
          <w:i w:val="0"/>
          <w:sz w:val="21"/>
          <w:szCs w:val="21"/>
        </w:rPr>
        <w:fldChar w:fldCharType="begin"/>
      </w:r>
      <w:r>
        <w:rPr>
          <w:rFonts w:hint="eastAsia" w:ascii="楷体" w:hAnsi="楷体" w:cs="楷体"/>
          <w:i w:val="0"/>
          <w:sz w:val="21"/>
          <w:szCs w:val="21"/>
        </w:rPr>
        <w:instrText xml:space="preserve"> PAGEREF _Toc28774 \h </w:instrText>
      </w:r>
      <w:r>
        <w:rPr>
          <w:rFonts w:hint="eastAsia" w:ascii="楷体" w:hAnsi="楷体" w:cs="楷体"/>
          <w:i w:val="0"/>
          <w:sz w:val="21"/>
          <w:szCs w:val="21"/>
        </w:rPr>
        <w:fldChar w:fldCharType="separate"/>
      </w:r>
      <w:r>
        <w:rPr>
          <w:rFonts w:hint="eastAsia" w:ascii="楷体" w:hAnsi="楷体" w:cs="楷体"/>
          <w:i w:val="0"/>
          <w:sz w:val="21"/>
          <w:szCs w:val="21"/>
        </w:rPr>
        <w:t>138</w:t>
      </w:r>
      <w:r>
        <w:rPr>
          <w:rFonts w:hint="eastAsia" w:ascii="楷体" w:hAnsi="楷体" w:cs="楷体"/>
          <w:i w:val="0"/>
          <w:sz w:val="21"/>
          <w:szCs w:val="21"/>
        </w:rPr>
        <w:fldChar w:fldCharType="end"/>
      </w:r>
      <w:r>
        <w:rPr>
          <w:rFonts w:hint="eastAsia" w:ascii="楷体" w:hAnsi="楷体" w:cs="楷体"/>
          <w:i w:val="0"/>
          <w:sz w:val="21"/>
          <w:szCs w:val="21"/>
        </w:rPr>
        <w:fldChar w:fldCharType="end"/>
      </w:r>
    </w:p>
    <w:p>
      <w:pPr>
        <w:pStyle w:val="11"/>
        <w:tabs>
          <w:tab w:val="right" w:leader="dot" w:pos="9070"/>
        </w:tabs>
        <w:spacing w:line="360" w:lineRule="auto"/>
        <w:rPr>
          <w:i w:val="0"/>
          <w:sz w:val="21"/>
          <w:szCs w:val="21"/>
        </w:rPr>
      </w:pPr>
      <w:r>
        <w:fldChar w:fldCharType="begin"/>
      </w:r>
      <w:r>
        <w:instrText xml:space="preserve"> HYPERLINK \l "_Toc23542" </w:instrText>
      </w:r>
      <w:r>
        <w:fldChar w:fldCharType="separate"/>
      </w:r>
      <w:r>
        <w:rPr>
          <w:rFonts w:hint="eastAsia" w:ascii="楷体" w:hAnsi="楷体" w:cs="楷体"/>
          <w:i w:val="0"/>
          <w:sz w:val="21"/>
          <w:szCs w:val="21"/>
        </w:rPr>
        <w:t>4. 工程量清单（另附）</w:t>
      </w:r>
      <w:r>
        <w:rPr>
          <w:rFonts w:hint="eastAsia" w:ascii="楷体" w:hAnsi="楷体" w:cs="楷体"/>
          <w:i w:val="0"/>
          <w:sz w:val="21"/>
          <w:szCs w:val="21"/>
        </w:rPr>
        <w:tab/>
      </w:r>
      <w:r>
        <w:rPr>
          <w:rFonts w:hint="eastAsia" w:ascii="楷体" w:hAnsi="楷体" w:cs="楷体"/>
          <w:i w:val="0"/>
          <w:sz w:val="21"/>
          <w:szCs w:val="21"/>
        </w:rPr>
        <w:fldChar w:fldCharType="begin"/>
      </w:r>
      <w:r>
        <w:rPr>
          <w:rFonts w:hint="eastAsia" w:ascii="楷体" w:hAnsi="楷体" w:cs="楷体"/>
          <w:i w:val="0"/>
          <w:sz w:val="21"/>
          <w:szCs w:val="21"/>
        </w:rPr>
        <w:instrText xml:space="preserve"> PAGEREF _Toc23542 \h </w:instrText>
      </w:r>
      <w:r>
        <w:rPr>
          <w:rFonts w:hint="eastAsia" w:ascii="楷体" w:hAnsi="楷体" w:cs="楷体"/>
          <w:i w:val="0"/>
          <w:sz w:val="21"/>
          <w:szCs w:val="21"/>
        </w:rPr>
        <w:fldChar w:fldCharType="separate"/>
      </w:r>
      <w:r>
        <w:rPr>
          <w:rFonts w:hint="eastAsia" w:ascii="楷体" w:hAnsi="楷体" w:cs="楷体"/>
          <w:i w:val="0"/>
          <w:sz w:val="21"/>
          <w:szCs w:val="21"/>
        </w:rPr>
        <w:t>139</w:t>
      </w:r>
      <w:r>
        <w:rPr>
          <w:rFonts w:hint="eastAsia" w:ascii="楷体" w:hAnsi="楷体" w:cs="楷体"/>
          <w:i w:val="0"/>
          <w:sz w:val="21"/>
          <w:szCs w:val="21"/>
        </w:rPr>
        <w:fldChar w:fldCharType="end"/>
      </w:r>
      <w:r>
        <w:rPr>
          <w:rFonts w:hint="eastAsia" w:ascii="楷体" w:hAnsi="楷体" w:cs="楷体"/>
          <w:i w:val="0"/>
          <w:sz w:val="21"/>
          <w:szCs w:val="21"/>
        </w:rPr>
        <w:fldChar w:fldCharType="end"/>
      </w:r>
    </w:p>
    <w:p>
      <w:pPr>
        <w:pStyle w:val="18"/>
        <w:tabs>
          <w:tab w:val="right" w:leader="dot" w:pos="9070"/>
        </w:tabs>
        <w:spacing w:line="360" w:lineRule="auto"/>
        <w:rPr>
          <w:sz w:val="21"/>
          <w:szCs w:val="21"/>
        </w:rPr>
      </w:pPr>
      <w:r>
        <w:fldChar w:fldCharType="begin"/>
      </w:r>
      <w:r>
        <w:instrText xml:space="preserve"> HYPERLINK \l "_Toc16396" </w:instrText>
      </w:r>
      <w:r>
        <w:fldChar w:fldCharType="separate"/>
      </w:r>
      <w:r>
        <w:rPr>
          <w:rFonts w:hint="eastAsia" w:ascii="黑体"/>
          <w:sz w:val="21"/>
          <w:szCs w:val="21"/>
        </w:rPr>
        <w:t>第 二 卷</w:t>
      </w:r>
      <w:r>
        <w:rPr>
          <w:sz w:val="21"/>
          <w:szCs w:val="21"/>
        </w:rPr>
        <w:tab/>
      </w:r>
      <w:r>
        <w:rPr>
          <w:sz w:val="21"/>
          <w:szCs w:val="21"/>
        </w:rPr>
        <w:fldChar w:fldCharType="begin"/>
      </w:r>
      <w:r>
        <w:rPr>
          <w:sz w:val="21"/>
          <w:szCs w:val="21"/>
        </w:rPr>
        <w:instrText xml:space="preserve"> PAGEREF _Toc16396 \h </w:instrText>
      </w:r>
      <w:r>
        <w:rPr>
          <w:sz w:val="21"/>
          <w:szCs w:val="21"/>
        </w:rPr>
        <w:fldChar w:fldCharType="separate"/>
      </w:r>
      <w:r>
        <w:rPr>
          <w:sz w:val="21"/>
          <w:szCs w:val="21"/>
        </w:rPr>
        <w:t>143</w:t>
      </w:r>
      <w:r>
        <w:rPr>
          <w:sz w:val="21"/>
          <w:szCs w:val="21"/>
        </w:rPr>
        <w:fldChar w:fldCharType="end"/>
      </w:r>
      <w:r>
        <w:rPr>
          <w:sz w:val="21"/>
          <w:szCs w:val="21"/>
        </w:rPr>
        <w:fldChar w:fldCharType="end"/>
      </w:r>
    </w:p>
    <w:p>
      <w:pPr>
        <w:pStyle w:val="18"/>
        <w:tabs>
          <w:tab w:val="right" w:leader="dot" w:pos="9070"/>
        </w:tabs>
        <w:spacing w:line="360" w:lineRule="auto"/>
        <w:ind w:firstLine="201" w:firstLineChars="100"/>
        <w:rPr>
          <w:sz w:val="21"/>
          <w:szCs w:val="21"/>
        </w:rPr>
      </w:pPr>
      <w:r>
        <w:fldChar w:fldCharType="begin"/>
      </w:r>
      <w:r>
        <w:instrText xml:space="preserve"> HYPERLINK \l "_Toc6184" </w:instrText>
      </w:r>
      <w:r>
        <w:fldChar w:fldCharType="separate"/>
      </w:r>
      <w:r>
        <w:rPr>
          <w:rFonts w:hint="eastAsia" w:ascii="黑体"/>
          <w:bCs w:val="0"/>
          <w:sz w:val="21"/>
          <w:szCs w:val="21"/>
        </w:rPr>
        <w:t>第六章  图纸（另册）</w:t>
      </w:r>
      <w:r>
        <w:rPr>
          <w:sz w:val="21"/>
          <w:szCs w:val="21"/>
        </w:rPr>
        <w:tab/>
      </w:r>
      <w:r>
        <w:rPr>
          <w:sz w:val="21"/>
          <w:szCs w:val="21"/>
        </w:rPr>
        <w:fldChar w:fldCharType="begin"/>
      </w:r>
      <w:r>
        <w:rPr>
          <w:sz w:val="21"/>
          <w:szCs w:val="21"/>
        </w:rPr>
        <w:instrText xml:space="preserve"> PAGEREF _Toc6184 \h </w:instrText>
      </w:r>
      <w:r>
        <w:rPr>
          <w:sz w:val="21"/>
          <w:szCs w:val="21"/>
        </w:rPr>
        <w:fldChar w:fldCharType="separate"/>
      </w:r>
      <w:r>
        <w:rPr>
          <w:sz w:val="21"/>
          <w:szCs w:val="21"/>
        </w:rPr>
        <w:t>144</w:t>
      </w:r>
      <w:r>
        <w:rPr>
          <w:sz w:val="21"/>
          <w:szCs w:val="21"/>
        </w:rPr>
        <w:fldChar w:fldCharType="end"/>
      </w:r>
      <w:r>
        <w:rPr>
          <w:sz w:val="21"/>
          <w:szCs w:val="21"/>
        </w:rPr>
        <w:fldChar w:fldCharType="end"/>
      </w:r>
    </w:p>
    <w:p>
      <w:pPr>
        <w:pStyle w:val="18"/>
        <w:tabs>
          <w:tab w:val="right" w:leader="dot" w:pos="9070"/>
        </w:tabs>
        <w:spacing w:line="360" w:lineRule="auto"/>
        <w:rPr>
          <w:sz w:val="21"/>
          <w:szCs w:val="21"/>
        </w:rPr>
      </w:pPr>
      <w:r>
        <w:fldChar w:fldCharType="begin"/>
      </w:r>
      <w:r>
        <w:instrText xml:space="preserve"> HYPERLINK \l "_Toc22702" </w:instrText>
      </w:r>
      <w:r>
        <w:fldChar w:fldCharType="separate"/>
      </w:r>
      <w:r>
        <w:rPr>
          <w:rFonts w:hint="eastAsia" w:ascii="黑体"/>
          <w:bCs w:val="0"/>
          <w:sz w:val="21"/>
          <w:szCs w:val="21"/>
        </w:rPr>
        <w:t>第 三 卷</w:t>
      </w:r>
      <w:r>
        <w:rPr>
          <w:sz w:val="21"/>
          <w:szCs w:val="21"/>
        </w:rPr>
        <w:tab/>
      </w:r>
      <w:r>
        <w:rPr>
          <w:sz w:val="21"/>
          <w:szCs w:val="21"/>
        </w:rPr>
        <w:fldChar w:fldCharType="begin"/>
      </w:r>
      <w:r>
        <w:rPr>
          <w:sz w:val="21"/>
          <w:szCs w:val="21"/>
        </w:rPr>
        <w:instrText xml:space="preserve"> PAGEREF _Toc22702 \h </w:instrText>
      </w:r>
      <w:r>
        <w:rPr>
          <w:sz w:val="21"/>
          <w:szCs w:val="21"/>
        </w:rPr>
        <w:fldChar w:fldCharType="separate"/>
      </w:r>
      <w:r>
        <w:rPr>
          <w:sz w:val="21"/>
          <w:szCs w:val="21"/>
        </w:rPr>
        <w:t>145</w:t>
      </w:r>
      <w:r>
        <w:rPr>
          <w:sz w:val="21"/>
          <w:szCs w:val="21"/>
        </w:rPr>
        <w:fldChar w:fldCharType="end"/>
      </w:r>
      <w:r>
        <w:rPr>
          <w:sz w:val="21"/>
          <w:szCs w:val="21"/>
        </w:rPr>
        <w:fldChar w:fldCharType="end"/>
      </w:r>
    </w:p>
    <w:p>
      <w:pPr>
        <w:pStyle w:val="18"/>
        <w:tabs>
          <w:tab w:val="right" w:leader="dot" w:pos="9070"/>
        </w:tabs>
        <w:spacing w:line="360" w:lineRule="auto"/>
        <w:ind w:firstLine="201" w:firstLineChars="100"/>
        <w:rPr>
          <w:sz w:val="21"/>
          <w:szCs w:val="21"/>
        </w:rPr>
      </w:pPr>
      <w:r>
        <w:fldChar w:fldCharType="begin"/>
      </w:r>
      <w:r>
        <w:instrText xml:space="preserve"> HYPERLINK \l "_Toc31423" </w:instrText>
      </w:r>
      <w:r>
        <w:fldChar w:fldCharType="separate"/>
      </w:r>
      <w:r>
        <w:rPr>
          <w:rFonts w:hint="eastAsia" w:ascii="黑体"/>
          <w:bCs w:val="0"/>
          <w:sz w:val="21"/>
          <w:szCs w:val="21"/>
        </w:rPr>
        <w:t>第七章  技术规范（另册）</w:t>
      </w:r>
      <w:r>
        <w:rPr>
          <w:sz w:val="21"/>
          <w:szCs w:val="21"/>
        </w:rPr>
        <w:tab/>
      </w:r>
      <w:r>
        <w:rPr>
          <w:sz w:val="21"/>
          <w:szCs w:val="21"/>
        </w:rPr>
        <w:fldChar w:fldCharType="begin"/>
      </w:r>
      <w:r>
        <w:rPr>
          <w:sz w:val="21"/>
          <w:szCs w:val="21"/>
        </w:rPr>
        <w:instrText xml:space="preserve"> PAGEREF _Toc31423 \h </w:instrText>
      </w:r>
      <w:r>
        <w:rPr>
          <w:sz w:val="21"/>
          <w:szCs w:val="21"/>
        </w:rPr>
        <w:fldChar w:fldCharType="separate"/>
      </w:r>
      <w:r>
        <w:rPr>
          <w:sz w:val="21"/>
          <w:szCs w:val="21"/>
        </w:rPr>
        <w:t>145</w:t>
      </w:r>
      <w:r>
        <w:rPr>
          <w:sz w:val="21"/>
          <w:szCs w:val="21"/>
        </w:rPr>
        <w:fldChar w:fldCharType="end"/>
      </w:r>
      <w:r>
        <w:rPr>
          <w:sz w:val="21"/>
          <w:szCs w:val="21"/>
        </w:rPr>
        <w:fldChar w:fldCharType="end"/>
      </w:r>
    </w:p>
    <w:p>
      <w:pPr>
        <w:pStyle w:val="18"/>
        <w:tabs>
          <w:tab w:val="right" w:leader="dot" w:pos="9070"/>
        </w:tabs>
        <w:spacing w:line="360" w:lineRule="auto"/>
        <w:rPr>
          <w:sz w:val="21"/>
          <w:szCs w:val="21"/>
        </w:rPr>
      </w:pPr>
      <w:r>
        <w:fldChar w:fldCharType="begin"/>
      </w:r>
      <w:r>
        <w:instrText xml:space="preserve"> HYPERLINK \l "_Toc28436" </w:instrText>
      </w:r>
      <w:r>
        <w:fldChar w:fldCharType="separate"/>
      </w:r>
      <w:r>
        <w:rPr>
          <w:rFonts w:hint="eastAsia" w:ascii="黑体"/>
          <w:bCs w:val="0"/>
          <w:sz w:val="21"/>
          <w:szCs w:val="21"/>
        </w:rPr>
        <w:t>第 四 卷</w:t>
      </w:r>
      <w:r>
        <w:rPr>
          <w:sz w:val="21"/>
          <w:szCs w:val="21"/>
        </w:rPr>
        <w:tab/>
      </w:r>
      <w:r>
        <w:rPr>
          <w:sz w:val="21"/>
          <w:szCs w:val="21"/>
        </w:rPr>
        <w:fldChar w:fldCharType="begin"/>
      </w:r>
      <w:r>
        <w:rPr>
          <w:sz w:val="21"/>
          <w:szCs w:val="21"/>
        </w:rPr>
        <w:instrText xml:space="preserve"> PAGEREF _Toc28436 \h </w:instrText>
      </w:r>
      <w:r>
        <w:rPr>
          <w:sz w:val="21"/>
          <w:szCs w:val="21"/>
        </w:rPr>
        <w:fldChar w:fldCharType="separate"/>
      </w:r>
      <w:r>
        <w:rPr>
          <w:sz w:val="21"/>
          <w:szCs w:val="21"/>
        </w:rPr>
        <w:t>146</w:t>
      </w:r>
      <w:r>
        <w:rPr>
          <w:sz w:val="21"/>
          <w:szCs w:val="21"/>
        </w:rPr>
        <w:fldChar w:fldCharType="end"/>
      </w:r>
      <w:r>
        <w:rPr>
          <w:sz w:val="21"/>
          <w:szCs w:val="21"/>
        </w:rPr>
        <w:fldChar w:fldCharType="end"/>
      </w:r>
    </w:p>
    <w:p>
      <w:pPr>
        <w:pStyle w:val="18"/>
        <w:tabs>
          <w:tab w:val="right" w:leader="dot" w:pos="9070"/>
        </w:tabs>
        <w:spacing w:line="360" w:lineRule="auto"/>
        <w:ind w:firstLine="201" w:firstLineChars="100"/>
        <w:rPr>
          <w:sz w:val="21"/>
          <w:szCs w:val="21"/>
        </w:rPr>
      </w:pPr>
      <w:r>
        <w:fldChar w:fldCharType="begin"/>
      </w:r>
      <w:r>
        <w:instrText xml:space="preserve"> HYPERLINK \l "_Toc12842" </w:instrText>
      </w:r>
      <w:r>
        <w:fldChar w:fldCharType="separate"/>
      </w:r>
      <w:r>
        <w:rPr>
          <w:rFonts w:hint="eastAsia" w:ascii="黑体"/>
          <w:bCs w:val="0"/>
          <w:sz w:val="21"/>
          <w:szCs w:val="21"/>
        </w:rPr>
        <w:t>第八章  投标文件格式</w:t>
      </w:r>
      <w:r>
        <w:rPr>
          <w:sz w:val="21"/>
          <w:szCs w:val="21"/>
        </w:rPr>
        <w:tab/>
      </w:r>
      <w:r>
        <w:rPr>
          <w:rFonts w:hint="eastAsia"/>
          <w:sz w:val="21"/>
          <w:szCs w:val="21"/>
        </w:rPr>
        <w:t>14</w:t>
      </w:r>
      <w:r>
        <w:rPr>
          <w:rFonts w:hint="eastAsia"/>
          <w:sz w:val="21"/>
          <w:szCs w:val="21"/>
        </w:rPr>
        <w:fldChar w:fldCharType="end"/>
      </w:r>
      <w:r>
        <w:rPr>
          <w:rFonts w:hint="eastAsia"/>
          <w:sz w:val="21"/>
          <w:szCs w:val="21"/>
        </w:rPr>
        <w:t>6</w:t>
      </w:r>
    </w:p>
    <w:p>
      <w:pPr>
        <w:pStyle w:val="11"/>
        <w:tabs>
          <w:tab w:val="right" w:leader="dot" w:pos="9070"/>
        </w:tabs>
        <w:spacing w:line="360" w:lineRule="auto"/>
        <w:rPr>
          <w:rFonts w:ascii="楷体" w:hAnsi="楷体" w:cs="楷体"/>
          <w:i w:val="0"/>
          <w:sz w:val="21"/>
          <w:szCs w:val="21"/>
        </w:rPr>
      </w:pPr>
      <w:r>
        <w:fldChar w:fldCharType="begin"/>
      </w:r>
      <w:r>
        <w:instrText xml:space="preserve"> HYPERLINK \l "_Toc4571" </w:instrText>
      </w:r>
      <w:r>
        <w:fldChar w:fldCharType="separate"/>
      </w:r>
      <w:r>
        <w:rPr>
          <w:rFonts w:hint="eastAsia" w:ascii="楷体" w:hAnsi="楷体" w:cs="楷体"/>
          <w:i w:val="0"/>
          <w:sz w:val="21"/>
          <w:szCs w:val="21"/>
        </w:rPr>
        <w:t>一、投标函及投标函附录</w:t>
      </w:r>
      <w:r>
        <w:rPr>
          <w:rFonts w:hint="eastAsia" w:ascii="楷体" w:hAnsi="楷体" w:cs="楷体"/>
          <w:i w:val="0"/>
          <w:sz w:val="21"/>
          <w:szCs w:val="21"/>
        </w:rPr>
        <w:tab/>
      </w:r>
      <w:r>
        <w:rPr>
          <w:rFonts w:hint="eastAsia" w:ascii="楷体" w:hAnsi="楷体" w:cs="楷体"/>
          <w:i w:val="0"/>
          <w:sz w:val="21"/>
          <w:szCs w:val="21"/>
        </w:rPr>
        <w:t>1</w:t>
      </w:r>
      <w:r>
        <w:rPr>
          <w:rFonts w:hint="eastAsia" w:ascii="楷体" w:hAnsi="楷体" w:cs="楷体"/>
          <w:i w:val="0"/>
          <w:sz w:val="21"/>
          <w:szCs w:val="21"/>
        </w:rPr>
        <w:fldChar w:fldCharType="end"/>
      </w:r>
      <w:r>
        <w:rPr>
          <w:rFonts w:hint="eastAsia" w:ascii="楷体" w:hAnsi="楷体" w:cs="楷体"/>
          <w:i w:val="0"/>
          <w:sz w:val="21"/>
          <w:szCs w:val="21"/>
        </w:rPr>
        <w:t>48</w:t>
      </w:r>
    </w:p>
    <w:p>
      <w:pPr>
        <w:pStyle w:val="11"/>
        <w:tabs>
          <w:tab w:val="right" w:leader="dot" w:pos="9070"/>
        </w:tabs>
        <w:spacing w:line="360" w:lineRule="auto"/>
        <w:rPr>
          <w:rFonts w:ascii="楷体" w:hAnsi="楷体" w:cs="楷体"/>
          <w:i w:val="0"/>
          <w:sz w:val="21"/>
          <w:szCs w:val="21"/>
        </w:rPr>
      </w:pPr>
      <w:r>
        <w:fldChar w:fldCharType="begin"/>
      </w:r>
      <w:r>
        <w:instrText xml:space="preserve"> HYPERLINK \l "_Toc22411" </w:instrText>
      </w:r>
      <w:r>
        <w:fldChar w:fldCharType="separate"/>
      </w:r>
      <w:r>
        <w:rPr>
          <w:rFonts w:hint="eastAsia" w:ascii="楷体" w:hAnsi="楷体" w:cs="楷体"/>
          <w:i w:val="0"/>
          <w:sz w:val="21"/>
          <w:szCs w:val="21"/>
        </w:rPr>
        <w:t>二、法定代表人身份证明及授权委托书</w:t>
      </w:r>
      <w:r>
        <w:rPr>
          <w:rFonts w:hint="eastAsia" w:ascii="楷体" w:hAnsi="楷体" w:cs="楷体"/>
          <w:i w:val="0"/>
          <w:sz w:val="21"/>
          <w:szCs w:val="21"/>
        </w:rPr>
        <w:tab/>
      </w:r>
      <w:r>
        <w:rPr>
          <w:rFonts w:hint="eastAsia" w:ascii="楷体" w:hAnsi="楷体" w:cs="楷体"/>
          <w:i w:val="0"/>
          <w:sz w:val="21"/>
          <w:szCs w:val="21"/>
        </w:rPr>
        <w:t>1</w:t>
      </w:r>
      <w:r>
        <w:rPr>
          <w:rFonts w:hint="eastAsia" w:ascii="楷体" w:hAnsi="楷体" w:cs="楷体"/>
          <w:i w:val="0"/>
          <w:sz w:val="21"/>
          <w:szCs w:val="21"/>
        </w:rPr>
        <w:fldChar w:fldCharType="end"/>
      </w:r>
      <w:r>
        <w:rPr>
          <w:rFonts w:hint="eastAsia" w:ascii="楷体" w:hAnsi="楷体" w:cs="楷体"/>
          <w:i w:val="0"/>
          <w:sz w:val="21"/>
          <w:szCs w:val="21"/>
        </w:rPr>
        <w:t>50</w:t>
      </w:r>
    </w:p>
    <w:p>
      <w:pPr>
        <w:pStyle w:val="11"/>
        <w:tabs>
          <w:tab w:val="right" w:leader="dot" w:pos="9070"/>
        </w:tabs>
        <w:spacing w:line="360" w:lineRule="auto"/>
        <w:rPr>
          <w:rFonts w:ascii="楷体" w:hAnsi="楷体" w:cs="楷体"/>
          <w:i w:val="0"/>
          <w:sz w:val="21"/>
          <w:szCs w:val="21"/>
        </w:rPr>
      </w:pPr>
      <w:r>
        <w:fldChar w:fldCharType="begin"/>
      </w:r>
      <w:r>
        <w:instrText xml:space="preserve"> HYPERLINK \l "_Toc2800" </w:instrText>
      </w:r>
      <w:r>
        <w:fldChar w:fldCharType="separate"/>
      </w:r>
      <w:r>
        <w:rPr>
          <w:rFonts w:hint="eastAsia" w:ascii="楷体" w:hAnsi="楷体" w:cs="楷体"/>
          <w:i w:val="0"/>
          <w:sz w:val="21"/>
          <w:szCs w:val="21"/>
        </w:rPr>
        <w:t>三、已标价工程量清单</w:t>
      </w:r>
      <w:r>
        <w:rPr>
          <w:rFonts w:hint="eastAsia" w:ascii="楷体" w:hAnsi="楷体" w:cs="楷体"/>
          <w:i w:val="0"/>
          <w:sz w:val="21"/>
          <w:szCs w:val="21"/>
        </w:rPr>
        <w:tab/>
      </w:r>
      <w:r>
        <w:rPr>
          <w:rFonts w:hint="eastAsia" w:ascii="楷体" w:hAnsi="楷体" w:cs="楷体"/>
          <w:i w:val="0"/>
          <w:sz w:val="21"/>
          <w:szCs w:val="21"/>
        </w:rPr>
        <w:t>1</w:t>
      </w:r>
      <w:r>
        <w:rPr>
          <w:rFonts w:hint="eastAsia" w:ascii="楷体" w:hAnsi="楷体" w:cs="楷体"/>
          <w:i w:val="0"/>
          <w:sz w:val="21"/>
          <w:szCs w:val="21"/>
        </w:rPr>
        <w:fldChar w:fldCharType="end"/>
      </w:r>
      <w:r>
        <w:rPr>
          <w:rFonts w:hint="eastAsia" w:ascii="楷体" w:hAnsi="楷体" w:cs="楷体"/>
          <w:i w:val="0"/>
          <w:sz w:val="21"/>
          <w:szCs w:val="21"/>
        </w:rPr>
        <w:t>53</w:t>
      </w:r>
    </w:p>
    <w:p>
      <w:pPr>
        <w:pStyle w:val="11"/>
        <w:tabs>
          <w:tab w:val="right" w:leader="dot" w:pos="9070"/>
        </w:tabs>
        <w:spacing w:line="360" w:lineRule="auto"/>
        <w:rPr>
          <w:rFonts w:ascii="楷体" w:hAnsi="楷体" w:cs="楷体"/>
          <w:i w:val="0"/>
          <w:sz w:val="21"/>
          <w:szCs w:val="21"/>
        </w:rPr>
      </w:pPr>
      <w:r>
        <w:fldChar w:fldCharType="begin"/>
      </w:r>
      <w:r>
        <w:instrText xml:space="preserve"> HYPERLINK \l "_Toc4442" </w:instrText>
      </w:r>
      <w:r>
        <w:fldChar w:fldCharType="separate"/>
      </w:r>
      <w:r>
        <w:rPr>
          <w:rFonts w:hint="eastAsia" w:ascii="楷体" w:hAnsi="楷体" w:cs="楷体"/>
          <w:i w:val="0"/>
          <w:sz w:val="21"/>
          <w:szCs w:val="21"/>
        </w:rPr>
        <w:t>四、养护工程作业方案</w:t>
      </w:r>
      <w:r>
        <w:rPr>
          <w:rFonts w:hint="eastAsia" w:ascii="楷体" w:hAnsi="楷体" w:cs="楷体"/>
          <w:i w:val="0"/>
          <w:sz w:val="21"/>
          <w:szCs w:val="21"/>
        </w:rPr>
        <w:tab/>
      </w:r>
      <w:r>
        <w:rPr>
          <w:rFonts w:hint="eastAsia" w:ascii="楷体" w:hAnsi="楷体" w:cs="楷体"/>
          <w:i w:val="0"/>
          <w:sz w:val="21"/>
          <w:szCs w:val="21"/>
        </w:rPr>
        <w:t>1</w:t>
      </w:r>
      <w:r>
        <w:rPr>
          <w:rFonts w:hint="eastAsia" w:ascii="楷体" w:hAnsi="楷体" w:cs="楷体"/>
          <w:i w:val="0"/>
          <w:sz w:val="21"/>
          <w:szCs w:val="21"/>
        </w:rPr>
        <w:fldChar w:fldCharType="end"/>
      </w:r>
      <w:r>
        <w:rPr>
          <w:rFonts w:hint="eastAsia" w:ascii="楷体" w:hAnsi="楷体" w:cs="楷体"/>
          <w:i w:val="0"/>
          <w:sz w:val="21"/>
          <w:szCs w:val="21"/>
        </w:rPr>
        <w:t>54</w:t>
      </w:r>
    </w:p>
    <w:p>
      <w:pPr>
        <w:pStyle w:val="11"/>
        <w:tabs>
          <w:tab w:val="right" w:leader="dot" w:pos="9070"/>
        </w:tabs>
        <w:spacing w:line="360" w:lineRule="auto"/>
        <w:rPr>
          <w:rFonts w:ascii="楷体" w:hAnsi="楷体" w:cs="楷体"/>
          <w:i w:val="0"/>
          <w:sz w:val="21"/>
          <w:szCs w:val="21"/>
        </w:rPr>
      </w:pPr>
      <w:r>
        <w:fldChar w:fldCharType="begin"/>
      </w:r>
      <w:r>
        <w:instrText xml:space="preserve"> HYPERLINK \l "_Toc1677" </w:instrText>
      </w:r>
      <w:r>
        <w:fldChar w:fldCharType="separate"/>
      </w:r>
      <w:r>
        <w:rPr>
          <w:rFonts w:hint="eastAsia" w:ascii="楷体" w:hAnsi="楷体" w:cs="楷体"/>
          <w:i w:val="0"/>
          <w:sz w:val="21"/>
          <w:szCs w:val="21"/>
        </w:rPr>
        <w:t>五、项目管理机构</w:t>
      </w:r>
      <w:r>
        <w:rPr>
          <w:rFonts w:hint="eastAsia" w:ascii="楷体" w:hAnsi="楷体" w:cs="楷体"/>
          <w:i w:val="0"/>
          <w:sz w:val="21"/>
          <w:szCs w:val="21"/>
        </w:rPr>
        <w:tab/>
      </w:r>
      <w:r>
        <w:rPr>
          <w:rFonts w:hint="eastAsia" w:ascii="楷体" w:hAnsi="楷体" w:cs="楷体"/>
          <w:i w:val="0"/>
          <w:sz w:val="21"/>
          <w:szCs w:val="21"/>
        </w:rPr>
        <w:t>1</w:t>
      </w:r>
      <w:r>
        <w:rPr>
          <w:rFonts w:hint="eastAsia" w:ascii="楷体" w:hAnsi="楷体" w:cs="楷体"/>
          <w:i w:val="0"/>
          <w:sz w:val="21"/>
          <w:szCs w:val="21"/>
        </w:rPr>
        <w:fldChar w:fldCharType="end"/>
      </w:r>
      <w:r>
        <w:rPr>
          <w:rFonts w:hint="eastAsia" w:ascii="楷体" w:hAnsi="楷体" w:cs="楷体"/>
          <w:i w:val="0"/>
          <w:sz w:val="21"/>
          <w:szCs w:val="21"/>
        </w:rPr>
        <w:t>60</w:t>
      </w:r>
    </w:p>
    <w:p>
      <w:pPr>
        <w:pStyle w:val="11"/>
        <w:tabs>
          <w:tab w:val="right" w:leader="dot" w:pos="9070"/>
        </w:tabs>
        <w:spacing w:line="360" w:lineRule="auto"/>
        <w:rPr>
          <w:rFonts w:ascii="楷体" w:hAnsi="楷体" w:cs="楷体"/>
          <w:i w:val="0"/>
          <w:sz w:val="21"/>
          <w:szCs w:val="21"/>
        </w:rPr>
      </w:pPr>
      <w:r>
        <w:fldChar w:fldCharType="begin"/>
      </w:r>
      <w:r>
        <w:instrText xml:space="preserve"> HYPERLINK \l "_Toc28564" </w:instrText>
      </w:r>
      <w:r>
        <w:fldChar w:fldCharType="separate"/>
      </w:r>
      <w:r>
        <w:rPr>
          <w:rFonts w:hint="eastAsia" w:ascii="楷体" w:hAnsi="楷体" w:cs="楷体"/>
          <w:i w:val="0"/>
          <w:sz w:val="21"/>
          <w:szCs w:val="21"/>
        </w:rPr>
        <w:t>六、拟分包项目情况表</w:t>
      </w:r>
      <w:r>
        <w:rPr>
          <w:rFonts w:hint="eastAsia" w:ascii="楷体" w:hAnsi="楷体" w:cs="楷体"/>
          <w:i w:val="0"/>
          <w:sz w:val="21"/>
          <w:szCs w:val="21"/>
        </w:rPr>
        <w:tab/>
      </w:r>
      <w:r>
        <w:rPr>
          <w:rFonts w:hint="eastAsia" w:ascii="楷体" w:hAnsi="楷体" w:cs="楷体"/>
          <w:i w:val="0"/>
          <w:sz w:val="21"/>
          <w:szCs w:val="21"/>
        </w:rPr>
        <w:t>1</w:t>
      </w:r>
      <w:r>
        <w:rPr>
          <w:rFonts w:hint="eastAsia" w:ascii="楷体" w:hAnsi="楷体" w:cs="楷体"/>
          <w:i w:val="0"/>
          <w:sz w:val="21"/>
          <w:szCs w:val="21"/>
        </w:rPr>
        <w:fldChar w:fldCharType="end"/>
      </w:r>
      <w:r>
        <w:rPr>
          <w:rFonts w:hint="eastAsia" w:ascii="楷体" w:hAnsi="楷体" w:cs="楷体"/>
          <w:i w:val="0"/>
          <w:sz w:val="21"/>
          <w:szCs w:val="21"/>
        </w:rPr>
        <w:t>61</w:t>
      </w:r>
    </w:p>
    <w:p>
      <w:pPr>
        <w:pStyle w:val="11"/>
        <w:tabs>
          <w:tab w:val="right" w:leader="dot" w:pos="9070"/>
        </w:tabs>
        <w:spacing w:line="360" w:lineRule="auto"/>
        <w:rPr>
          <w:rFonts w:ascii="楷体" w:hAnsi="楷体" w:cs="楷体"/>
          <w:i w:val="0"/>
          <w:sz w:val="21"/>
          <w:szCs w:val="21"/>
        </w:rPr>
      </w:pPr>
      <w:r>
        <w:fldChar w:fldCharType="begin"/>
      </w:r>
      <w:r>
        <w:instrText xml:space="preserve"> HYPERLINK \l "_Toc29900" </w:instrText>
      </w:r>
      <w:r>
        <w:fldChar w:fldCharType="separate"/>
      </w:r>
      <w:r>
        <w:rPr>
          <w:rFonts w:hint="eastAsia" w:ascii="楷体" w:hAnsi="楷体" w:cs="楷体"/>
          <w:i w:val="0"/>
          <w:sz w:val="21"/>
          <w:szCs w:val="21"/>
        </w:rPr>
        <w:t>七、资格审查资料</w:t>
      </w:r>
      <w:r>
        <w:rPr>
          <w:rFonts w:hint="eastAsia" w:ascii="楷体" w:hAnsi="楷体" w:cs="楷体"/>
          <w:i w:val="0"/>
          <w:sz w:val="21"/>
          <w:szCs w:val="21"/>
        </w:rPr>
        <w:tab/>
      </w:r>
      <w:r>
        <w:rPr>
          <w:rFonts w:hint="eastAsia" w:ascii="楷体" w:hAnsi="楷体" w:cs="楷体"/>
          <w:i w:val="0"/>
          <w:sz w:val="21"/>
          <w:szCs w:val="21"/>
        </w:rPr>
        <w:t>1</w:t>
      </w:r>
      <w:r>
        <w:rPr>
          <w:rFonts w:hint="eastAsia" w:ascii="楷体" w:hAnsi="楷体" w:cs="楷体"/>
          <w:i w:val="0"/>
          <w:sz w:val="21"/>
          <w:szCs w:val="21"/>
        </w:rPr>
        <w:fldChar w:fldCharType="end"/>
      </w:r>
      <w:r>
        <w:rPr>
          <w:rFonts w:hint="eastAsia" w:ascii="楷体" w:hAnsi="楷体" w:cs="楷体"/>
          <w:i w:val="0"/>
          <w:sz w:val="21"/>
          <w:szCs w:val="21"/>
        </w:rPr>
        <w:t>62</w:t>
      </w:r>
    </w:p>
    <w:p>
      <w:pPr>
        <w:pStyle w:val="11"/>
        <w:tabs>
          <w:tab w:val="right" w:leader="dot" w:pos="9070"/>
        </w:tabs>
        <w:spacing w:line="360" w:lineRule="auto"/>
        <w:rPr>
          <w:rFonts w:ascii="楷体" w:hAnsi="楷体" w:cs="楷体"/>
          <w:i w:val="0"/>
          <w:sz w:val="21"/>
          <w:szCs w:val="21"/>
        </w:rPr>
      </w:pPr>
      <w:r>
        <w:fldChar w:fldCharType="begin"/>
      </w:r>
      <w:r>
        <w:instrText xml:space="preserve"> HYPERLINK \l "_Toc5547" </w:instrText>
      </w:r>
      <w:r>
        <w:fldChar w:fldCharType="separate"/>
      </w:r>
      <w:r>
        <w:rPr>
          <w:rFonts w:hint="eastAsia" w:ascii="楷体" w:hAnsi="楷体" w:cs="楷体"/>
          <w:i w:val="0"/>
          <w:sz w:val="21"/>
          <w:szCs w:val="21"/>
        </w:rPr>
        <w:t>八、承诺函</w:t>
      </w:r>
      <w:r>
        <w:rPr>
          <w:rFonts w:hint="eastAsia" w:ascii="楷体" w:hAnsi="楷体" w:cs="楷体"/>
          <w:i w:val="0"/>
          <w:sz w:val="21"/>
          <w:szCs w:val="21"/>
        </w:rPr>
        <w:tab/>
      </w:r>
      <w:r>
        <w:rPr>
          <w:rFonts w:hint="eastAsia" w:ascii="楷体" w:hAnsi="楷体" w:cs="楷体"/>
          <w:i w:val="0"/>
          <w:sz w:val="21"/>
          <w:szCs w:val="21"/>
        </w:rPr>
        <w:t>1</w:t>
      </w:r>
      <w:r>
        <w:rPr>
          <w:rFonts w:hint="eastAsia" w:ascii="楷体" w:hAnsi="楷体" w:cs="楷体"/>
          <w:i w:val="0"/>
          <w:sz w:val="21"/>
          <w:szCs w:val="21"/>
        </w:rPr>
        <w:fldChar w:fldCharType="end"/>
      </w:r>
      <w:r>
        <w:rPr>
          <w:rFonts w:hint="eastAsia" w:ascii="楷体" w:hAnsi="楷体" w:cs="楷体"/>
          <w:i w:val="0"/>
          <w:sz w:val="21"/>
          <w:szCs w:val="21"/>
        </w:rPr>
        <w:t>72</w:t>
      </w:r>
    </w:p>
    <w:p>
      <w:pPr>
        <w:pStyle w:val="11"/>
        <w:tabs>
          <w:tab w:val="right" w:leader="dot" w:pos="9070"/>
        </w:tabs>
        <w:spacing w:line="360" w:lineRule="auto"/>
        <w:rPr>
          <w:i w:val="0"/>
          <w:sz w:val="21"/>
          <w:szCs w:val="21"/>
        </w:rPr>
      </w:pPr>
      <w:r>
        <w:fldChar w:fldCharType="begin"/>
      </w:r>
      <w:r>
        <w:instrText xml:space="preserve"> HYPERLINK \l "_Toc3370" </w:instrText>
      </w:r>
      <w:r>
        <w:fldChar w:fldCharType="separate"/>
      </w:r>
      <w:r>
        <w:rPr>
          <w:rFonts w:hint="eastAsia" w:ascii="楷体" w:hAnsi="楷体" w:cs="楷体"/>
          <w:i w:val="0"/>
          <w:sz w:val="21"/>
          <w:szCs w:val="21"/>
        </w:rPr>
        <w:t>九、其它材料</w:t>
      </w:r>
      <w:r>
        <w:rPr>
          <w:rFonts w:hint="eastAsia" w:ascii="楷体" w:hAnsi="楷体" w:cs="楷体"/>
          <w:i w:val="0"/>
          <w:sz w:val="21"/>
          <w:szCs w:val="21"/>
        </w:rPr>
        <w:tab/>
      </w:r>
      <w:r>
        <w:rPr>
          <w:rFonts w:hint="eastAsia" w:ascii="楷体" w:hAnsi="楷体" w:cs="楷体"/>
          <w:i w:val="0"/>
          <w:sz w:val="21"/>
          <w:szCs w:val="21"/>
        </w:rPr>
        <w:t>1</w:t>
      </w:r>
      <w:r>
        <w:rPr>
          <w:rFonts w:hint="eastAsia" w:ascii="楷体" w:hAnsi="楷体" w:cs="楷体"/>
          <w:i w:val="0"/>
          <w:sz w:val="21"/>
          <w:szCs w:val="21"/>
        </w:rPr>
        <w:fldChar w:fldCharType="end"/>
      </w:r>
      <w:r>
        <w:rPr>
          <w:rFonts w:hint="eastAsia"/>
          <w:i w:val="0"/>
          <w:sz w:val="21"/>
          <w:szCs w:val="21"/>
        </w:rPr>
        <w:t>73</w:t>
      </w:r>
    </w:p>
    <w:p>
      <w:pPr>
        <w:spacing w:line="300" w:lineRule="auto"/>
        <w:sectPr>
          <w:footerReference r:id="rId14" w:type="first"/>
          <w:footerReference r:id="rId13" w:type="default"/>
          <w:pgSz w:w="11906" w:h="16838"/>
          <w:pgMar w:top="1417" w:right="1418" w:bottom="1417" w:left="1418" w:header="794" w:footer="1134" w:gutter="0"/>
          <w:pgNumType w:start="1"/>
          <w:cols w:space="0" w:num="1"/>
          <w:docGrid w:linePitch="312" w:charSpace="0"/>
        </w:sectPr>
      </w:pPr>
      <w:r>
        <w:rPr>
          <w:rFonts w:hint="eastAsia"/>
          <w:szCs w:val="21"/>
        </w:rPr>
        <w:fldChar w:fldCharType="end"/>
      </w:r>
    </w:p>
    <w:p>
      <w:pPr>
        <w:pStyle w:val="4"/>
        <w:rPr>
          <w:rFonts w:ascii="黑体" w:eastAsia="黑体"/>
          <w:bCs w:val="0"/>
          <w:sz w:val="72"/>
          <w:szCs w:val="72"/>
        </w:rPr>
      </w:pPr>
      <w:bookmarkStart w:id="0" w:name="_Toc5116"/>
      <w:bookmarkStart w:id="1" w:name="_Toc18948"/>
      <w:bookmarkStart w:id="2" w:name="_Toc12313"/>
      <w:bookmarkStart w:id="3" w:name="_Toc11457"/>
      <w:bookmarkStart w:id="4" w:name="_Toc28194"/>
      <w:bookmarkStart w:id="5" w:name="_Toc26017"/>
      <w:bookmarkStart w:id="6" w:name="_Toc6015"/>
    </w:p>
    <w:p>
      <w:pPr>
        <w:pStyle w:val="4"/>
        <w:jc w:val="center"/>
        <w:rPr>
          <w:rFonts w:ascii="黑体" w:eastAsia="黑体"/>
          <w:bCs w:val="0"/>
          <w:sz w:val="72"/>
          <w:szCs w:val="72"/>
        </w:rPr>
      </w:pPr>
      <w:bookmarkStart w:id="7" w:name="_Toc3416"/>
      <w:bookmarkStart w:id="8" w:name="_Toc30866"/>
      <w:bookmarkStart w:id="9" w:name="_Toc24241"/>
      <w:bookmarkStart w:id="10" w:name="_Toc20045"/>
      <w:bookmarkStart w:id="11" w:name="_Toc24692"/>
      <w:bookmarkStart w:id="12" w:name="_Toc9478"/>
      <w:bookmarkStart w:id="13" w:name="_Toc4111"/>
      <w:bookmarkStart w:id="14" w:name="_Toc18271"/>
      <w:bookmarkStart w:id="15" w:name="_Toc29187"/>
      <w:bookmarkStart w:id="16" w:name="_Toc3341"/>
      <w:bookmarkStart w:id="17" w:name="_Toc7475"/>
      <w:r>
        <w:rPr>
          <w:rFonts w:hint="eastAsia" w:ascii="黑体" w:eastAsia="黑体"/>
          <w:bCs w:val="0"/>
          <w:sz w:val="72"/>
          <w:szCs w:val="72"/>
        </w:rPr>
        <w:t>第 一 卷</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4"/>
        <w:jc w:val="center"/>
        <w:rPr>
          <w:rFonts w:ascii="黑体" w:eastAsia="黑体"/>
          <w:b w:val="0"/>
          <w:sz w:val="52"/>
          <w:szCs w:val="52"/>
        </w:rPr>
      </w:pPr>
    </w:p>
    <w:p>
      <w:pPr>
        <w:pStyle w:val="4"/>
        <w:jc w:val="center"/>
        <w:rPr>
          <w:rFonts w:ascii="黑体" w:eastAsia="黑体"/>
          <w:b w:val="0"/>
          <w:sz w:val="52"/>
          <w:szCs w:val="52"/>
        </w:rPr>
      </w:pPr>
    </w:p>
    <w:p>
      <w:pPr>
        <w:rPr>
          <w:rFonts w:ascii="黑体" w:eastAsia="黑体"/>
          <w:sz w:val="52"/>
          <w:szCs w:val="52"/>
        </w:rPr>
      </w:pPr>
    </w:p>
    <w:p>
      <w:pPr>
        <w:pStyle w:val="2"/>
        <w:ind w:firstLine="520"/>
        <w:rPr>
          <w:rFonts w:ascii="黑体" w:eastAsia="黑体"/>
          <w:sz w:val="52"/>
          <w:szCs w:val="52"/>
        </w:rPr>
      </w:pPr>
    </w:p>
    <w:p>
      <w:pPr>
        <w:pStyle w:val="2"/>
        <w:ind w:firstLine="520"/>
        <w:rPr>
          <w:rFonts w:ascii="黑体" w:eastAsia="黑体"/>
          <w:sz w:val="52"/>
          <w:szCs w:val="52"/>
        </w:rPr>
      </w:pPr>
    </w:p>
    <w:p>
      <w:pPr>
        <w:rPr>
          <w:rFonts w:ascii="黑体" w:eastAsia="黑体"/>
          <w:sz w:val="52"/>
          <w:szCs w:val="52"/>
        </w:rPr>
      </w:pPr>
    </w:p>
    <w:p>
      <w:pPr>
        <w:rPr>
          <w:rFonts w:ascii="黑体" w:eastAsia="黑体"/>
          <w:sz w:val="52"/>
          <w:szCs w:val="52"/>
        </w:rPr>
      </w:pPr>
    </w:p>
    <w:p>
      <w:pPr>
        <w:pStyle w:val="4"/>
        <w:numPr>
          <w:ilvl w:val="0"/>
          <w:numId w:val="2"/>
        </w:numPr>
        <w:spacing w:before="0" w:afterLines="100" w:line="240" w:lineRule="auto"/>
        <w:jc w:val="center"/>
        <w:rPr>
          <w:rFonts w:ascii="黑体" w:eastAsia="黑体"/>
          <w:bCs w:val="0"/>
        </w:rPr>
      </w:pPr>
      <w:bookmarkStart w:id="18" w:name="_Toc1353"/>
      <w:bookmarkStart w:id="19" w:name="_Toc6298"/>
      <w:bookmarkStart w:id="20" w:name="_Toc23160"/>
      <w:bookmarkStart w:id="21" w:name="_Toc2813"/>
      <w:bookmarkStart w:id="22" w:name="_Toc19041"/>
      <w:bookmarkStart w:id="23" w:name="_Toc4771"/>
      <w:bookmarkStart w:id="24" w:name="_Toc31650"/>
      <w:bookmarkStart w:id="25" w:name="_Toc17358"/>
      <w:bookmarkStart w:id="26" w:name="_Toc3257"/>
      <w:bookmarkStart w:id="27" w:name="_Toc13684"/>
      <w:bookmarkStart w:id="28" w:name="_Toc24657"/>
      <w:bookmarkStart w:id="29" w:name="_Toc31848"/>
      <w:bookmarkStart w:id="30" w:name="_Toc2984"/>
      <w:bookmarkStart w:id="31" w:name="_Toc22329"/>
      <w:bookmarkStart w:id="32" w:name="_Toc2364"/>
      <w:r>
        <w:rPr>
          <w:rFonts w:hint="eastAsia" w:ascii="黑体" w:eastAsia="黑体"/>
          <w:bCs w:val="0"/>
        </w:rPr>
        <w:t>招标公告</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4"/>
        <w:bidi/>
        <w:spacing w:beforeLines="50" w:afterLines="50" w:line="240" w:lineRule="auto"/>
        <w:jc w:val="center"/>
        <w:rPr>
          <w:rFonts w:ascii="黑体" w:hAnsi="黑体" w:cs="黑体"/>
          <w:sz w:val="30"/>
          <w:szCs w:val="30"/>
        </w:rPr>
      </w:pPr>
      <w:bookmarkStart w:id="33" w:name="_Toc7178"/>
      <w:bookmarkStart w:id="34" w:name="_Toc3381"/>
      <w:bookmarkStart w:id="35" w:name="_Toc1371"/>
      <w:bookmarkStart w:id="36" w:name="_Toc27265"/>
      <w:bookmarkStart w:id="37" w:name="_Toc9610"/>
      <w:bookmarkStart w:id="38" w:name="_Toc625"/>
      <w:r>
        <w:rPr>
          <w:rFonts w:hint="eastAsia"/>
          <w:sz w:val="30"/>
          <w:szCs w:val="30"/>
          <w:lang w:eastAsia="zh-CN"/>
        </w:rPr>
        <w:t>桐庐县2022年普通国道养护大中修工程（G320沪瑞线）</w:t>
      </w:r>
      <w:r>
        <w:rPr>
          <w:rFonts w:hint="eastAsia"/>
          <w:sz w:val="30"/>
          <w:szCs w:val="30"/>
        </w:rPr>
        <w:t>施工招标公告</w:t>
      </w:r>
      <w:bookmarkEnd w:id="33"/>
      <w:bookmarkEnd w:id="34"/>
      <w:bookmarkEnd w:id="35"/>
      <w:bookmarkEnd w:id="36"/>
      <w:bookmarkEnd w:id="37"/>
      <w:bookmarkEnd w:id="38"/>
    </w:p>
    <w:p>
      <w:pPr>
        <w:spacing w:line="460" w:lineRule="exact"/>
        <w:jc w:val="left"/>
        <w:outlineLvl w:val="2"/>
        <w:rPr>
          <w:rFonts w:ascii="楷体" w:hAnsi="楷体" w:cs="楷体"/>
          <w:b/>
          <w:sz w:val="24"/>
        </w:rPr>
      </w:pPr>
      <w:bookmarkStart w:id="39" w:name="_Toc18062"/>
      <w:bookmarkStart w:id="40" w:name="_Toc23221"/>
      <w:bookmarkStart w:id="41" w:name="_Toc7524"/>
      <w:bookmarkStart w:id="42" w:name="_Toc26806"/>
      <w:r>
        <w:rPr>
          <w:rFonts w:hint="eastAsia" w:ascii="楷体" w:hAnsi="楷体" w:cs="楷体"/>
          <w:b/>
          <w:sz w:val="24"/>
        </w:rPr>
        <w:t>1．招标条件</w:t>
      </w:r>
      <w:bookmarkEnd w:id="39"/>
      <w:bookmarkEnd w:id="40"/>
      <w:bookmarkEnd w:id="41"/>
      <w:bookmarkEnd w:id="42"/>
    </w:p>
    <w:p>
      <w:pPr>
        <w:spacing w:line="460" w:lineRule="exact"/>
        <w:ind w:firstLine="480" w:firstLineChars="200"/>
        <w:rPr>
          <w:rFonts w:ascii="楷体" w:hAnsi="楷体" w:cs="楷体"/>
          <w:sz w:val="24"/>
          <w:u w:val="single"/>
        </w:rPr>
      </w:pPr>
      <w:r>
        <w:rPr>
          <w:rFonts w:hint="eastAsia" w:ascii="楷体" w:hAnsi="楷体" w:cs="楷体"/>
          <w:sz w:val="24"/>
        </w:rPr>
        <w:t>本招标项目</w:t>
      </w:r>
      <w:r>
        <w:rPr>
          <w:rFonts w:hint="eastAsia" w:ascii="楷体" w:hAnsi="楷体" w:cs="楷体"/>
          <w:sz w:val="24"/>
          <w:u w:val="single"/>
          <w:lang w:eastAsia="zh-CN"/>
        </w:rPr>
        <w:t>桐庐县2022年普通国道养护大中修工程（G320沪瑞线）</w:t>
      </w:r>
      <w:r>
        <w:rPr>
          <w:rFonts w:hint="eastAsia" w:ascii="楷体" w:hAnsi="楷体" w:cs="楷体"/>
          <w:sz w:val="24"/>
          <w:u w:val="single"/>
        </w:rPr>
        <w:t xml:space="preserve"> </w:t>
      </w:r>
      <w:r>
        <w:rPr>
          <w:rFonts w:hint="eastAsia" w:ascii="楷体" w:hAnsi="楷体" w:cs="楷体"/>
          <w:sz w:val="24"/>
        </w:rPr>
        <w:t>已由</w:t>
      </w:r>
      <w:r>
        <w:rPr>
          <w:rFonts w:hint="eastAsia" w:ascii="楷体" w:hAnsi="楷体" w:cs="楷体"/>
          <w:sz w:val="24"/>
          <w:u w:val="single"/>
          <w:lang w:eastAsia="zh-CN"/>
        </w:rPr>
        <w:t>浙公运复〔2022〕7号文件</w:t>
      </w:r>
      <w:r>
        <w:rPr>
          <w:rFonts w:hint="eastAsia" w:ascii="楷体" w:hAnsi="楷体" w:cs="楷体"/>
          <w:sz w:val="24"/>
          <w:u w:val="single"/>
        </w:rPr>
        <w:t xml:space="preserve"> </w:t>
      </w:r>
      <w:r>
        <w:rPr>
          <w:rFonts w:hint="eastAsia" w:ascii="楷体" w:hAnsi="楷体" w:cs="楷体"/>
          <w:sz w:val="24"/>
        </w:rPr>
        <w:t>列入</w:t>
      </w:r>
      <w:r>
        <w:rPr>
          <w:rFonts w:hint="eastAsia" w:ascii="楷体" w:hAnsi="楷体" w:cs="楷体"/>
          <w:sz w:val="24"/>
          <w:u w:val="single"/>
        </w:rPr>
        <w:t xml:space="preserve"> 2022年度</w:t>
      </w:r>
      <w:r>
        <w:rPr>
          <w:rFonts w:hint="eastAsia" w:ascii="楷体" w:hAnsi="楷体" w:cs="楷体"/>
          <w:sz w:val="24"/>
        </w:rPr>
        <w:t>养护计划，资金来源为</w:t>
      </w:r>
      <w:r>
        <w:rPr>
          <w:rFonts w:hint="eastAsia" w:ascii="楷体" w:hAnsi="楷体" w:cs="楷体"/>
          <w:sz w:val="24"/>
          <w:u w:val="single"/>
        </w:rPr>
        <w:t>上级拨款</w:t>
      </w:r>
      <w:r>
        <w:rPr>
          <w:rFonts w:hint="eastAsia" w:ascii="楷体" w:hAnsi="楷体" w:cs="楷体"/>
          <w:sz w:val="24"/>
        </w:rPr>
        <w:t>，招标人为</w:t>
      </w:r>
      <w:r>
        <w:rPr>
          <w:rFonts w:hint="eastAsia" w:ascii="楷体" w:hAnsi="楷体" w:cs="楷体"/>
          <w:sz w:val="24"/>
          <w:u w:val="single"/>
        </w:rPr>
        <w:t>桐庐县公路服务中心、桐庐县交通投资有限公司</w:t>
      </w:r>
      <w:r>
        <w:rPr>
          <w:rFonts w:hint="eastAsia" w:ascii="楷体" w:hAnsi="楷体" w:cs="楷体"/>
          <w:sz w:val="24"/>
        </w:rPr>
        <w:t>。项目已具备招标条件，现对该项目的</w:t>
      </w:r>
      <w:r>
        <w:rPr>
          <w:rFonts w:hint="eastAsia" w:ascii="楷体" w:hAnsi="楷体" w:cs="楷体"/>
          <w:b/>
          <w:bCs/>
          <w:sz w:val="24"/>
          <w:u w:val="single"/>
        </w:rPr>
        <w:t>施工</w:t>
      </w:r>
      <w:r>
        <w:rPr>
          <w:rFonts w:hint="eastAsia" w:ascii="楷体" w:hAnsi="楷体" w:cs="楷体"/>
          <w:sz w:val="24"/>
        </w:rPr>
        <w:t>进行公开招标，实行资格后审。资格审查条件（最低要求）详见</w:t>
      </w:r>
      <w:r>
        <w:rPr>
          <w:rFonts w:hint="eastAsia" w:ascii="楷体" w:hAnsi="楷体" w:cs="楷体"/>
          <w:sz w:val="24"/>
          <w:u w:val="single"/>
        </w:rPr>
        <w:t>投标人须知前附表《附录1～5》。</w:t>
      </w:r>
    </w:p>
    <w:p>
      <w:pPr>
        <w:spacing w:line="460" w:lineRule="exact"/>
        <w:jc w:val="left"/>
        <w:outlineLvl w:val="2"/>
        <w:rPr>
          <w:rFonts w:ascii="楷体" w:hAnsi="楷体" w:cs="楷体"/>
          <w:b/>
          <w:sz w:val="24"/>
        </w:rPr>
      </w:pPr>
      <w:bookmarkStart w:id="43" w:name="_Toc27953"/>
      <w:bookmarkStart w:id="44" w:name="_Toc26919"/>
      <w:bookmarkStart w:id="45" w:name="_Toc12846"/>
      <w:bookmarkStart w:id="46" w:name="_Toc4389"/>
      <w:r>
        <w:rPr>
          <w:rFonts w:hint="eastAsia" w:ascii="楷体" w:hAnsi="楷体" w:cs="楷体"/>
          <w:b/>
          <w:sz w:val="24"/>
        </w:rPr>
        <w:t>2．项目概况与招标范围</w:t>
      </w:r>
      <w:bookmarkEnd w:id="43"/>
      <w:bookmarkEnd w:id="44"/>
      <w:bookmarkEnd w:id="45"/>
      <w:bookmarkEnd w:id="46"/>
    </w:p>
    <w:p>
      <w:pPr>
        <w:spacing w:line="460" w:lineRule="exact"/>
        <w:ind w:firstLine="480" w:firstLineChars="200"/>
        <w:rPr>
          <w:rFonts w:ascii="楷体" w:hAnsi="楷体" w:cs="楷体"/>
          <w:sz w:val="24"/>
        </w:rPr>
      </w:pPr>
      <w:bookmarkStart w:id="47" w:name="_Toc24850"/>
      <w:bookmarkStart w:id="48" w:name="_Toc21908"/>
      <w:bookmarkStart w:id="49" w:name="_Toc27338"/>
      <w:bookmarkStart w:id="50" w:name="_Toc12428"/>
      <w:r>
        <w:rPr>
          <w:rFonts w:hint="eastAsia" w:ascii="楷体" w:hAnsi="楷体" w:cs="楷体"/>
          <w:sz w:val="24"/>
        </w:rPr>
        <w:t>2.1项目概况</w:t>
      </w:r>
    </w:p>
    <w:p>
      <w:pPr>
        <w:spacing w:line="460" w:lineRule="exact"/>
        <w:ind w:firstLine="480" w:firstLineChars="200"/>
        <w:rPr>
          <w:rFonts w:hint="eastAsia" w:ascii="楷体" w:hAnsi="楷体" w:cs="楷体"/>
          <w:sz w:val="24"/>
        </w:rPr>
      </w:pPr>
      <w:r>
        <w:rPr>
          <w:rFonts w:hint="eastAsia" w:ascii="楷体" w:hAnsi="楷体" w:cs="楷体"/>
          <w:sz w:val="24"/>
        </w:rPr>
        <w:t>本次招标的</w:t>
      </w:r>
      <w:r>
        <w:rPr>
          <w:rFonts w:hint="eastAsia" w:ascii="楷体" w:hAnsi="楷体" w:cs="楷体"/>
          <w:sz w:val="24"/>
          <w:u w:val="single"/>
        </w:rPr>
        <w:t xml:space="preserve"> </w:t>
      </w:r>
      <w:r>
        <w:rPr>
          <w:rFonts w:hint="eastAsia" w:ascii="楷体" w:hAnsi="楷体" w:cs="楷体"/>
          <w:sz w:val="24"/>
          <w:u w:val="single"/>
          <w:lang w:eastAsia="zh-CN"/>
        </w:rPr>
        <w:t>桐庐县2022年普通国道养护大中修工程（G320沪瑞线）</w:t>
      </w:r>
      <w:r>
        <w:rPr>
          <w:rFonts w:hint="eastAsia" w:ascii="楷体" w:hAnsi="楷体" w:cs="楷体"/>
          <w:sz w:val="24"/>
          <w:u w:val="single"/>
        </w:rPr>
        <w:t xml:space="preserve"> </w:t>
      </w:r>
      <w:r>
        <w:rPr>
          <w:rFonts w:hint="eastAsia" w:ascii="楷体" w:hAnsi="楷体" w:cs="楷体"/>
          <w:sz w:val="24"/>
        </w:rPr>
        <w:t>为1个施工合同段，本次实施桩号为K284+000～K285+000左幅、K286+100～K292+000左幅、K293+672～K297+400左幅、K294+800～K296+400右幅、K297+400～K308+400逐段和K310+000～K310+600左幅,</w:t>
      </w:r>
      <w:r>
        <w:rPr>
          <w:rFonts w:hint="eastAsia" w:ascii="楷体" w:hAnsi="楷体" w:cs="楷体"/>
          <w:sz w:val="24"/>
          <w:lang w:eastAsia="zh-CN"/>
        </w:rPr>
        <w:t>折合双幅计</w:t>
      </w:r>
      <w:r>
        <w:rPr>
          <w:rFonts w:hint="eastAsia" w:ascii="楷体" w:hAnsi="楷体" w:cs="楷体"/>
          <w:sz w:val="24"/>
          <w:lang w:val="en-US" w:eastAsia="zh-CN"/>
        </w:rPr>
        <w:t>17.02</w:t>
      </w:r>
      <w:r>
        <w:rPr>
          <w:rFonts w:hint="eastAsia" w:ascii="楷体" w:hAnsi="楷体" w:cs="楷体"/>
          <w:sz w:val="24"/>
        </w:rPr>
        <w:t>公里</w:t>
      </w:r>
      <w:r>
        <w:rPr>
          <w:rFonts w:hint="eastAsia" w:ascii="楷体" w:hAnsi="楷体" w:cs="楷体"/>
          <w:sz w:val="24"/>
        </w:rPr>
        <w:t>，技术等级及路幅布置为：</w:t>
      </w:r>
    </w:p>
    <w:p>
      <w:pPr>
        <w:spacing w:line="460" w:lineRule="exact"/>
        <w:ind w:firstLine="480" w:firstLineChars="200"/>
        <w:rPr>
          <w:rFonts w:ascii="楷体" w:hAnsi="楷体" w:cs="楷体"/>
          <w:sz w:val="24"/>
        </w:rPr>
      </w:pPr>
      <w:r>
        <w:rPr>
          <w:rFonts w:hint="eastAsia" w:ascii="楷体" w:hAnsi="楷体" w:cs="楷体"/>
          <w:sz w:val="24"/>
        </w:rPr>
        <w:t>①K284+000～K285+000右幅，按设计时速100Km/h的双向四车道一级公路标准进行设计，路基宽24.5米，其中行车道2×(2×3.75)米，两侧路缘带2×0.5米，中央分隔宽2.0米，硬路肩或辅道（含上行侧路缘带）2×2.5米，土路肩2×0.75米；</w:t>
      </w:r>
    </w:p>
    <w:p>
      <w:pPr>
        <w:spacing w:line="460" w:lineRule="exact"/>
        <w:ind w:firstLine="480" w:firstLineChars="200"/>
        <w:rPr>
          <w:rFonts w:ascii="楷体" w:hAnsi="楷体" w:cs="楷体"/>
          <w:sz w:val="24"/>
        </w:rPr>
      </w:pPr>
      <w:r>
        <w:rPr>
          <w:rFonts w:hint="eastAsia" w:ascii="楷体" w:hAnsi="楷体" w:cs="楷体"/>
          <w:sz w:val="24"/>
        </w:rPr>
        <w:t>②K286+100～K292+000左幅、K293+672～K297+400左幅、K294+800～K296+400右幅和K297+400～K298+850全幅，按设计时速100Km/h的双向六车道一级公路兼顾城市功能标准设计，路基宽43米，其中行车道2×(3×3.75)米，中央分隔宽3.0米，两侧路缘带2×（2×0.5）米，机非隔离带宽度2×1.5米，非机动车道2×3.75米，人行道2×2.5米；</w:t>
      </w:r>
    </w:p>
    <w:p>
      <w:pPr>
        <w:spacing w:line="460" w:lineRule="exact"/>
        <w:ind w:firstLine="480" w:firstLineChars="200"/>
        <w:rPr>
          <w:rFonts w:ascii="楷体" w:hAnsi="楷体" w:cs="楷体"/>
          <w:sz w:val="24"/>
        </w:rPr>
      </w:pPr>
      <w:r>
        <w:rPr>
          <w:rFonts w:hint="eastAsia" w:ascii="楷体" w:hAnsi="楷体" w:cs="楷体"/>
          <w:sz w:val="24"/>
        </w:rPr>
        <w:t>③K298+850～K304+400全幅，按设计时速100Km/h的双向四车道一级公路标准进行设计，路基宽24.5米，其中行车道2×(2×3.75)米，两侧路缘带2×0.5米，中央分隔宽2.0米，硬路肩或辅道（含右侧路缘带）2×2.5米，土路肩2×0.75米；</w:t>
      </w:r>
    </w:p>
    <w:p>
      <w:pPr>
        <w:spacing w:line="460" w:lineRule="exact"/>
        <w:ind w:firstLine="480" w:firstLineChars="200"/>
        <w:rPr>
          <w:rFonts w:ascii="楷体" w:hAnsi="楷体" w:cs="楷体"/>
          <w:sz w:val="24"/>
        </w:rPr>
      </w:pPr>
      <w:r>
        <w:rPr>
          <w:rFonts w:hint="eastAsia" w:ascii="楷体" w:hAnsi="楷体" w:cs="楷体"/>
          <w:sz w:val="24"/>
        </w:rPr>
        <w:t>④K304+400～K308+400全幅和K310+000～K310+600左幅，按设计时速100Km/h的双向四车道一级公路标准进行设计，路基宽30.5米，其中行车道2×(2×3.75)米，两侧路缘带2×（2×0.5）米，中央分隔宽2.0米，硬路肩或辅道（含右侧路缘带）2×5.25米，土路肩2×0.5米。</w:t>
      </w:r>
    </w:p>
    <w:p>
      <w:pPr>
        <w:spacing w:line="460" w:lineRule="exact"/>
        <w:ind w:firstLine="480" w:firstLineChars="200"/>
        <w:rPr>
          <w:rFonts w:ascii="楷体" w:hAnsi="楷体" w:cs="楷体"/>
          <w:sz w:val="24"/>
        </w:rPr>
      </w:pPr>
      <w:r>
        <w:rPr>
          <w:rFonts w:hint="eastAsia" w:ascii="楷体" w:hAnsi="楷体" w:cs="楷体"/>
          <w:sz w:val="24"/>
        </w:rPr>
        <w:t>2.2 招标范围</w:t>
      </w:r>
    </w:p>
    <w:p>
      <w:pPr>
        <w:spacing w:line="460" w:lineRule="exact"/>
        <w:ind w:firstLine="480" w:firstLineChars="200"/>
        <w:rPr>
          <w:rFonts w:ascii="楷体" w:hAnsi="楷体" w:cs="楷体"/>
          <w:b/>
          <w:bCs/>
          <w:sz w:val="24"/>
          <w:highlight w:val="none"/>
        </w:rPr>
      </w:pPr>
      <w:r>
        <w:rPr>
          <w:rFonts w:hint="eastAsia" w:ascii="楷体" w:hAnsi="楷体" w:cs="楷体"/>
          <w:sz w:val="24"/>
        </w:rPr>
        <w:t>本次招标实施内容为K284+000～K285+000</w:t>
      </w:r>
      <w:r>
        <w:rPr>
          <w:rFonts w:hint="eastAsia" w:ascii="楷体" w:hAnsi="楷体" w:cs="楷体"/>
          <w:sz w:val="24"/>
          <w:lang w:eastAsia="zh-CN"/>
        </w:rPr>
        <w:t>右幅</w:t>
      </w:r>
      <w:r>
        <w:rPr>
          <w:rFonts w:hint="eastAsia" w:ascii="楷体" w:hAnsi="楷体" w:cs="楷体"/>
          <w:sz w:val="24"/>
        </w:rPr>
        <w:t>、K294+800～K296+400</w:t>
      </w:r>
      <w:r>
        <w:rPr>
          <w:rFonts w:hint="eastAsia" w:ascii="楷体" w:hAnsi="楷体" w:cs="楷体"/>
          <w:sz w:val="24"/>
          <w:lang w:eastAsia="zh-CN"/>
        </w:rPr>
        <w:t>右幅</w:t>
      </w:r>
      <w:r>
        <w:rPr>
          <w:rFonts w:hint="eastAsia" w:ascii="楷体" w:hAnsi="楷体" w:cs="楷体"/>
          <w:sz w:val="24"/>
        </w:rPr>
        <w:t>、K286+100～</w:t>
      </w:r>
      <w:r>
        <w:rPr>
          <w:rFonts w:hint="eastAsia" w:ascii="楷体" w:hAnsi="楷体" w:cs="楷体"/>
          <w:sz w:val="24"/>
          <w:lang w:val="en-US" w:eastAsia="zh-CN"/>
        </w:rPr>
        <w:t>K286+200左幅、K286+600</w:t>
      </w:r>
      <w:r>
        <w:rPr>
          <w:rFonts w:hint="eastAsia" w:ascii="楷体" w:hAnsi="楷体" w:cs="楷体"/>
          <w:sz w:val="24"/>
        </w:rPr>
        <w:t>～</w:t>
      </w:r>
      <w:r>
        <w:rPr>
          <w:rFonts w:hint="eastAsia" w:ascii="楷体" w:hAnsi="楷体" w:cs="楷体"/>
          <w:sz w:val="24"/>
          <w:lang w:val="en-US" w:eastAsia="zh-CN"/>
        </w:rPr>
        <w:t>K287+864左幅、K287+965</w:t>
      </w:r>
      <w:r>
        <w:rPr>
          <w:rFonts w:hint="eastAsia" w:ascii="楷体" w:hAnsi="楷体" w:cs="楷体"/>
          <w:sz w:val="24"/>
        </w:rPr>
        <w:t>～</w:t>
      </w:r>
      <w:r>
        <w:rPr>
          <w:rFonts w:hint="eastAsia" w:ascii="楷体" w:hAnsi="楷体" w:cs="楷体"/>
          <w:sz w:val="24"/>
          <w:lang w:val="en-US" w:eastAsia="zh-CN"/>
        </w:rPr>
        <w:t>K290+300左幅、K290+500</w:t>
      </w:r>
      <w:r>
        <w:rPr>
          <w:rFonts w:hint="eastAsia" w:ascii="楷体" w:hAnsi="楷体" w:cs="楷体"/>
          <w:sz w:val="24"/>
        </w:rPr>
        <w:t>～K292+000</w:t>
      </w:r>
      <w:r>
        <w:rPr>
          <w:rFonts w:hint="eastAsia" w:ascii="楷体" w:hAnsi="楷体" w:cs="楷体"/>
          <w:sz w:val="24"/>
          <w:lang w:eastAsia="zh-CN"/>
        </w:rPr>
        <w:t>左幅</w:t>
      </w:r>
      <w:r>
        <w:rPr>
          <w:rFonts w:hint="eastAsia" w:ascii="楷体" w:hAnsi="楷体" w:cs="楷体"/>
          <w:sz w:val="24"/>
        </w:rPr>
        <w:t>、K293+672～K297+400</w:t>
      </w:r>
      <w:r>
        <w:rPr>
          <w:rFonts w:hint="eastAsia" w:ascii="楷体" w:hAnsi="楷体" w:cs="楷体"/>
          <w:sz w:val="24"/>
          <w:lang w:eastAsia="zh-CN"/>
        </w:rPr>
        <w:t>左幅和</w:t>
      </w:r>
      <w:r>
        <w:rPr>
          <w:rFonts w:hint="eastAsia" w:ascii="楷体" w:hAnsi="楷体" w:cs="楷体"/>
          <w:sz w:val="24"/>
        </w:rPr>
        <w:t>K310+000～K310+600</w:t>
      </w:r>
      <w:r>
        <w:rPr>
          <w:rFonts w:hint="eastAsia" w:ascii="楷体" w:hAnsi="楷体" w:cs="楷体"/>
          <w:sz w:val="24"/>
          <w:lang w:eastAsia="zh-CN"/>
        </w:rPr>
        <w:t>左幅，折合双幅计</w:t>
      </w:r>
      <w:r>
        <w:rPr>
          <w:rFonts w:hint="eastAsia" w:ascii="楷体" w:hAnsi="楷体" w:cs="楷体"/>
          <w:sz w:val="24"/>
          <w:lang w:val="en-US" w:eastAsia="zh-CN"/>
        </w:rPr>
        <w:t>6.064公里，</w:t>
      </w:r>
      <w:r>
        <w:rPr>
          <w:rFonts w:hint="eastAsia" w:ascii="楷体" w:hAnsi="楷体" w:cs="楷体"/>
          <w:sz w:val="24"/>
        </w:rPr>
        <w:t>行车道铣刨4厘米沥青面层</w:t>
      </w:r>
      <w:r>
        <w:rPr>
          <w:rFonts w:hint="eastAsia" w:ascii="楷体" w:hAnsi="楷体" w:cs="楷体"/>
          <w:sz w:val="24"/>
          <w:lang w:eastAsia="zh-CN"/>
        </w:rPr>
        <w:t>并病害处治</w:t>
      </w:r>
      <w:r>
        <w:rPr>
          <w:rFonts w:hint="eastAsia" w:ascii="楷体" w:hAnsi="楷体" w:cs="楷体"/>
          <w:sz w:val="24"/>
        </w:rPr>
        <w:t>后</w:t>
      </w:r>
      <w:r>
        <w:rPr>
          <w:rFonts w:hint="eastAsia" w:ascii="楷体" w:hAnsi="楷体" w:cs="楷体"/>
          <w:sz w:val="24"/>
          <w:lang w:eastAsia="zh-CN"/>
        </w:rPr>
        <w:t>回</w:t>
      </w:r>
      <w:r>
        <w:rPr>
          <w:rFonts w:hint="eastAsia" w:ascii="楷体" w:hAnsi="楷体" w:cs="楷体"/>
          <w:sz w:val="24"/>
        </w:rPr>
        <w:t>铺4厘米SMA-13</w:t>
      </w:r>
      <w:r>
        <w:rPr>
          <w:rFonts w:hint="eastAsia" w:ascii="楷体" w:hAnsi="楷体" w:cs="楷体"/>
          <w:sz w:val="24"/>
          <w:lang w:eastAsia="zh-CN"/>
        </w:rPr>
        <w:t>混凝土（玄武岩碎石）；</w:t>
      </w:r>
      <w:r>
        <w:rPr>
          <w:rFonts w:hint="eastAsia" w:ascii="楷体" w:hAnsi="楷体" w:cs="楷体"/>
          <w:sz w:val="24"/>
          <w:lang w:val="en-US" w:eastAsia="zh-CN"/>
        </w:rPr>
        <w:t>K286+200</w:t>
      </w:r>
      <w:r>
        <w:rPr>
          <w:rFonts w:hint="eastAsia" w:ascii="楷体" w:hAnsi="楷体" w:cs="楷体"/>
          <w:sz w:val="24"/>
        </w:rPr>
        <w:t>～</w:t>
      </w:r>
      <w:r>
        <w:rPr>
          <w:rFonts w:hint="eastAsia" w:ascii="楷体" w:hAnsi="楷体" w:cs="楷体"/>
          <w:sz w:val="24"/>
          <w:lang w:val="en-US" w:eastAsia="zh-CN"/>
        </w:rPr>
        <w:t>K286+600</w:t>
      </w:r>
      <w:r>
        <w:rPr>
          <w:rFonts w:hint="eastAsia" w:ascii="楷体" w:hAnsi="楷体" w:cs="楷体"/>
          <w:sz w:val="24"/>
          <w:lang w:eastAsia="zh-CN"/>
        </w:rPr>
        <w:t>左幅</w:t>
      </w:r>
      <w:r>
        <w:rPr>
          <w:rFonts w:hint="eastAsia" w:ascii="楷体" w:hAnsi="楷体" w:cs="楷体"/>
          <w:sz w:val="24"/>
        </w:rPr>
        <w:t>、</w:t>
      </w:r>
      <w:r>
        <w:rPr>
          <w:rFonts w:hint="eastAsia" w:ascii="楷体" w:hAnsi="楷体" w:cs="楷体"/>
          <w:sz w:val="24"/>
          <w:lang w:val="en-US" w:eastAsia="zh-CN"/>
        </w:rPr>
        <w:t>K287+864</w:t>
      </w:r>
      <w:r>
        <w:rPr>
          <w:rFonts w:hint="eastAsia" w:ascii="楷体" w:hAnsi="楷体" w:cs="楷体"/>
          <w:sz w:val="24"/>
        </w:rPr>
        <w:t>～</w:t>
      </w:r>
      <w:r>
        <w:rPr>
          <w:rFonts w:hint="eastAsia" w:ascii="楷体" w:hAnsi="楷体" w:cs="楷体"/>
          <w:sz w:val="24"/>
          <w:lang w:val="en-US" w:eastAsia="zh-CN"/>
        </w:rPr>
        <w:t>K287+965</w:t>
      </w:r>
      <w:r>
        <w:rPr>
          <w:rFonts w:hint="eastAsia" w:ascii="楷体" w:hAnsi="楷体" w:cs="楷体"/>
          <w:sz w:val="24"/>
          <w:lang w:eastAsia="zh-CN"/>
        </w:rPr>
        <w:t>左幅和</w:t>
      </w:r>
      <w:r>
        <w:rPr>
          <w:rFonts w:hint="eastAsia" w:ascii="楷体" w:hAnsi="楷体" w:cs="楷体"/>
          <w:sz w:val="24"/>
        </w:rPr>
        <w:t>K</w:t>
      </w:r>
      <w:r>
        <w:rPr>
          <w:rFonts w:hint="eastAsia" w:ascii="楷体" w:hAnsi="楷体" w:cs="楷体"/>
          <w:sz w:val="24"/>
          <w:lang w:val="en-US" w:eastAsia="zh-CN"/>
        </w:rPr>
        <w:t>290+300</w:t>
      </w:r>
      <w:r>
        <w:rPr>
          <w:rFonts w:hint="eastAsia" w:ascii="楷体" w:hAnsi="楷体" w:cs="楷体"/>
          <w:sz w:val="24"/>
        </w:rPr>
        <w:t>～K</w:t>
      </w:r>
      <w:r>
        <w:rPr>
          <w:rFonts w:hint="eastAsia" w:ascii="楷体" w:hAnsi="楷体" w:cs="楷体"/>
          <w:sz w:val="24"/>
          <w:lang w:val="en-US" w:eastAsia="zh-CN"/>
        </w:rPr>
        <w:t>290</w:t>
      </w:r>
      <w:r>
        <w:rPr>
          <w:rFonts w:hint="eastAsia" w:ascii="楷体" w:hAnsi="楷体" w:cs="楷体"/>
          <w:sz w:val="24"/>
        </w:rPr>
        <w:t>+</w:t>
      </w:r>
      <w:r>
        <w:rPr>
          <w:rFonts w:hint="eastAsia" w:ascii="楷体" w:hAnsi="楷体" w:cs="楷体"/>
          <w:sz w:val="24"/>
          <w:lang w:val="en-US" w:eastAsia="zh-CN"/>
        </w:rPr>
        <w:t>5</w:t>
      </w:r>
      <w:r>
        <w:rPr>
          <w:rFonts w:hint="eastAsia" w:ascii="楷体" w:hAnsi="楷体" w:cs="楷体"/>
          <w:sz w:val="24"/>
        </w:rPr>
        <w:t>00</w:t>
      </w:r>
      <w:r>
        <w:rPr>
          <w:rFonts w:hint="eastAsia" w:ascii="楷体" w:hAnsi="楷体" w:cs="楷体"/>
          <w:sz w:val="24"/>
          <w:lang w:eastAsia="zh-CN"/>
        </w:rPr>
        <w:t>左幅，折合双幅计</w:t>
      </w:r>
      <w:r>
        <w:rPr>
          <w:rFonts w:hint="eastAsia" w:ascii="楷体" w:hAnsi="楷体" w:cs="楷体"/>
          <w:sz w:val="24"/>
          <w:lang w:val="en-US" w:eastAsia="zh-CN"/>
        </w:rPr>
        <w:t>0.35公里，</w:t>
      </w:r>
      <w:r>
        <w:rPr>
          <w:rFonts w:hint="eastAsia" w:ascii="楷体" w:hAnsi="楷体" w:cs="楷体"/>
          <w:sz w:val="24"/>
        </w:rPr>
        <w:t>行车道铣刨5厘米沥青面层</w:t>
      </w:r>
      <w:r>
        <w:rPr>
          <w:rFonts w:hint="eastAsia" w:ascii="楷体" w:hAnsi="楷体" w:cs="楷体"/>
          <w:sz w:val="24"/>
          <w:lang w:eastAsia="zh-CN"/>
        </w:rPr>
        <w:t>并病害处治</w:t>
      </w:r>
      <w:r>
        <w:rPr>
          <w:rFonts w:hint="eastAsia" w:ascii="楷体" w:hAnsi="楷体" w:cs="楷体"/>
          <w:sz w:val="24"/>
        </w:rPr>
        <w:t>后</w:t>
      </w:r>
      <w:r>
        <w:rPr>
          <w:rFonts w:hint="eastAsia" w:ascii="楷体" w:hAnsi="楷体" w:cs="楷体"/>
          <w:sz w:val="24"/>
          <w:lang w:eastAsia="zh-CN"/>
        </w:rPr>
        <w:t>回</w:t>
      </w:r>
      <w:r>
        <w:rPr>
          <w:rFonts w:hint="eastAsia" w:ascii="楷体" w:hAnsi="楷体" w:cs="楷体"/>
          <w:sz w:val="24"/>
        </w:rPr>
        <w:t>铺5厘米SMA-13</w:t>
      </w:r>
      <w:r>
        <w:rPr>
          <w:rFonts w:hint="eastAsia" w:ascii="楷体" w:hAnsi="楷体" w:cs="楷体"/>
          <w:sz w:val="24"/>
          <w:lang w:eastAsia="zh-CN"/>
        </w:rPr>
        <w:t>混凝土（玄武岩碎石）</w:t>
      </w:r>
      <w:r>
        <w:rPr>
          <w:rFonts w:hint="eastAsia" w:ascii="楷体" w:hAnsi="楷体" w:cs="楷体"/>
          <w:sz w:val="24"/>
        </w:rPr>
        <w:t>，具体内容以招标文件、工程量清单及施工图纸为准。</w:t>
      </w:r>
      <w:r>
        <w:rPr>
          <w:rFonts w:hint="eastAsia" w:ascii="楷体" w:hAnsi="楷体" w:cs="楷体"/>
          <w:b/>
          <w:bCs/>
          <w:sz w:val="24"/>
          <w:highlight w:val="none"/>
        </w:rPr>
        <w:t>（其中K297+400～K308+400为迎亚运路段，即迎春南路至蒋家埠路段已先行实施招标，不在本次招标范围内）。</w:t>
      </w:r>
    </w:p>
    <w:p>
      <w:pPr>
        <w:spacing w:line="460" w:lineRule="exact"/>
        <w:ind w:firstLine="480" w:firstLineChars="200"/>
        <w:rPr>
          <w:rFonts w:ascii="楷体" w:hAnsi="楷体" w:cs="楷体"/>
          <w:sz w:val="24"/>
        </w:rPr>
      </w:pPr>
      <w:r>
        <w:rPr>
          <w:rFonts w:hint="eastAsia" w:ascii="楷体" w:hAnsi="楷体" w:cs="楷体"/>
          <w:sz w:val="24"/>
          <w:highlight w:val="none"/>
        </w:rPr>
        <w:t>2.3 计划工期：</w:t>
      </w:r>
      <w:r>
        <w:rPr>
          <w:rFonts w:hint="eastAsia" w:ascii="楷体" w:hAnsi="楷体" w:cs="楷体"/>
          <w:b/>
          <w:bCs/>
          <w:sz w:val="24"/>
          <w:highlight w:val="none"/>
          <w:u w:val="single"/>
        </w:rPr>
        <w:t xml:space="preserve"> 3个月（其中主体工程必须在2022年6月底前完成）</w:t>
      </w:r>
      <w:r>
        <w:rPr>
          <w:rFonts w:hint="eastAsia" w:ascii="楷体" w:hAnsi="楷体" w:cs="楷体"/>
          <w:sz w:val="24"/>
          <w:highlight w:val="none"/>
        </w:rPr>
        <w:t>；缺陷</w:t>
      </w:r>
      <w:r>
        <w:rPr>
          <w:rFonts w:hint="eastAsia" w:ascii="楷体" w:hAnsi="楷体" w:cs="楷体"/>
          <w:sz w:val="24"/>
        </w:rPr>
        <w:t>责任期12个月。</w:t>
      </w:r>
    </w:p>
    <w:p>
      <w:pPr>
        <w:numPr>
          <w:ilvl w:val="255"/>
          <w:numId w:val="0"/>
        </w:numPr>
        <w:spacing w:line="460" w:lineRule="exact"/>
        <w:jc w:val="left"/>
        <w:outlineLvl w:val="2"/>
        <w:rPr>
          <w:rFonts w:ascii="楷体" w:hAnsi="楷体" w:cs="楷体"/>
          <w:b/>
          <w:sz w:val="24"/>
        </w:rPr>
      </w:pPr>
      <w:r>
        <w:rPr>
          <w:rFonts w:hint="eastAsia" w:ascii="楷体" w:hAnsi="楷体" w:cs="楷体"/>
          <w:b/>
          <w:sz w:val="24"/>
        </w:rPr>
        <w:t>3. 投标人资格要求</w:t>
      </w:r>
      <w:bookmarkEnd w:id="47"/>
      <w:bookmarkEnd w:id="48"/>
      <w:bookmarkEnd w:id="49"/>
      <w:bookmarkEnd w:id="50"/>
    </w:p>
    <w:p>
      <w:pPr>
        <w:spacing w:line="460" w:lineRule="exact"/>
        <w:ind w:left="120" w:leftChars="57" w:firstLine="360" w:firstLineChars="150"/>
        <w:jc w:val="left"/>
        <w:rPr>
          <w:rFonts w:ascii="楷体" w:hAnsi="楷体" w:cs="楷体"/>
          <w:sz w:val="24"/>
        </w:rPr>
      </w:pPr>
      <w:r>
        <w:rPr>
          <w:rFonts w:hint="eastAsia" w:ascii="楷体" w:hAnsi="楷体" w:cs="楷体"/>
          <w:sz w:val="24"/>
        </w:rPr>
        <w:t>3.1本次招标要求投标人须具有</w:t>
      </w:r>
      <w:r>
        <w:rPr>
          <w:rFonts w:hint="eastAsia" w:ascii="楷体" w:hAnsi="楷体" w:cs="楷体"/>
          <w:b/>
          <w:bCs/>
          <w:sz w:val="24"/>
          <w:u w:val="single"/>
        </w:rPr>
        <w:t>公路养护工程施工二类甲级</w:t>
      </w:r>
      <w:r>
        <w:rPr>
          <w:rFonts w:hint="eastAsia" w:ascii="楷体" w:hAnsi="楷体" w:cs="楷体"/>
          <w:sz w:val="24"/>
        </w:rPr>
        <w:t>的企业资质，并在人员、设备、资金等方面具有相应的施工能力。</w:t>
      </w:r>
    </w:p>
    <w:p>
      <w:pPr>
        <w:spacing w:line="460" w:lineRule="exact"/>
        <w:ind w:left="120" w:leftChars="57" w:firstLine="360" w:firstLineChars="150"/>
        <w:jc w:val="left"/>
        <w:rPr>
          <w:rFonts w:ascii="楷体" w:hAnsi="楷体" w:cs="楷体"/>
          <w:sz w:val="24"/>
        </w:rPr>
      </w:pPr>
      <w:r>
        <w:rPr>
          <w:rFonts w:hint="eastAsia" w:ascii="楷体" w:hAnsi="楷体" w:cs="楷体"/>
          <w:sz w:val="24"/>
        </w:rPr>
        <w:t>3.2 本次招标</w:t>
      </w:r>
      <w:r>
        <w:rPr>
          <w:rFonts w:hint="eastAsia" w:ascii="楷体" w:hAnsi="楷体" w:cs="楷体"/>
          <w:b/>
          <w:bCs/>
          <w:sz w:val="24"/>
          <w:u w:val="single"/>
        </w:rPr>
        <w:t xml:space="preserve">不接受 </w:t>
      </w:r>
      <w:r>
        <w:rPr>
          <w:rFonts w:hint="eastAsia" w:ascii="楷体" w:hAnsi="楷体" w:cs="楷体"/>
          <w:sz w:val="24"/>
        </w:rPr>
        <w:t>联合体投标。</w:t>
      </w:r>
    </w:p>
    <w:p>
      <w:pPr>
        <w:spacing w:line="460" w:lineRule="exact"/>
        <w:ind w:left="120" w:leftChars="57" w:firstLine="360" w:firstLineChars="150"/>
        <w:jc w:val="left"/>
        <w:rPr>
          <w:rFonts w:ascii="楷体" w:hAnsi="楷体" w:cs="楷体"/>
          <w:sz w:val="24"/>
        </w:rPr>
      </w:pPr>
      <w:r>
        <w:rPr>
          <w:rFonts w:hint="eastAsia" w:ascii="楷体" w:hAnsi="楷体" w:cs="楷体"/>
          <w:sz w:val="24"/>
        </w:rPr>
        <w:t>3.3 与招标人存在利害关系可能影响招标公正性的法人、其他组织或者个人，不得参加投标；单位负责人为同一人或者存在控股（含法定代表人控股）、管理关系的不同单位，不得同时参加同一标段投标，否则均按否决投标处理。</w:t>
      </w:r>
    </w:p>
    <w:p>
      <w:pPr>
        <w:spacing w:line="460" w:lineRule="exact"/>
        <w:ind w:left="120" w:leftChars="57" w:firstLine="360" w:firstLineChars="150"/>
        <w:jc w:val="left"/>
        <w:rPr>
          <w:rFonts w:ascii="楷体" w:hAnsi="楷体" w:cs="楷体"/>
          <w:sz w:val="24"/>
        </w:rPr>
      </w:pPr>
      <w:r>
        <w:rPr>
          <w:rFonts w:hint="eastAsia" w:ascii="楷体" w:hAnsi="楷体" w:cs="楷体"/>
          <w:sz w:val="24"/>
        </w:rPr>
        <w:t>3.4 在“信用中国”网站（http://www.creditchina.gov.cn/）中被列入失信被执行人名单的投标人，不得参加投标。</w:t>
      </w:r>
    </w:p>
    <w:p>
      <w:pPr>
        <w:spacing w:line="460" w:lineRule="exact"/>
        <w:ind w:left="120" w:leftChars="57" w:firstLine="360" w:firstLineChars="150"/>
        <w:jc w:val="left"/>
        <w:rPr>
          <w:rFonts w:ascii="楷体" w:hAnsi="楷体" w:cs="楷体"/>
          <w:sz w:val="24"/>
        </w:rPr>
      </w:pPr>
      <w:r>
        <w:rPr>
          <w:rFonts w:hint="eastAsia" w:ascii="楷体" w:hAnsi="楷体" w:cs="楷体"/>
          <w:sz w:val="24"/>
        </w:rPr>
        <w:t>3.5 CA 数字证书（投标签到用）、密钥（下载图纸等用）办理，2019 年 12 月 1 日起，各县（市、区）将统一使用杭州市公共资源交易中心业务系统。为保障交易业务顺利进行，特将有关事项通知如下：</w:t>
      </w:r>
    </w:p>
    <w:p>
      <w:pPr>
        <w:snapToGrid w:val="0"/>
        <w:spacing w:line="460" w:lineRule="exact"/>
        <w:ind w:firstLine="420"/>
        <w:rPr>
          <w:rFonts w:ascii="楷体" w:hAnsi="楷体" w:cs="楷体"/>
          <w:sz w:val="24"/>
        </w:rPr>
      </w:pPr>
      <w:r>
        <w:rPr>
          <w:rFonts w:hint="eastAsia" w:ascii="楷体" w:hAnsi="楷体" w:cs="楷体"/>
          <w:sz w:val="24"/>
        </w:rPr>
        <w:t>（1）已在市本级交易平台（https://hzctc.hangzhou.gov.cn/）登记入库的交易市场主体，请自行完善交易市场主体信息。</w:t>
      </w:r>
    </w:p>
    <w:p>
      <w:pPr>
        <w:snapToGrid w:val="0"/>
        <w:spacing w:line="460" w:lineRule="exact"/>
        <w:ind w:firstLine="420"/>
        <w:rPr>
          <w:rFonts w:ascii="楷体" w:hAnsi="楷体" w:cs="楷体"/>
          <w:sz w:val="24"/>
        </w:rPr>
      </w:pPr>
      <w:r>
        <w:rPr>
          <w:rFonts w:hint="eastAsia" w:ascii="楷体" w:hAnsi="楷体" w:cs="楷体"/>
          <w:sz w:val="24"/>
        </w:rPr>
        <w:t>（2）未在市本级登记入库的交易市场主体，需按照《关于开展杭州市公共资源交易平台交易市场主体信息库登记入库工作的通知》、《关于完善杭州市公共资源交易平台交易市场主体信息库相关信息的通知》的文件要求自行登记入库。</w:t>
      </w:r>
    </w:p>
    <w:p>
      <w:pPr>
        <w:snapToGrid w:val="0"/>
        <w:spacing w:line="460" w:lineRule="exact"/>
        <w:ind w:firstLine="420"/>
        <w:rPr>
          <w:rFonts w:ascii="楷体" w:hAnsi="楷体" w:cs="楷体"/>
          <w:sz w:val="24"/>
        </w:rPr>
      </w:pPr>
      <w:r>
        <w:rPr>
          <w:rFonts w:hint="eastAsia" w:ascii="楷体" w:hAnsi="楷体" w:cs="楷体"/>
          <w:sz w:val="24"/>
        </w:rPr>
        <w:t>（3）请各交易市场主体提前完成入库工作，以便正常参与交易活动。</w:t>
      </w:r>
    </w:p>
    <w:p>
      <w:pPr>
        <w:snapToGrid w:val="0"/>
        <w:spacing w:line="460" w:lineRule="exact"/>
        <w:ind w:firstLine="480" w:firstLineChars="200"/>
        <w:rPr>
          <w:rFonts w:ascii="楷体" w:hAnsi="楷体" w:cs="楷体"/>
          <w:sz w:val="24"/>
        </w:rPr>
      </w:pPr>
      <w:r>
        <w:rPr>
          <w:rFonts w:hint="eastAsia" w:ascii="楷体" w:hAnsi="楷体" w:cs="楷体"/>
          <w:sz w:val="24"/>
        </w:rPr>
        <w:t>CA 办理服务网址：http://www.tseal.cn/tcloud/regist!initRegist?projId=45</w:t>
      </w:r>
    </w:p>
    <w:p>
      <w:pPr>
        <w:snapToGrid w:val="0"/>
        <w:spacing w:line="460" w:lineRule="exact"/>
        <w:ind w:firstLine="480" w:firstLineChars="200"/>
        <w:rPr>
          <w:rFonts w:ascii="楷体" w:hAnsi="楷体" w:cs="楷体"/>
          <w:sz w:val="24"/>
        </w:rPr>
      </w:pPr>
      <w:r>
        <w:rPr>
          <w:rFonts w:hint="eastAsia" w:ascii="楷体" w:hAnsi="楷体" w:cs="楷体"/>
          <w:sz w:val="24"/>
        </w:rPr>
        <w:t>CA 秘钥新办、变更或延期联系电话：4000878198</w:t>
      </w:r>
    </w:p>
    <w:p>
      <w:pPr>
        <w:pStyle w:val="2"/>
        <w:spacing w:line="460" w:lineRule="exact"/>
        <w:ind w:firstLine="480" w:firstLineChars="200"/>
        <w:rPr>
          <w:rFonts w:ascii="楷体" w:hAnsi="楷体" w:cs="楷体"/>
        </w:rPr>
      </w:pPr>
      <w:r>
        <w:rPr>
          <w:rFonts w:hint="eastAsia" w:ascii="楷体" w:hAnsi="楷体" w:cs="楷体"/>
        </w:rPr>
        <w:t>CA 技术支持电话：85817300-841</w:t>
      </w:r>
    </w:p>
    <w:p>
      <w:pPr>
        <w:spacing w:line="460" w:lineRule="exact"/>
        <w:jc w:val="left"/>
        <w:outlineLvl w:val="2"/>
        <w:rPr>
          <w:rFonts w:ascii="楷体" w:hAnsi="楷体" w:cs="楷体"/>
          <w:b/>
          <w:sz w:val="24"/>
        </w:rPr>
      </w:pPr>
      <w:bookmarkStart w:id="51" w:name="_Toc18696"/>
      <w:bookmarkStart w:id="52" w:name="_Toc4100"/>
      <w:bookmarkStart w:id="53" w:name="_Toc14545"/>
      <w:bookmarkStart w:id="54" w:name="_Toc16586"/>
      <w:r>
        <w:rPr>
          <w:rFonts w:hint="eastAsia" w:ascii="楷体" w:hAnsi="楷体" w:cs="楷体"/>
          <w:b/>
          <w:sz w:val="24"/>
        </w:rPr>
        <w:t>4．招标文件的获取</w:t>
      </w:r>
      <w:bookmarkEnd w:id="51"/>
      <w:bookmarkEnd w:id="52"/>
      <w:bookmarkEnd w:id="53"/>
      <w:bookmarkEnd w:id="54"/>
    </w:p>
    <w:p>
      <w:pPr>
        <w:spacing w:line="460" w:lineRule="exact"/>
        <w:ind w:firstLine="480" w:firstLineChars="200"/>
        <w:rPr>
          <w:rFonts w:ascii="楷体" w:hAnsi="楷体" w:cs="楷体"/>
          <w:sz w:val="24"/>
        </w:rPr>
      </w:pPr>
      <w:r>
        <w:rPr>
          <w:rFonts w:hint="eastAsia" w:ascii="楷体" w:hAnsi="楷体" w:cs="楷体"/>
          <w:sz w:val="24"/>
        </w:rPr>
        <w:t>4.1 本项目招标文件、补充（答疑、澄清、修改）文件以及相关资料以网上下载方式发放。</w:t>
      </w:r>
    </w:p>
    <w:p>
      <w:pPr>
        <w:spacing w:line="460" w:lineRule="exact"/>
        <w:ind w:firstLine="480" w:firstLineChars="200"/>
        <w:rPr>
          <w:rFonts w:ascii="楷体" w:hAnsi="楷体" w:cs="楷体"/>
          <w:sz w:val="24"/>
        </w:rPr>
      </w:pPr>
      <w:r>
        <w:rPr>
          <w:rFonts w:hint="eastAsia" w:ascii="楷体" w:hAnsi="楷体" w:cs="楷体"/>
          <w:sz w:val="24"/>
        </w:rPr>
        <w:t>4.2 潜在投标人可登陆杭州市公共资源交易网，在本招标项目招标公告的下方“相关附件”栏下载招标文件及相关资料。</w:t>
      </w:r>
    </w:p>
    <w:p>
      <w:pPr>
        <w:spacing w:line="460" w:lineRule="exact"/>
        <w:ind w:firstLine="480" w:firstLineChars="200"/>
        <w:rPr>
          <w:rFonts w:ascii="楷体" w:hAnsi="楷体" w:cs="楷体"/>
        </w:rPr>
      </w:pPr>
      <w:r>
        <w:rPr>
          <w:rFonts w:hint="eastAsia" w:ascii="楷体" w:hAnsi="楷体" w:cs="楷体"/>
          <w:sz w:val="24"/>
        </w:rPr>
        <w:t>4.3 招标文件网上下载时间：</w:t>
      </w:r>
      <w:r>
        <w:rPr>
          <w:rFonts w:hint="eastAsia" w:ascii="楷体" w:hAnsi="楷体" w:cs="楷体"/>
          <w:b/>
          <w:iCs/>
          <w:sz w:val="24"/>
          <w:highlight w:val="yellow"/>
          <w:u w:val="single"/>
        </w:rPr>
        <w:t>2022年</w:t>
      </w:r>
      <w:r>
        <w:rPr>
          <w:rFonts w:hint="eastAsia" w:ascii="楷体" w:hAnsi="楷体" w:cs="楷体"/>
          <w:b/>
          <w:iCs/>
          <w:sz w:val="24"/>
          <w:highlight w:val="yellow"/>
          <w:u w:val="single"/>
          <w:lang w:val="en-US" w:eastAsia="zh-CN"/>
        </w:rPr>
        <w:t>04</w:t>
      </w:r>
      <w:r>
        <w:rPr>
          <w:rFonts w:hint="eastAsia" w:ascii="楷体" w:hAnsi="楷体" w:cs="楷体"/>
          <w:b/>
          <w:iCs/>
          <w:sz w:val="24"/>
          <w:highlight w:val="yellow"/>
          <w:u w:val="single"/>
        </w:rPr>
        <w:t>月</w:t>
      </w:r>
      <w:r>
        <w:rPr>
          <w:rFonts w:hint="eastAsia" w:ascii="楷体" w:hAnsi="楷体" w:cs="楷体"/>
          <w:b/>
          <w:iCs/>
          <w:sz w:val="24"/>
          <w:highlight w:val="yellow"/>
          <w:u w:val="single"/>
          <w:lang w:val="en-US" w:eastAsia="zh-CN"/>
        </w:rPr>
        <w:t>02</w:t>
      </w:r>
      <w:r>
        <w:rPr>
          <w:rFonts w:hint="eastAsia" w:ascii="楷体" w:hAnsi="楷体" w:cs="楷体"/>
          <w:b/>
          <w:iCs/>
          <w:sz w:val="24"/>
          <w:highlight w:val="yellow"/>
          <w:u w:val="single"/>
        </w:rPr>
        <w:t>日</w:t>
      </w:r>
      <w:r>
        <w:rPr>
          <w:rFonts w:hint="eastAsia" w:ascii="楷体" w:hAnsi="楷体" w:cs="楷体"/>
          <w:sz w:val="24"/>
        </w:rPr>
        <w:t>起至投标截止时间。</w:t>
      </w:r>
    </w:p>
    <w:p>
      <w:pPr>
        <w:spacing w:line="460" w:lineRule="exact"/>
        <w:ind w:firstLine="480" w:firstLineChars="200"/>
        <w:rPr>
          <w:rFonts w:ascii="楷体" w:hAnsi="楷体" w:cs="楷体"/>
          <w:sz w:val="24"/>
        </w:rPr>
      </w:pPr>
      <w:r>
        <w:rPr>
          <w:rFonts w:hint="eastAsia" w:ascii="楷体" w:hAnsi="楷体" w:cs="楷体"/>
          <w:sz w:val="24"/>
        </w:rPr>
        <w:t>4.4 未完成杭州市公共资源交易中心市场主体入库的投标人，应在投标截止日前先办理好杭州市公共资源交易CA锁及交易中心市场主体入库等相关手续。具体办理手续请登录杭州市公共资源交易网(http://ggzy.hzctc.hangzhou.gov.cn)咨询自助客服，主体入库办理咨询电话0571-85085440。</w:t>
      </w:r>
    </w:p>
    <w:p>
      <w:pPr>
        <w:spacing w:line="460" w:lineRule="exact"/>
        <w:ind w:firstLine="480" w:firstLineChars="200"/>
        <w:jc w:val="left"/>
        <w:rPr>
          <w:rFonts w:ascii="楷体" w:hAnsi="楷体" w:cs="楷体"/>
          <w:sz w:val="24"/>
        </w:rPr>
      </w:pPr>
      <w:r>
        <w:rPr>
          <w:rFonts w:hint="eastAsia" w:ascii="楷体" w:hAnsi="楷体" w:cs="楷体"/>
          <w:sz w:val="24"/>
        </w:rPr>
        <w:t>4.5潜在投标人应将投标疑问以电子邮件的方式（可匿名）提交至如下邮箱：370336729@qq.com。提交疑问截止日为</w:t>
      </w:r>
      <w:r>
        <w:rPr>
          <w:rFonts w:hint="eastAsia" w:ascii="楷体" w:hAnsi="楷体" w:cs="楷体"/>
          <w:b/>
          <w:iCs/>
          <w:sz w:val="24"/>
          <w:highlight w:val="yellow"/>
          <w:u w:val="single"/>
        </w:rPr>
        <w:t>2022年</w:t>
      </w:r>
      <w:r>
        <w:rPr>
          <w:rFonts w:hint="eastAsia" w:ascii="楷体" w:hAnsi="楷体" w:cs="楷体"/>
          <w:b/>
          <w:iCs/>
          <w:sz w:val="24"/>
          <w:highlight w:val="yellow"/>
          <w:u w:val="single"/>
          <w:lang w:val="en-US" w:eastAsia="zh-CN"/>
        </w:rPr>
        <w:t>04</w:t>
      </w:r>
      <w:r>
        <w:rPr>
          <w:rFonts w:hint="eastAsia" w:ascii="楷体" w:hAnsi="楷体" w:cs="楷体"/>
          <w:b/>
          <w:iCs/>
          <w:sz w:val="24"/>
          <w:highlight w:val="yellow"/>
          <w:u w:val="single"/>
        </w:rPr>
        <w:t>月</w:t>
      </w:r>
      <w:r>
        <w:rPr>
          <w:rFonts w:hint="eastAsia" w:ascii="楷体" w:hAnsi="楷体" w:cs="楷体"/>
          <w:b/>
          <w:iCs/>
          <w:sz w:val="24"/>
          <w:highlight w:val="yellow"/>
          <w:u w:val="single"/>
          <w:lang w:val="en-US" w:eastAsia="zh-CN"/>
        </w:rPr>
        <w:t>12</w:t>
      </w:r>
      <w:r>
        <w:rPr>
          <w:rFonts w:hint="eastAsia" w:ascii="楷体" w:hAnsi="楷体" w:cs="楷体"/>
          <w:b/>
          <w:iCs/>
          <w:sz w:val="24"/>
          <w:highlight w:val="yellow"/>
          <w:u w:val="single"/>
        </w:rPr>
        <w:t>日</w:t>
      </w:r>
      <w:r>
        <w:rPr>
          <w:rFonts w:hint="eastAsia" w:ascii="楷体" w:hAnsi="楷体" w:cs="楷体"/>
          <w:sz w:val="24"/>
        </w:rPr>
        <w:t>。招标人将于</w:t>
      </w:r>
      <w:r>
        <w:rPr>
          <w:rFonts w:hint="eastAsia" w:ascii="楷体" w:hAnsi="楷体" w:cs="楷体"/>
          <w:b/>
          <w:iCs/>
          <w:sz w:val="24"/>
          <w:highlight w:val="yellow"/>
          <w:u w:val="single"/>
        </w:rPr>
        <w:t>2022年</w:t>
      </w:r>
      <w:r>
        <w:rPr>
          <w:rFonts w:hint="eastAsia" w:ascii="楷体" w:hAnsi="楷体" w:cs="楷体"/>
          <w:b/>
          <w:iCs/>
          <w:sz w:val="24"/>
          <w:highlight w:val="yellow"/>
          <w:u w:val="single"/>
          <w:lang w:val="en-US" w:eastAsia="zh-CN"/>
        </w:rPr>
        <w:t>04</w:t>
      </w:r>
      <w:r>
        <w:rPr>
          <w:rFonts w:hint="eastAsia" w:ascii="楷体" w:hAnsi="楷体" w:cs="楷体"/>
          <w:b/>
          <w:iCs/>
          <w:sz w:val="24"/>
          <w:highlight w:val="yellow"/>
          <w:u w:val="single"/>
        </w:rPr>
        <w:t>月</w:t>
      </w:r>
      <w:r>
        <w:rPr>
          <w:rFonts w:hint="eastAsia" w:ascii="楷体" w:hAnsi="楷体" w:cs="楷体"/>
          <w:b/>
          <w:iCs/>
          <w:sz w:val="24"/>
          <w:highlight w:val="yellow"/>
          <w:u w:val="single"/>
          <w:lang w:val="en-US" w:eastAsia="zh-CN"/>
        </w:rPr>
        <w:t>15</w:t>
      </w:r>
      <w:r>
        <w:rPr>
          <w:rFonts w:hint="eastAsia" w:ascii="楷体" w:hAnsi="楷体" w:cs="楷体"/>
          <w:b/>
          <w:iCs/>
          <w:sz w:val="24"/>
          <w:highlight w:val="yellow"/>
          <w:u w:val="single"/>
        </w:rPr>
        <w:t>日</w:t>
      </w:r>
      <w:r>
        <w:rPr>
          <w:rFonts w:hint="eastAsia" w:ascii="楷体" w:hAnsi="楷体" w:cs="楷体"/>
          <w:sz w:val="24"/>
        </w:rPr>
        <w:t>前在网上发布补遗书（补充、澄清、修改文件）。潜在投标人应自行关注网站公告，招标人不再一一通知。投标人因自身贻误行为导致投标失败的，责任自负。</w:t>
      </w:r>
    </w:p>
    <w:p>
      <w:pPr>
        <w:spacing w:line="460" w:lineRule="exact"/>
        <w:jc w:val="left"/>
        <w:outlineLvl w:val="2"/>
        <w:rPr>
          <w:rFonts w:ascii="楷体" w:hAnsi="楷体" w:cs="楷体"/>
          <w:b/>
          <w:sz w:val="24"/>
        </w:rPr>
      </w:pPr>
      <w:bookmarkStart w:id="55" w:name="_Toc28940"/>
      <w:bookmarkStart w:id="56" w:name="_Toc10092"/>
      <w:bookmarkStart w:id="57" w:name="_Toc20144"/>
      <w:bookmarkStart w:id="58" w:name="_Toc22380"/>
      <w:r>
        <w:rPr>
          <w:rFonts w:hint="eastAsia" w:ascii="楷体" w:hAnsi="楷体" w:cs="楷体"/>
          <w:b/>
          <w:sz w:val="24"/>
        </w:rPr>
        <w:t>5．投标文件的提交</w:t>
      </w:r>
      <w:bookmarkEnd w:id="55"/>
      <w:bookmarkEnd w:id="56"/>
      <w:bookmarkEnd w:id="57"/>
      <w:bookmarkEnd w:id="58"/>
    </w:p>
    <w:p>
      <w:pPr>
        <w:spacing w:line="460" w:lineRule="exact"/>
        <w:ind w:firstLine="480" w:firstLineChars="200"/>
        <w:rPr>
          <w:rFonts w:ascii="楷体" w:hAnsi="楷体" w:cs="楷体"/>
          <w:sz w:val="24"/>
        </w:rPr>
      </w:pPr>
      <w:r>
        <w:rPr>
          <w:rFonts w:hint="eastAsia" w:ascii="楷体" w:hAnsi="楷体" w:cs="楷体"/>
          <w:sz w:val="24"/>
        </w:rPr>
        <w:t>5.1  招标人不组织进行工程现场踏勘及投标预备会，投标人视需要自行前往现场进行踏勘。</w:t>
      </w:r>
    </w:p>
    <w:p>
      <w:pPr>
        <w:spacing w:line="460" w:lineRule="exact"/>
        <w:ind w:firstLine="480" w:firstLineChars="200"/>
        <w:rPr>
          <w:rFonts w:ascii="楷体" w:hAnsi="楷体" w:cs="楷体"/>
          <w:bCs/>
          <w:iCs/>
          <w:sz w:val="24"/>
          <w:u w:val="single"/>
        </w:rPr>
      </w:pPr>
      <w:r>
        <w:rPr>
          <w:rFonts w:hint="eastAsia" w:ascii="楷体" w:hAnsi="楷体" w:cs="楷体"/>
          <w:sz w:val="24"/>
        </w:rPr>
        <w:t>5.2  投标文件递交的截止时间（投标截止时间，下同）为</w:t>
      </w:r>
      <w:r>
        <w:rPr>
          <w:rFonts w:hint="eastAsia" w:ascii="楷体" w:hAnsi="楷体" w:cs="楷体"/>
          <w:b/>
          <w:iCs/>
          <w:sz w:val="24"/>
          <w:highlight w:val="yellow"/>
          <w:u w:val="single"/>
        </w:rPr>
        <w:t>2022年</w:t>
      </w:r>
      <w:r>
        <w:rPr>
          <w:rFonts w:hint="eastAsia" w:ascii="楷体" w:hAnsi="楷体" w:cs="楷体"/>
          <w:b/>
          <w:iCs/>
          <w:sz w:val="24"/>
          <w:highlight w:val="yellow"/>
          <w:u w:val="single"/>
          <w:lang w:val="en-US" w:eastAsia="zh-CN"/>
        </w:rPr>
        <w:t>04</w:t>
      </w:r>
      <w:r>
        <w:rPr>
          <w:rFonts w:hint="eastAsia" w:ascii="楷体" w:hAnsi="楷体" w:cs="楷体"/>
          <w:b/>
          <w:iCs/>
          <w:sz w:val="24"/>
          <w:highlight w:val="yellow"/>
          <w:u w:val="single"/>
        </w:rPr>
        <w:t>月</w:t>
      </w:r>
      <w:r>
        <w:rPr>
          <w:rFonts w:hint="eastAsia" w:ascii="楷体" w:hAnsi="楷体" w:cs="楷体"/>
          <w:b/>
          <w:iCs/>
          <w:sz w:val="24"/>
          <w:highlight w:val="yellow"/>
          <w:u w:val="single"/>
          <w:lang w:val="en-US" w:eastAsia="zh-CN"/>
        </w:rPr>
        <w:t>22</w:t>
      </w:r>
      <w:r>
        <w:rPr>
          <w:rFonts w:hint="eastAsia" w:ascii="楷体" w:hAnsi="楷体" w:cs="楷体"/>
          <w:b/>
          <w:iCs/>
          <w:sz w:val="24"/>
          <w:highlight w:val="yellow"/>
          <w:u w:val="single"/>
        </w:rPr>
        <w:t>日</w:t>
      </w:r>
      <w:r>
        <w:rPr>
          <w:rFonts w:hint="eastAsia" w:ascii="楷体" w:hAnsi="楷体" w:cs="楷体"/>
          <w:b/>
          <w:iCs/>
          <w:sz w:val="24"/>
          <w:highlight w:val="yellow"/>
          <w:u w:val="single"/>
          <w:lang w:val="en-US" w:eastAsia="zh-CN"/>
        </w:rPr>
        <w:t>09</w:t>
      </w:r>
      <w:r>
        <w:rPr>
          <w:rFonts w:hint="eastAsia" w:ascii="楷体" w:hAnsi="楷体" w:cs="楷体"/>
          <w:b/>
          <w:iCs/>
          <w:sz w:val="24"/>
          <w:highlight w:val="yellow"/>
          <w:u w:val="single"/>
        </w:rPr>
        <w:t>时</w:t>
      </w:r>
      <w:r>
        <w:rPr>
          <w:rFonts w:hint="eastAsia" w:ascii="楷体" w:hAnsi="楷体" w:cs="楷体"/>
          <w:b/>
          <w:iCs/>
          <w:sz w:val="24"/>
          <w:highlight w:val="yellow"/>
          <w:u w:val="single"/>
          <w:lang w:val="en-US" w:eastAsia="zh-CN"/>
        </w:rPr>
        <w:t>00</w:t>
      </w:r>
      <w:r>
        <w:rPr>
          <w:rFonts w:hint="eastAsia" w:ascii="楷体" w:hAnsi="楷体" w:cs="楷体"/>
          <w:b/>
          <w:iCs/>
          <w:sz w:val="24"/>
          <w:highlight w:val="yellow"/>
          <w:u w:val="single"/>
        </w:rPr>
        <w:t>分</w:t>
      </w:r>
      <w:r>
        <w:rPr>
          <w:rFonts w:hint="eastAsia" w:ascii="楷体" w:hAnsi="楷体" w:cs="楷体"/>
          <w:bCs/>
          <w:iCs/>
          <w:sz w:val="24"/>
          <w:u w:val="single"/>
        </w:rPr>
        <w:t>，</w:t>
      </w:r>
    </w:p>
    <w:p>
      <w:pPr>
        <w:numPr>
          <w:ilvl w:val="255"/>
          <w:numId w:val="0"/>
        </w:numPr>
        <w:spacing w:line="460" w:lineRule="exact"/>
        <w:ind w:firstLine="480" w:firstLineChars="200"/>
        <w:jc w:val="left"/>
        <w:rPr>
          <w:rFonts w:ascii="楷体" w:hAnsi="楷体" w:cs="楷体"/>
          <w:bCs/>
          <w:iCs/>
          <w:sz w:val="24"/>
          <w:u w:val="single"/>
        </w:rPr>
      </w:pPr>
      <w:r>
        <w:rPr>
          <w:rFonts w:hint="eastAsia" w:ascii="楷体" w:hAnsi="楷体" w:cs="楷体"/>
          <w:sz w:val="24"/>
        </w:rPr>
        <w:t>5.3 投标文件递交方式：</w:t>
      </w:r>
      <w:r>
        <w:rPr>
          <w:rFonts w:hint="eastAsia" w:ascii="楷体" w:hAnsi="楷体" w:cs="楷体"/>
          <w:bCs/>
          <w:iCs/>
          <w:sz w:val="24"/>
          <w:u w:val="single"/>
        </w:rPr>
        <w:t>电子投标文件（.HzTbs格式）采用网上递交的方式，上传至“杭州公共资源交易平台”。</w:t>
      </w:r>
    </w:p>
    <w:p>
      <w:pPr>
        <w:spacing w:line="460" w:lineRule="exact"/>
        <w:ind w:firstLine="480" w:firstLineChars="200"/>
        <w:jc w:val="left"/>
        <w:rPr>
          <w:rFonts w:ascii="楷体" w:hAnsi="楷体" w:cs="楷体"/>
          <w:bCs/>
          <w:iCs/>
          <w:sz w:val="24"/>
          <w:u w:val="single"/>
        </w:rPr>
      </w:pPr>
      <w:r>
        <w:rPr>
          <w:rFonts w:hint="eastAsia" w:ascii="楷体" w:hAnsi="楷体" w:cs="楷体"/>
          <w:sz w:val="24"/>
        </w:rPr>
        <w:t>5.4 是否需要递交纸质投标文件：</w:t>
      </w:r>
      <w:r>
        <w:rPr>
          <w:rFonts w:hint="eastAsia" w:ascii="楷体" w:hAnsi="楷体" w:cs="楷体"/>
          <w:b/>
          <w:bCs/>
          <w:sz w:val="24"/>
        </w:rPr>
        <w:t>☑</w:t>
      </w:r>
      <w:r>
        <w:rPr>
          <w:rFonts w:hint="eastAsia" w:ascii="楷体" w:hAnsi="楷体" w:cs="楷体"/>
          <w:bCs/>
          <w:iCs/>
          <w:sz w:val="24"/>
          <w:u w:val="single"/>
        </w:rPr>
        <w:t>否</w:t>
      </w:r>
      <w:r>
        <w:rPr>
          <w:rFonts w:hint="eastAsia" w:ascii="楷体" w:hAnsi="楷体" w:cs="楷体"/>
          <w:sz w:val="24"/>
        </w:rPr>
        <w:t>；</w:t>
      </w:r>
    </w:p>
    <w:p>
      <w:pPr>
        <w:spacing w:line="460" w:lineRule="exact"/>
        <w:ind w:firstLine="480" w:firstLineChars="200"/>
        <w:rPr>
          <w:rFonts w:ascii="楷体" w:hAnsi="楷体" w:cs="楷体"/>
          <w:sz w:val="24"/>
        </w:rPr>
      </w:pPr>
      <w:r>
        <w:rPr>
          <w:rFonts w:hint="eastAsia" w:ascii="楷体" w:hAnsi="楷体" w:cs="楷体"/>
          <w:sz w:val="24"/>
        </w:rPr>
        <w:t>5.5 投标人应当在投标截止时间前完成上传电子投标文件，超过投标截止时间未完成上传的投标文件，交易平台将拒收。</w:t>
      </w:r>
    </w:p>
    <w:p>
      <w:pPr>
        <w:numPr>
          <w:ilvl w:val="0"/>
          <w:numId w:val="3"/>
        </w:numPr>
        <w:spacing w:line="460" w:lineRule="exact"/>
        <w:jc w:val="left"/>
        <w:outlineLvl w:val="2"/>
        <w:rPr>
          <w:rFonts w:ascii="楷体" w:hAnsi="楷体" w:cs="楷体"/>
          <w:b/>
          <w:bCs/>
          <w:sz w:val="24"/>
        </w:rPr>
      </w:pPr>
      <w:bookmarkStart w:id="59" w:name="_Toc12518"/>
      <w:bookmarkStart w:id="60" w:name="_Toc11855"/>
      <w:bookmarkStart w:id="61" w:name="_Toc16261"/>
      <w:bookmarkStart w:id="62" w:name="_Toc16727"/>
      <w:r>
        <w:rPr>
          <w:rFonts w:hint="eastAsia" w:ascii="楷体" w:hAnsi="楷体" w:cs="楷体"/>
          <w:b/>
          <w:bCs/>
          <w:sz w:val="24"/>
        </w:rPr>
        <w:t>发布公告的媒介</w:t>
      </w:r>
      <w:bookmarkEnd w:id="59"/>
      <w:bookmarkEnd w:id="60"/>
      <w:bookmarkEnd w:id="61"/>
      <w:bookmarkEnd w:id="62"/>
    </w:p>
    <w:p>
      <w:pPr>
        <w:spacing w:line="460" w:lineRule="exact"/>
        <w:ind w:firstLine="480" w:firstLineChars="200"/>
        <w:jc w:val="left"/>
        <w:rPr>
          <w:rFonts w:ascii="楷体" w:hAnsi="楷体" w:cs="楷体"/>
          <w:sz w:val="24"/>
        </w:rPr>
      </w:pPr>
      <w:r>
        <w:rPr>
          <w:rFonts w:hint="eastAsia" w:ascii="楷体" w:hAnsi="楷体" w:cs="楷体"/>
          <w:sz w:val="24"/>
        </w:rPr>
        <w:t>本次招标公告在杭州市公共资源交易网（http://ggzy.hzctc.hangzhou.gov.cn）和</w:t>
      </w:r>
      <w:r>
        <w:rPr>
          <w:rFonts w:hint="eastAsia" w:ascii="楷体" w:hAnsi="楷体" w:cs="楷体"/>
          <w:sz w:val="24"/>
          <w:highlight w:val="none"/>
        </w:rPr>
        <w:t>杭州交通信息网（</w:t>
      </w:r>
      <w:r>
        <w:rPr>
          <w:rFonts w:ascii="楷体" w:hAnsi="楷体" w:cs="楷体"/>
          <w:sz w:val="24"/>
          <w:highlight w:val="none"/>
        </w:rPr>
        <w:t>http://tb.hangzhou.gov.cn</w:t>
      </w:r>
      <w:r>
        <w:rPr>
          <w:rFonts w:hint="eastAsia" w:ascii="楷体" w:hAnsi="楷体" w:cs="楷体"/>
          <w:sz w:val="24"/>
          <w:highlight w:val="none"/>
        </w:rPr>
        <w:t>）同步发布。</w:t>
      </w:r>
    </w:p>
    <w:p>
      <w:pPr>
        <w:numPr>
          <w:ilvl w:val="0"/>
          <w:numId w:val="3"/>
        </w:numPr>
        <w:spacing w:line="460" w:lineRule="exact"/>
        <w:jc w:val="left"/>
        <w:outlineLvl w:val="2"/>
        <w:rPr>
          <w:rFonts w:ascii="楷体" w:hAnsi="楷体" w:cs="楷体"/>
          <w:b/>
          <w:bCs/>
          <w:sz w:val="24"/>
        </w:rPr>
      </w:pPr>
      <w:bookmarkStart w:id="63" w:name="_Toc4603"/>
      <w:bookmarkStart w:id="64" w:name="_Toc16463"/>
      <w:bookmarkStart w:id="65" w:name="_Toc2171"/>
      <w:bookmarkStart w:id="66" w:name="_Toc19600"/>
      <w:r>
        <w:rPr>
          <w:rFonts w:hint="eastAsia" w:ascii="楷体" w:hAnsi="楷体" w:cs="楷体"/>
          <w:b/>
          <w:bCs/>
          <w:sz w:val="24"/>
        </w:rPr>
        <w:t>联系方式</w:t>
      </w:r>
      <w:bookmarkEnd w:id="63"/>
      <w:bookmarkEnd w:id="64"/>
      <w:bookmarkEnd w:id="65"/>
      <w:bookmarkEnd w:id="66"/>
    </w:p>
    <w:p>
      <w:pPr>
        <w:snapToGrid w:val="0"/>
        <w:spacing w:line="460" w:lineRule="exact"/>
        <w:rPr>
          <w:rFonts w:ascii="楷体" w:hAnsi="楷体" w:cs="楷体"/>
          <w:sz w:val="24"/>
        </w:rPr>
      </w:pPr>
      <w:r>
        <w:rPr>
          <w:rFonts w:hint="eastAsia" w:ascii="楷体" w:hAnsi="楷体" w:cs="楷体"/>
          <w:sz w:val="24"/>
        </w:rPr>
        <w:t>招标人：桐庐县公路服务中心          招标代理机构：浙江重阳项目管理有限公司</w:t>
      </w:r>
    </w:p>
    <w:p>
      <w:pPr>
        <w:pStyle w:val="2"/>
        <w:spacing w:line="460" w:lineRule="exact"/>
        <w:ind w:firstLine="960" w:firstLineChars="400"/>
      </w:pPr>
      <w:r>
        <w:rPr>
          <w:rFonts w:hint="eastAsia" w:ascii="楷体" w:hAnsi="楷体" w:cs="楷体"/>
        </w:rPr>
        <w:t>桐庐县交通投资有限公司</w:t>
      </w:r>
    </w:p>
    <w:p>
      <w:pPr>
        <w:snapToGrid w:val="0"/>
        <w:spacing w:line="460" w:lineRule="exact"/>
        <w:ind w:left="6000" w:hanging="6000" w:hangingChars="2500"/>
        <w:rPr>
          <w:rFonts w:ascii="楷体" w:hAnsi="楷体" w:cs="楷体"/>
          <w:sz w:val="24"/>
        </w:rPr>
      </w:pPr>
      <w:r>
        <w:rPr>
          <w:rFonts w:hint="eastAsia" w:ascii="楷体" w:hAnsi="楷体" w:cs="楷体"/>
          <w:sz w:val="24"/>
        </w:rPr>
        <w:t>地  址：桐庐县桥北路147号          地 址：桐庐县荣正财富广场1302室</w:t>
      </w:r>
    </w:p>
    <w:p>
      <w:pPr>
        <w:snapToGrid w:val="0"/>
        <w:spacing w:line="460" w:lineRule="exact"/>
        <w:rPr>
          <w:rFonts w:ascii="楷体" w:hAnsi="楷体" w:cs="楷体"/>
          <w:sz w:val="24"/>
        </w:rPr>
      </w:pPr>
      <w:r>
        <w:rPr>
          <w:rFonts w:hint="eastAsia" w:ascii="楷体" w:hAnsi="楷体" w:cs="楷体"/>
          <w:sz w:val="24"/>
        </w:rPr>
        <w:t xml:space="preserve">联系人：李  坚                      联系人：张春霞  </w:t>
      </w:r>
    </w:p>
    <w:p>
      <w:pPr>
        <w:snapToGrid w:val="0"/>
        <w:spacing w:line="460" w:lineRule="exact"/>
        <w:jc w:val="left"/>
        <w:rPr>
          <w:rFonts w:ascii="楷体" w:hAnsi="楷体" w:cs="楷体"/>
          <w:sz w:val="24"/>
        </w:rPr>
      </w:pPr>
      <w:r>
        <w:rPr>
          <w:rFonts w:hint="eastAsia" w:ascii="楷体" w:hAnsi="楷体" w:cs="楷体"/>
          <w:sz w:val="24"/>
        </w:rPr>
        <w:t>电  话：0571-64218636               电话（传真）：</w:t>
      </w:r>
      <w:bookmarkStart w:id="67" w:name="_Toc282779389"/>
      <w:bookmarkStart w:id="68" w:name="_Toc288491405"/>
      <w:bookmarkStart w:id="69" w:name="_Toc282778880"/>
      <w:bookmarkStart w:id="70" w:name="_Toc283794077"/>
      <w:bookmarkStart w:id="71" w:name="_Toc233429675"/>
      <w:bookmarkStart w:id="72" w:name="_Toc233290287"/>
      <w:bookmarkStart w:id="73" w:name="_Toc233423165"/>
      <w:bookmarkStart w:id="74" w:name="_Toc287853229"/>
      <w:bookmarkStart w:id="75" w:name="_Toc233435892"/>
      <w:bookmarkStart w:id="76" w:name="_Toc288546529"/>
      <w:bookmarkStart w:id="77" w:name="_Toc282787320"/>
      <w:r>
        <w:rPr>
          <w:rFonts w:hint="eastAsia" w:ascii="楷体" w:hAnsi="楷体" w:cs="楷体"/>
          <w:sz w:val="24"/>
        </w:rPr>
        <w:t>0571-64626647</w:t>
      </w:r>
    </w:p>
    <w:p>
      <w:pPr>
        <w:snapToGrid w:val="0"/>
        <w:spacing w:line="336" w:lineRule="auto"/>
        <w:ind w:firstLine="6000" w:firstLineChars="2500"/>
        <w:jc w:val="left"/>
        <w:rPr>
          <w:rFonts w:ascii="楷体" w:hAnsi="楷体" w:cs="楷体"/>
          <w:sz w:val="24"/>
        </w:rPr>
      </w:pPr>
    </w:p>
    <w:p>
      <w:pPr>
        <w:snapToGrid w:val="0"/>
        <w:spacing w:line="336" w:lineRule="auto"/>
        <w:ind w:firstLine="6505" w:firstLineChars="2700"/>
        <w:jc w:val="left"/>
        <w:rPr>
          <w:rFonts w:hint="eastAsia" w:ascii="楷体" w:hAnsi="楷体" w:cs="楷体"/>
          <w:b/>
          <w:bCs/>
          <w:sz w:val="24"/>
          <w:highlight w:val="none"/>
        </w:rPr>
      </w:pPr>
      <w:r>
        <w:rPr>
          <w:rFonts w:hint="eastAsia" w:ascii="楷体" w:hAnsi="楷体" w:cs="楷体"/>
          <w:b/>
          <w:bCs/>
          <w:sz w:val="24"/>
          <w:highlight w:val="none"/>
        </w:rPr>
        <w:t>2022年0</w:t>
      </w:r>
      <w:r>
        <w:rPr>
          <w:rFonts w:hint="eastAsia" w:ascii="楷体" w:hAnsi="楷体" w:cs="楷体"/>
          <w:b/>
          <w:bCs/>
          <w:sz w:val="24"/>
          <w:highlight w:val="none"/>
          <w:lang w:val="en-US" w:eastAsia="zh-CN"/>
        </w:rPr>
        <w:t>4</w:t>
      </w:r>
      <w:r>
        <w:rPr>
          <w:rFonts w:hint="eastAsia" w:ascii="楷体" w:hAnsi="楷体" w:cs="楷体"/>
          <w:b/>
          <w:bCs/>
          <w:sz w:val="24"/>
          <w:highlight w:val="none"/>
        </w:rPr>
        <w:t>月</w:t>
      </w:r>
      <w:bookmarkEnd w:id="67"/>
      <w:bookmarkEnd w:id="68"/>
      <w:bookmarkEnd w:id="69"/>
      <w:bookmarkEnd w:id="70"/>
      <w:bookmarkEnd w:id="71"/>
      <w:bookmarkEnd w:id="72"/>
      <w:bookmarkEnd w:id="73"/>
      <w:bookmarkEnd w:id="74"/>
      <w:bookmarkEnd w:id="75"/>
      <w:bookmarkEnd w:id="76"/>
      <w:bookmarkEnd w:id="77"/>
      <w:bookmarkStart w:id="78" w:name="_Toc233423166"/>
      <w:bookmarkStart w:id="79" w:name="_Toc233429676"/>
      <w:bookmarkStart w:id="80" w:name="_Toc233290288"/>
      <w:bookmarkStart w:id="81" w:name="_Toc233214742"/>
      <w:bookmarkStart w:id="82" w:name="_Toc233435893"/>
      <w:r>
        <w:rPr>
          <w:rFonts w:hint="eastAsia" w:ascii="楷体" w:hAnsi="楷体" w:cs="楷体"/>
          <w:b/>
          <w:bCs/>
          <w:sz w:val="24"/>
          <w:highlight w:val="none"/>
          <w:lang w:val="en-US" w:eastAsia="zh-CN"/>
        </w:rPr>
        <w:t>01</w:t>
      </w:r>
      <w:r>
        <w:rPr>
          <w:rFonts w:hint="eastAsia" w:ascii="楷体" w:hAnsi="楷体" w:cs="楷体"/>
          <w:b/>
          <w:bCs/>
          <w:sz w:val="24"/>
          <w:highlight w:val="none"/>
        </w:rPr>
        <w:t>日</w:t>
      </w:r>
    </w:p>
    <w:p>
      <w:pPr>
        <w:rPr>
          <w:rFonts w:hint="eastAsia" w:ascii="楷体" w:hAnsi="楷体" w:cs="楷体"/>
          <w:b/>
          <w:bCs/>
          <w:sz w:val="24"/>
          <w:highlight w:val="none"/>
        </w:rPr>
      </w:pPr>
      <w:r>
        <w:rPr>
          <w:rFonts w:hint="eastAsia" w:ascii="楷体" w:hAnsi="楷体" w:cs="楷体"/>
          <w:b/>
          <w:bCs/>
          <w:sz w:val="24"/>
          <w:highlight w:val="none"/>
        </w:rPr>
        <w:br w:type="page"/>
      </w:r>
    </w:p>
    <w:p>
      <w:pPr>
        <w:pStyle w:val="2"/>
        <w:ind w:firstLine="241"/>
        <w:rPr>
          <w:rFonts w:ascii="楷体" w:hAnsi="楷体" w:cs="楷体"/>
          <w:b/>
          <w:bCs/>
        </w:rPr>
      </w:pPr>
    </w:p>
    <w:p>
      <w:pPr>
        <w:pStyle w:val="2"/>
        <w:ind w:firstLine="241"/>
        <w:rPr>
          <w:rFonts w:ascii="楷体" w:hAnsi="楷体" w:cs="楷体"/>
          <w:b/>
          <w:bCs/>
        </w:rPr>
      </w:pPr>
    </w:p>
    <w:p>
      <w:pPr>
        <w:pStyle w:val="4"/>
        <w:numPr>
          <w:ilvl w:val="0"/>
          <w:numId w:val="4"/>
        </w:numPr>
        <w:spacing w:before="0" w:after="0" w:line="240" w:lineRule="auto"/>
        <w:jc w:val="center"/>
        <w:rPr>
          <w:rFonts w:ascii="黑体" w:eastAsia="黑体"/>
          <w:bCs w:val="0"/>
        </w:rPr>
      </w:pPr>
      <w:bookmarkStart w:id="83" w:name="_Toc28561"/>
      <w:bookmarkStart w:id="84" w:name="_Toc16615"/>
      <w:bookmarkStart w:id="85" w:name="_Toc27910"/>
      <w:bookmarkStart w:id="86" w:name="_Toc3143"/>
      <w:bookmarkStart w:id="87" w:name="_Toc28744"/>
      <w:bookmarkStart w:id="88" w:name="_Toc17328"/>
      <w:bookmarkStart w:id="89" w:name="_Toc24930"/>
      <w:bookmarkStart w:id="90" w:name="_Toc29666"/>
      <w:bookmarkStart w:id="91" w:name="_Toc17941"/>
      <w:bookmarkStart w:id="92" w:name="_Toc6311"/>
      <w:bookmarkStart w:id="93" w:name="_Toc22943"/>
      <w:bookmarkStart w:id="94" w:name="_Toc12014"/>
      <w:bookmarkStart w:id="95" w:name="_Toc19751"/>
      <w:bookmarkStart w:id="96" w:name="_Toc27404"/>
      <w:bookmarkStart w:id="97" w:name="_Toc17471"/>
      <w:bookmarkStart w:id="98" w:name="_Toc25282"/>
      <w:bookmarkStart w:id="99" w:name="_Toc7309"/>
      <w:bookmarkStart w:id="100" w:name="_Toc27188"/>
      <w:r>
        <w:rPr>
          <w:rFonts w:hint="eastAsia" w:ascii="黑体" w:eastAsia="黑体"/>
          <w:bCs w:val="0"/>
        </w:rPr>
        <w:t>投标人须知</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5"/>
        <w:spacing w:before="0" w:after="0" w:line="240" w:lineRule="auto"/>
        <w:rPr>
          <w:bCs w:val="0"/>
          <w:sz w:val="30"/>
          <w:szCs w:val="30"/>
        </w:rPr>
      </w:pPr>
      <w:bookmarkStart w:id="101" w:name="_Toc24205"/>
      <w:bookmarkStart w:id="102" w:name="_Toc7052"/>
      <w:bookmarkStart w:id="103" w:name="_Toc283794078"/>
      <w:bookmarkStart w:id="104" w:name="_Toc19385"/>
      <w:bookmarkStart w:id="105" w:name="_Toc45"/>
      <w:bookmarkStart w:id="106" w:name="_Toc26876"/>
      <w:bookmarkStart w:id="107" w:name="_Toc20752"/>
      <w:bookmarkStart w:id="108" w:name="_Toc233429677"/>
      <w:bookmarkStart w:id="109" w:name="_Toc282779390"/>
      <w:bookmarkStart w:id="110" w:name="_Toc233290289"/>
      <w:bookmarkStart w:id="111" w:name="_Toc1207"/>
      <w:bookmarkStart w:id="112" w:name="_Toc233423167"/>
      <w:bookmarkStart w:id="113" w:name="_Toc3595"/>
      <w:bookmarkStart w:id="114" w:name="_Toc233214743"/>
      <w:bookmarkStart w:id="115" w:name="_Toc3026"/>
      <w:bookmarkStart w:id="116" w:name="_Toc282778881"/>
      <w:bookmarkStart w:id="117" w:name="_Toc20935"/>
      <w:bookmarkStart w:id="118" w:name="_Toc233435894"/>
      <w:bookmarkStart w:id="119" w:name="_Toc1454"/>
      <w:bookmarkStart w:id="120" w:name="_Toc287853230"/>
      <w:bookmarkStart w:id="121" w:name="_Toc15714"/>
      <w:bookmarkStart w:id="122" w:name="_Toc4300"/>
      <w:bookmarkStart w:id="123" w:name="_Toc288491406"/>
      <w:bookmarkStart w:id="124" w:name="_Toc19861"/>
      <w:bookmarkStart w:id="125" w:name="_Toc288546530"/>
      <w:bookmarkStart w:id="126" w:name="_Toc21355"/>
      <w:bookmarkStart w:id="127" w:name="_Toc6929"/>
      <w:bookmarkStart w:id="128" w:name="_Toc28318"/>
      <w:bookmarkStart w:id="129" w:name="_Toc282787321"/>
      <w:bookmarkStart w:id="130" w:name="_Toc32489"/>
      <w:r>
        <w:rPr>
          <w:rFonts w:hint="eastAsia"/>
          <w:bCs w:val="0"/>
        </w:rPr>
        <w:t>投标人须知前附表</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tbl>
      <w:tblPr>
        <w:tblStyle w:val="20"/>
        <w:tblW w:w="973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55"/>
        <w:gridCol w:w="150"/>
        <w:gridCol w:w="53"/>
        <w:gridCol w:w="1841"/>
        <w:gridCol w:w="285"/>
        <w:gridCol w:w="854"/>
        <w:gridCol w:w="559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6" w:hRule="atLeast"/>
          <w:jc w:val="center"/>
        </w:trPr>
        <w:tc>
          <w:tcPr>
            <w:tcW w:w="1158" w:type="dxa"/>
            <w:gridSpan w:val="3"/>
            <w:vAlign w:val="center"/>
          </w:tcPr>
          <w:p>
            <w:pPr>
              <w:jc w:val="center"/>
            </w:pPr>
            <w:r>
              <w:rPr>
                <w:rFonts w:hint="eastAsia" w:ascii="黑体" w:eastAsia="黑体"/>
                <w:szCs w:val="21"/>
              </w:rPr>
              <w:t>条款号</w:t>
            </w:r>
          </w:p>
        </w:tc>
        <w:tc>
          <w:tcPr>
            <w:tcW w:w="1841" w:type="dxa"/>
            <w:vAlign w:val="center"/>
          </w:tcPr>
          <w:p>
            <w:pPr>
              <w:jc w:val="center"/>
            </w:pPr>
            <w:r>
              <w:rPr>
                <w:rFonts w:hint="eastAsia" w:ascii="黑体" w:eastAsia="黑体"/>
                <w:szCs w:val="21"/>
              </w:rPr>
              <w:t>条款名称</w:t>
            </w:r>
          </w:p>
        </w:tc>
        <w:tc>
          <w:tcPr>
            <w:tcW w:w="6733" w:type="dxa"/>
            <w:gridSpan w:val="3"/>
            <w:vAlign w:val="center"/>
          </w:tcPr>
          <w:p>
            <w:pPr>
              <w:spacing w:line="300" w:lineRule="exact"/>
              <w:jc w:val="center"/>
              <w:rPr>
                <w:szCs w:val="21"/>
              </w:rPr>
            </w:pPr>
            <w:r>
              <w:rPr>
                <w:rFonts w:hint="eastAsia" w:ascii="黑体" w:eastAsia="黑体"/>
                <w:szCs w:val="21"/>
              </w:rPr>
              <w:t>编列内容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49" w:hRule="atLeast"/>
          <w:jc w:val="center"/>
        </w:trPr>
        <w:tc>
          <w:tcPr>
            <w:tcW w:w="1158" w:type="dxa"/>
            <w:gridSpan w:val="3"/>
            <w:vAlign w:val="center"/>
          </w:tcPr>
          <w:p>
            <w:pPr>
              <w:jc w:val="center"/>
              <w:rPr>
                <w:rFonts w:ascii="仿宋" w:hAnsi="仿宋" w:eastAsia="仿宋" w:cs="仿宋"/>
                <w:szCs w:val="21"/>
              </w:rPr>
            </w:pPr>
            <w:r>
              <w:rPr>
                <w:rFonts w:hint="eastAsia" w:ascii="仿宋" w:hAnsi="仿宋" w:eastAsia="仿宋" w:cs="仿宋"/>
                <w:szCs w:val="21"/>
              </w:rPr>
              <w:t>1.1.2</w:t>
            </w:r>
          </w:p>
        </w:tc>
        <w:tc>
          <w:tcPr>
            <w:tcW w:w="1841" w:type="dxa"/>
            <w:vAlign w:val="center"/>
          </w:tcPr>
          <w:p>
            <w:pPr>
              <w:jc w:val="center"/>
              <w:rPr>
                <w:rFonts w:ascii="仿宋" w:hAnsi="仿宋" w:eastAsia="仿宋" w:cs="仿宋"/>
                <w:szCs w:val="21"/>
              </w:rPr>
            </w:pPr>
            <w:r>
              <w:rPr>
                <w:rFonts w:hint="eastAsia" w:ascii="仿宋" w:hAnsi="仿宋" w:eastAsia="仿宋" w:cs="仿宋"/>
                <w:szCs w:val="21"/>
              </w:rPr>
              <w:t>招标人</w:t>
            </w:r>
          </w:p>
        </w:tc>
        <w:tc>
          <w:tcPr>
            <w:tcW w:w="6733" w:type="dxa"/>
            <w:gridSpan w:val="3"/>
            <w:vAlign w:val="center"/>
          </w:tcPr>
          <w:p>
            <w:pPr>
              <w:rPr>
                <w:rFonts w:ascii="仿宋" w:hAnsi="仿宋" w:eastAsia="仿宋" w:cs="仿宋"/>
                <w:szCs w:val="21"/>
              </w:rPr>
            </w:pPr>
            <w:r>
              <w:rPr>
                <w:rFonts w:hint="eastAsia" w:ascii="仿宋" w:hAnsi="仿宋" w:eastAsia="仿宋" w:cs="仿宋"/>
                <w:szCs w:val="21"/>
              </w:rPr>
              <w:t>名  称：桐庐县公路服务中心、桐庐县交通投资有限公司</w:t>
            </w:r>
          </w:p>
          <w:p>
            <w:pPr>
              <w:rPr>
                <w:rFonts w:ascii="仿宋" w:hAnsi="仿宋" w:eastAsia="仿宋" w:cs="仿宋"/>
                <w:szCs w:val="21"/>
              </w:rPr>
            </w:pPr>
            <w:r>
              <w:rPr>
                <w:rFonts w:hint="eastAsia" w:ascii="仿宋" w:hAnsi="仿宋" w:eastAsia="仿宋" w:cs="仿宋"/>
                <w:szCs w:val="21"/>
              </w:rPr>
              <w:t>地  址：桐庐县桥北路147号</w:t>
            </w:r>
          </w:p>
          <w:p>
            <w:pPr>
              <w:rPr>
                <w:rFonts w:ascii="仿宋" w:hAnsi="仿宋" w:eastAsia="仿宋" w:cs="仿宋"/>
                <w:szCs w:val="21"/>
              </w:rPr>
            </w:pPr>
            <w:r>
              <w:rPr>
                <w:rFonts w:hint="eastAsia" w:ascii="仿宋" w:hAnsi="仿宋" w:eastAsia="仿宋" w:cs="仿宋"/>
                <w:szCs w:val="21"/>
              </w:rPr>
              <w:t xml:space="preserve">联系人：李  坚 </w:t>
            </w:r>
          </w:p>
          <w:p>
            <w:pPr>
              <w:adjustRightInd w:val="0"/>
              <w:snapToGrid w:val="0"/>
              <w:rPr>
                <w:rFonts w:ascii="仿宋" w:hAnsi="仿宋" w:eastAsia="仿宋" w:cs="仿宋"/>
                <w:szCs w:val="21"/>
              </w:rPr>
            </w:pPr>
            <w:r>
              <w:rPr>
                <w:rFonts w:hint="eastAsia" w:ascii="仿宋" w:hAnsi="仿宋" w:eastAsia="仿宋" w:cs="仿宋"/>
                <w:szCs w:val="21"/>
              </w:rPr>
              <w:t xml:space="preserve">电  话：0571-64218636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44" w:hRule="atLeast"/>
          <w:jc w:val="center"/>
        </w:trPr>
        <w:tc>
          <w:tcPr>
            <w:tcW w:w="1158" w:type="dxa"/>
            <w:gridSpan w:val="3"/>
            <w:vAlign w:val="center"/>
          </w:tcPr>
          <w:p>
            <w:pPr>
              <w:jc w:val="center"/>
              <w:rPr>
                <w:rFonts w:ascii="仿宋" w:hAnsi="仿宋" w:eastAsia="仿宋" w:cs="仿宋"/>
                <w:szCs w:val="21"/>
              </w:rPr>
            </w:pPr>
            <w:r>
              <w:rPr>
                <w:rFonts w:hint="eastAsia" w:ascii="仿宋" w:hAnsi="仿宋" w:eastAsia="仿宋" w:cs="仿宋"/>
                <w:szCs w:val="21"/>
              </w:rPr>
              <w:t>1.1.3</w:t>
            </w:r>
          </w:p>
        </w:tc>
        <w:tc>
          <w:tcPr>
            <w:tcW w:w="1841" w:type="dxa"/>
            <w:vAlign w:val="center"/>
          </w:tcPr>
          <w:p>
            <w:pPr>
              <w:jc w:val="center"/>
              <w:rPr>
                <w:rFonts w:ascii="仿宋" w:hAnsi="仿宋" w:eastAsia="仿宋" w:cs="仿宋"/>
                <w:szCs w:val="21"/>
              </w:rPr>
            </w:pPr>
            <w:r>
              <w:rPr>
                <w:rFonts w:hint="eastAsia" w:ascii="仿宋" w:hAnsi="仿宋" w:eastAsia="仿宋" w:cs="仿宋"/>
                <w:szCs w:val="21"/>
              </w:rPr>
              <w:t>招标代理机构</w:t>
            </w:r>
          </w:p>
        </w:tc>
        <w:tc>
          <w:tcPr>
            <w:tcW w:w="6733" w:type="dxa"/>
            <w:gridSpan w:val="3"/>
            <w:vAlign w:val="center"/>
          </w:tcPr>
          <w:p>
            <w:pPr>
              <w:rPr>
                <w:rFonts w:ascii="仿宋" w:hAnsi="仿宋" w:eastAsia="仿宋" w:cs="仿宋"/>
                <w:szCs w:val="21"/>
              </w:rPr>
            </w:pPr>
            <w:r>
              <w:rPr>
                <w:rFonts w:hint="eastAsia" w:ascii="仿宋" w:hAnsi="仿宋" w:eastAsia="仿宋" w:cs="仿宋"/>
                <w:szCs w:val="21"/>
              </w:rPr>
              <w:t>名  称：浙江重阳项目管理有限公司</w:t>
            </w:r>
          </w:p>
          <w:p>
            <w:pPr>
              <w:rPr>
                <w:rFonts w:ascii="仿宋" w:hAnsi="仿宋" w:eastAsia="仿宋" w:cs="仿宋"/>
                <w:szCs w:val="21"/>
              </w:rPr>
            </w:pPr>
            <w:r>
              <w:rPr>
                <w:rFonts w:hint="eastAsia" w:ascii="仿宋" w:hAnsi="仿宋" w:eastAsia="仿宋" w:cs="仿宋"/>
                <w:szCs w:val="21"/>
              </w:rPr>
              <w:t>地  址：桐庐县荣正财富广场1302室</w:t>
            </w:r>
          </w:p>
          <w:p>
            <w:pPr>
              <w:rPr>
                <w:rFonts w:ascii="仿宋" w:hAnsi="仿宋" w:eastAsia="仿宋" w:cs="仿宋"/>
                <w:szCs w:val="21"/>
              </w:rPr>
            </w:pPr>
            <w:r>
              <w:rPr>
                <w:rFonts w:hint="eastAsia" w:ascii="仿宋" w:hAnsi="仿宋" w:eastAsia="仿宋" w:cs="仿宋"/>
                <w:szCs w:val="21"/>
              </w:rPr>
              <w:t>联系人：张春霞</w:t>
            </w:r>
          </w:p>
          <w:p>
            <w:pPr>
              <w:adjustRightInd w:val="0"/>
              <w:snapToGrid w:val="0"/>
              <w:rPr>
                <w:rFonts w:ascii="仿宋" w:hAnsi="仿宋" w:eastAsia="仿宋" w:cs="仿宋"/>
                <w:szCs w:val="21"/>
              </w:rPr>
            </w:pPr>
            <w:r>
              <w:rPr>
                <w:rFonts w:hint="eastAsia" w:ascii="仿宋" w:hAnsi="仿宋" w:eastAsia="仿宋" w:cs="仿宋"/>
                <w:szCs w:val="21"/>
              </w:rPr>
              <w:t>电  话：0571-64626647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2" w:hRule="atLeast"/>
          <w:jc w:val="center"/>
        </w:trPr>
        <w:tc>
          <w:tcPr>
            <w:tcW w:w="1158" w:type="dxa"/>
            <w:gridSpan w:val="3"/>
            <w:vAlign w:val="center"/>
          </w:tcPr>
          <w:p>
            <w:pPr>
              <w:spacing w:line="240" w:lineRule="exact"/>
              <w:jc w:val="center"/>
              <w:rPr>
                <w:rFonts w:ascii="仿宋" w:hAnsi="仿宋" w:eastAsia="仿宋" w:cs="仿宋"/>
                <w:szCs w:val="21"/>
              </w:rPr>
            </w:pPr>
            <w:r>
              <w:rPr>
                <w:rFonts w:hint="eastAsia" w:ascii="仿宋" w:hAnsi="仿宋" w:eastAsia="仿宋" w:cs="仿宋"/>
                <w:szCs w:val="21"/>
              </w:rPr>
              <w:t>1.1.4</w:t>
            </w:r>
          </w:p>
        </w:tc>
        <w:tc>
          <w:tcPr>
            <w:tcW w:w="1841" w:type="dxa"/>
            <w:vAlign w:val="center"/>
          </w:tcPr>
          <w:p>
            <w:pPr>
              <w:spacing w:line="240" w:lineRule="exact"/>
              <w:jc w:val="center"/>
              <w:rPr>
                <w:rFonts w:ascii="仿宋" w:hAnsi="仿宋" w:eastAsia="仿宋" w:cs="仿宋"/>
                <w:szCs w:val="21"/>
              </w:rPr>
            </w:pPr>
            <w:r>
              <w:rPr>
                <w:rFonts w:hint="eastAsia" w:ascii="仿宋" w:hAnsi="仿宋" w:eastAsia="仿宋" w:cs="仿宋"/>
                <w:szCs w:val="21"/>
              </w:rPr>
              <w:t>项目名称</w:t>
            </w:r>
          </w:p>
        </w:tc>
        <w:tc>
          <w:tcPr>
            <w:tcW w:w="6733" w:type="dxa"/>
            <w:gridSpan w:val="3"/>
            <w:vAlign w:val="center"/>
          </w:tcPr>
          <w:p>
            <w:pPr>
              <w:spacing w:line="240" w:lineRule="exact"/>
              <w:rPr>
                <w:rFonts w:hint="eastAsia" w:ascii="仿宋" w:hAnsi="仿宋" w:eastAsia="仿宋" w:cs="仿宋"/>
                <w:szCs w:val="21"/>
                <w:lang w:eastAsia="zh-CN"/>
              </w:rPr>
            </w:pPr>
            <w:r>
              <w:rPr>
                <w:rFonts w:hint="eastAsia" w:ascii="仿宋" w:hAnsi="仿宋" w:eastAsia="仿宋" w:cs="仿宋"/>
                <w:szCs w:val="21"/>
                <w:lang w:eastAsia="zh-CN"/>
              </w:rPr>
              <w:t>桐庐县2022年普通国道养护大中修工程（G320沪瑞线）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1158" w:type="dxa"/>
            <w:gridSpan w:val="3"/>
            <w:vAlign w:val="center"/>
          </w:tcPr>
          <w:p>
            <w:pPr>
              <w:spacing w:line="240" w:lineRule="exact"/>
              <w:jc w:val="center"/>
              <w:rPr>
                <w:rFonts w:ascii="仿宋" w:hAnsi="仿宋" w:eastAsia="仿宋" w:cs="仿宋"/>
                <w:szCs w:val="21"/>
              </w:rPr>
            </w:pPr>
            <w:r>
              <w:rPr>
                <w:rFonts w:hint="eastAsia" w:ascii="仿宋" w:hAnsi="仿宋" w:eastAsia="仿宋" w:cs="仿宋"/>
                <w:szCs w:val="21"/>
              </w:rPr>
              <w:t>1.1.5</w:t>
            </w:r>
          </w:p>
        </w:tc>
        <w:tc>
          <w:tcPr>
            <w:tcW w:w="1841" w:type="dxa"/>
            <w:vAlign w:val="center"/>
          </w:tcPr>
          <w:p>
            <w:pPr>
              <w:spacing w:line="240" w:lineRule="exact"/>
              <w:jc w:val="center"/>
              <w:rPr>
                <w:rFonts w:ascii="仿宋" w:hAnsi="仿宋" w:eastAsia="仿宋" w:cs="仿宋"/>
                <w:szCs w:val="21"/>
              </w:rPr>
            </w:pPr>
            <w:r>
              <w:rPr>
                <w:rFonts w:hint="eastAsia" w:ascii="仿宋" w:hAnsi="仿宋" w:eastAsia="仿宋" w:cs="仿宋"/>
                <w:szCs w:val="21"/>
              </w:rPr>
              <w:t>养护工程地点</w:t>
            </w:r>
          </w:p>
        </w:tc>
        <w:tc>
          <w:tcPr>
            <w:tcW w:w="6733" w:type="dxa"/>
            <w:gridSpan w:val="3"/>
            <w:vAlign w:val="center"/>
          </w:tcPr>
          <w:p>
            <w:pPr>
              <w:spacing w:line="240" w:lineRule="exact"/>
              <w:rPr>
                <w:rFonts w:ascii="仿宋" w:hAnsi="仿宋" w:eastAsia="仿宋" w:cs="仿宋"/>
                <w:szCs w:val="21"/>
              </w:rPr>
            </w:pPr>
            <w:r>
              <w:rPr>
                <w:rFonts w:hint="eastAsia" w:ascii="仿宋" w:hAnsi="仿宋" w:eastAsia="仿宋" w:cs="仿宋"/>
                <w:szCs w:val="21"/>
              </w:rPr>
              <w:t>桐庐县境内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1158" w:type="dxa"/>
            <w:gridSpan w:val="3"/>
            <w:vAlign w:val="center"/>
          </w:tcPr>
          <w:p>
            <w:pPr>
              <w:spacing w:line="240" w:lineRule="exact"/>
              <w:jc w:val="center"/>
              <w:rPr>
                <w:rFonts w:ascii="仿宋" w:hAnsi="仿宋" w:eastAsia="仿宋" w:cs="仿宋"/>
                <w:szCs w:val="21"/>
              </w:rPr>
            </w:pPr>
            <w:r>
              <w:rPr>
                <w:rFonts w:hint="eastAsia" w:ascii="仿宋" w:hAnsi="仿宋" w:eastAsia="仿宋" w:cs="仿宋"/>
                <w:szCs w:val="21"/>
              </w:rPr>
              <w:t>1.2.1</w:t>
            </w:r>
          </w:p>
        </w:tc>
        <w:tc>
          <w:tcPr>
            <w:tcW w:w="1841" w:type="dxa"/>
            <w:vAlign w:val="center"/>
          </w:tcPr>
          <w:p>
            <w:pPr>
              <w:spacing w:line="240" w:lineRule="exact"/>
              <w:jc w:val="center"/>
              <w:rPr>
                <w:rFonts w:ascii="仿宋" w:hAnsi="仿宋" w:eastAsia="仿宋" w:cs="仿宋"/>
                <w:szCs w:val="21"/>
              </w:rPr>
            </w:pPr>
            <w:r>
              <w:rPr>
                <w:rFonts w:hint="eastAsia" w:ascii="仿宋" w:hAnsi="仿宋" w:eastAsia="仿宋" w:cs="仿宋"/>
                <w:szCs w:val="21"/>
              </w:rPr>
              <w:t>资金来源</w:t>
            </w:r>
          </w:p>
        </w:tc>
        <w:tc>
          <w:tcPr>
            <w:tcW w:w="6733" w:type="dxa"/>
            <w:gridSpan w:val="3"/>
            <w:vAlign w:val="center"/>
          </w:tcPr>
          <w:p>
            <w:pPr>
              <w:spacing w:line="240" w:lineRule="exact"/>
              <w:rPr>
                <w:rFonts w:ascii="仿宋" w:hAnsi="仿宋" w:eastAsia="仿宋" w:cs="仿宋"/>
                <w:szCs w:val="21"/>
              </w:rPr>
            </w:pPr>
            <w:r>
              <w:rPr>
                <w:rFonts w:hint="eastAsia" w:ascii="仿宋" w:hAnsi="仿宋" w:eastAsia="仿宋" w:cs="仿宋"/>
                <w:szCs w:val="21"/>
              </w:rPr>
              <w:t>上级拨款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3" w:hRule="atLeast"/>
          <w:jc w:val="center"/>
        </w:trPr>
        <w:tc>
          <w:tcPr>
            <w:tcW w:w="1158" w:type="dxa"/>
            <w:gridSpan w:val="3"/>
            <w:vAlign w:val="center"/>
          </w:tcPr>
          <w:p>
            <w:pPr>
              <w:spacing w:line="240" w:lineRule="exact"/>
              <w:jc w:val="center"/>
              <w:rPr>
                <w:rFonts w:ascii="仿宋" w:hAnsi="仿宋" w:eastAsia="仿宋" w:cs="仿宋"/>
                <w:szCs w:val="21"/>
              </w:rPr>
            </w:pPr>
            <w:r>
              <w:rPr>
                <w:rFonts w:hint="eastAsia" w:ascii="仿宋" w:hAnsi="仿宋" w:eastAsia="仿宋" w:cs="仿宋"/>
                <w:szCs w:val="21"/>
              </w:rPr>
              <w:t>1.2.2</w:t>
            </w:r>
          </w:p>
        </w:tc>
        <w:tc>
          <w:tcPr>
            <w:tcW w:w="1841" w:type="dxa"/>
            <w:vAlign w:val="center"/>
          </w:tcPr>
          <w:p>
            <w:pPr>
              <w:spacing w:line="240" w:lineRule="exact"/>
              <w:jc w:val="center"/>
              <w:rPr>
                <w:rFonts w:ascii="仿宋" w:hAnsi="仿宋" w:eastAsia="仿宋" w:cs="仿宋"/>
                <w:szCs w:val="21"/>
              </w:rPr>
            </w:pPr>
            <w:r>
              <w:rPr>
                <w:rFonts w:hint="eastAsia" w:ascii="仿宋" w:hAnsi="仿宋" w:eastAsia="仿宋" w:cs="仿宋"/>
                <w:szCs w:val="21"/>
              </w:rPr>
              <w:t>出资比例</w:t>
            </w:r>
          </w:p>
        </w:tc>
        <w:tc>
          <w:tcPr>
            <w:tcW w:w="6733" w:type="dxa"/>
            <w:gridSpan w:val="3"/>
            <w:vAlign w:val="center"/>
          </w:tcPr>
          <w:p>
            <w:pPr>
              <w:spacing w:line="240" w:lineRule="exact"/>
              <w:rPr>
                <w:rFonts w:ascii="仿宋" w:hAnsi="仿宋" w:eastAsia="仿宋" w:cs="仿宋"/>
                <w:szCs w:val="21"/>
              </w:rPr>
            </w:pPr>
            <w:r>
              <w:rPr>
                <w:rFonts w:hint="eastAsia" w:ascii="仿宋" w:hAnsi="仿宋" w:eastAsia="仿宋" w:cs="仿宋"/>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3" w:hRule="atLeast"/>
          <w:jc w:val="center"/>
        </w:trPr>
        <w:tc>
          <w:tcPr>
            <w:tcW w:w="1158" w:type="dxa"/>
            <w:gridSpan w:val="3"/>
            <w:vAlign w:val="center"/>
          </w:tcPr>
          <w:p>
            <w:pPr>
              <w:spacing w:line="240" w:lineRule="exact"/>
              <w:jc w:val="center"/>
              <w:rPr>
                <w:rFonts w:ascii="仿宋" w:hAnsi="仿宋" w:eastAsia="仿宋" w:cs="仿宋"/>
                <w:szCs w:val="21"/>
              </w:rPr>
            </w:pPr>
            <w:r>
              <w:rPr>
                <w:rFonts w:hint="eastAsia" w:ascii="仿宋" w:hAnsi="仿宋" w:eastAsia="仿宋" w:cs="仿宋"/>
                <w:szCs w:val="21"/>
              </w:rPr>
              <w:t>1.2.3</w:t>
            </w:r>
          </w:p>
        </w:tc>
        <w:tc>
          <w:tcPr>
            <w:tcW w:w="1841" w:type="dxa"/>
            <w:vAlign w:val="center"/>
          </w:tcPr>
          <w:p>
            <w:pPr>
              <w:spacing w:line="240" w:lineRule="exact"/>
              <w:jc w:val="center"/>
              <w:rPr>
                <w:rFonts w:ascii="仿宋" w:hAnsi="仿宋" w:eastAsia="仿宋" w:cs="仿宋"/>
                <w:szCs w:val="21"/>
              </w:rPr>
            </w:pPr>
            <w:r>
              <w:rPr>
                <w:rFonts w:hint="eastAsia" w:ascii="仿宋" w:hAnsi="仿宋" w:eastAsia="仿宋" w:cs="仿宋"/>
                <w:szCs w:val="21"/>
              </w:rPr>
              <w:t>资金落实情况</w:t>
            </w:r>
          </w:p>
        </w:tc>
        <w:tc>
          <w:tcPr>
            <w:tcW w:w="6733" w:type="dxa"/>
            <w:gridSpan w:val="3"/>
            <w:vAlign w:val="center"/>
          </w:tcPr>
          <w:p>
            <w:pPr>
              <w:spacing w:line="240" w:lineRule="exact"/>
              <w:rPr>
                <w:rFonts w:ascii="仿宋" w:hAnsi="仿宋" w:eastAsia="仿宋" w:cs="仿宋"/>
                <w:szCs w:val="21"/>
              </w:rPr>
            </w:pPr>
            <w:r>
              <w:rPr>
                <w:rFonts w:hint="eastAsia" w:ascii="仿宋" w:hAnsi="仿宋" w:eastAsia="仿宋" w:cs="仿宋"/>
                <w:szCs w:val="21"/>
              </w:rPr>
              <w:t>已落实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6" w:hRule="atLeast"/>
          <w:jc w:val="center"/>
        </w:trPr>
        <w:tc>
          <w:tcPr>
            <w:tcW w:w="1158" w:type="dxa"/>
            <w:gridSpan w:val="3"/>
            <w:vAlign w:val="center"/>
          </w:tcPr>
          <w:p>
            <w:pPr>
              <w:spacing w:line="240" w:lineRule="exact"/>
              <w:jc w:val="center"/>
              <w:rPr>
                <w:rFonts w:ascii="仿宋" w:hAnsi="仿宋" w:eastAsia="仿宋" w:cs="仿宋"/>
                <w:szCs w:val="21"/>
              </w:rPr>
            </w:pPr>
            <w:r>
              <w:rPr>
                <w:rFonts w:hint="eastAsia" w:ascii="仿宋" w:hAnsi="仿宋" w:eastAsia="仿宋" w:cs="仿宋"/>
                <w:szCs w:val="21"/>
              </w:rPr>
              <w:t>1.3.1</w:t>
            </w:r>
          </w:p>
        </w:tc>
        <w:tc>
          <w:tcPr>
            <w:tcW w:w="1841" w:type="dxa"/>
            <w:vAlign w:val="center"/>
          </w:tcPr>
          <w:p>
            <w:pPr>
              <w:spacing w:line="240" w:lineRule="exact"/>
              <w:jc w:val="center"/>
              <w:rPr>
                <w:rFonts w:ascii="仿宋" w:hAnsi="仿宋" w:eastAsia="仿宋" w:cs="仿宋"/>
                <w:szCs w:val="21"/>
              </w:rPr>
            </w:pPr>
            <w:r>
              <w:rPr>
                <w:rFonts w:hint="eastAsia" w:ascii="仿宋" w:hAnsi="仿宋" w:eastAsia="仿宋" w:cs="仿宋"/>
                <w:szCs w:val="21"/>
              </w:rPr>
              <w:t>招标范围</w:t>
            </w:r>
          </w:p>
        </w:tc>
        <w:tc>
          <w:tcPr>
            <w:tcW w:w="6733" w:type="dxa"/>
            <w:gridSpan w:val="3"/>
            <w:vAlign w:val="center"/>
          </w:tcPr>
          <w:p>
            <w:pPr>
              <w:spacing w:line="240" w:lineRule="exact"/>
              <w:rPr>
                <w:rFonts w:ascii="仿宋" w:hAnsi="仿宋" w:eastAsia="仿宋" w:cs="仿宋"/>
                <w:szCs w:val="21"/>
              </w:rPr>
            </w:pPr>
            <w:r>
              <w:rPr>
                <w:rFonts w:hint="eastAsia" w:ascii="仿宋" w:hAnsi="仿宋" w:eastAsia="仿宋" w:cs="仿宋"/>
                <w:szCs w:val="21"/>
              </w:rPr>
              <w:t>详见招标公告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7" w:hRule="atLeast"/>
          <w:jc w:val="center"/>
        </w:trPr>
        <w:tc>
          <w:tcPr>
            <w:tcW w:w="1158" w:type="dxa"/>
            <w:gridSpan w:val="3"/>
            <w:vAlign w:val="center"/>
          </w:tcPr>
          <w:p>
            <w:pPr>
              <w:spacing w:line="240" w:lineRule="exact"/>
              <w:jc w:val="center"/>
              <w:rPr>
                <w:rFonts w:ascii="仿宋" w:hAnsi="仿宋" w:eastAsia="仿宋" w:cs="仿宋"/>
                <w:szCs w:val="21"/>
              </w:rPr>
            </w:pPr>
            <w:r>
              <w:rPr>
                <w:rFonts w:hint="eastAsia" w:ascii="仿宋" w:hAnsi="仿宋" w:eastAsia="仿宋" w:cs="仿宋"/>
                <w:szCs w:val="21"/>
              </w:rPr>
              <w:t>1.3.2</w:t>
            </w:r>
          </w:p>
        </w:tc>
        <w:tc>
          <w:tcPr>
            <w:tcW w:w="1841" w:type="dxa"/>
            <w:vAlign w:val="center"/>
          </w:tcPr>
          <w:p>
            <w:pPr>
              <w:spacing w:line="240" w:lineRule="exact"/>
              <w:jc w:val="center"/>
              <w:rPr>
                <w:rFonts w:ascii="仿宋" w:hAnsi="仿宋" w:eastAsia="仿宋" w:cs="仿宋"/>
                <w:szCs w:val="21"/>
              </w:rPr>
            </w:pPr>
            <w:r>
              <w:rPr>
                <w:rFonts w:hint="eastAsia" w:ascii="仿宋" w:hAnsi="仿宋" w:eastAsia="仿宋" w:cs="仿宋"/>
                <w:szCs w:val="21"/>
              </w:rPr>
              <w:t>计划工期</w:t>
            </w:r>
          </w:p>
        </w:tc>
        <w:tc>
          <w:tcPr>
            <w:tcW w:w="6733" w:type="dxa"/>
            <w:gridSpan w:val="3"/>
            <w:vAlign w:val="center"/>
          </w:tcPr>
          <w:p>
            <w:pPr>
              <w:rPr>
                <w:rFonts w:ascii="仿宋" w:hAnsi="仿宋" w:eastAsia="仿宋" w:cs="仿宋"/>
                <w:szCs w:val="21"/>
              </w:rPr>
            </w:pPr>
            <w:r>
              <w:rPr>
                <w:rFonts w:hint="eastAsia" w:ascii="仿宋" w:hAnsi="仿宋" w:eastAsia="仿宋" w:cs="仿宋"/>
                <w:b/>
                <w:bCs/>
                <w:color w:val="0000FF"/>
                <w:szCs w:val="21"/>
              </w:rPr>
              <w:t>3个月（其中主体工程必须在2022年6月底前完成）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7" w:hRule="atLeast"/>
          <w:jc w:val="center"/>
        </w:trPr>
        <w:tc>
          <w:tcPr>
            <w:tcW w:w="1158" w:type="dxa"/>
            <w:gridSpan w:val="3"/>
            <w:vAlign w:val="center"/>
          </w:tcPr>
          <w:p>
            <w:pPr>
              <w:spacing w:line="240" w:lineRule="exact"/>
              <w:jc w:val="center"/>
              <w:rPr>
                <w:rFonts w:ascii="仿宋" w:hAnsi="仿宋" w:eastAsia="仿宋" w:cs="仿宋"/>
                <w:szCs w:val="21"/>
              </w:rPr>
            </w:pPr>
            <w:r>
              <w:rPr>
                <w:rFonts w:hint="eastAsia" w:ascii="仿宋" w:hAnsi="仿宋" w:eastAsia="仿宋" w:cs="仿宋"/>
                <w:szCs w:val="21"/>
              </w:rPr>
              <w:t>1.3.3</w:t>
            </w:r>
          </w:p>
        </w:tc>
        <w:tc>
          <w:tcPr>
            <w:tcW w:w="1841" w:type="dxa"/>
            <w:vAlign w:val="center"/>
          </w:tcPr>
          <w:p>
            <w:pPr>
              <w:spacing w:line="240" w:lineRule="exact"/>
              <w:jc w:val="center"/>
              <w:rPr>
                <w:rFonts w:ascii="仿宋" w:hAnsi="仿宋" w:eastAsia="仿宋" w:cs="仿宋"/>
                <w:szCs w:val="21"/>
              </w:rPr>
            </w:pPr>
            <w:r>
              <w:rPr>
                <w:rFonts w:hint="eastAsia" w:ascii="仿宋" w:hAnsi="仿宋" w:eastAsia="仿宋" w:cs="仿宋"/>
                <w:szCs w:val="21"/>
              </w:rPr>
              <w:t>质量要求</w:t>
            </w:r>
          </w:p>
        </w:tc>
        <w:tc>
          <w:tcPr>
            <w:tcW w:w="6733" w:type="dxa"/>
            <w:gridSpan w:val="3"/>
            <w:vAlign w:val="center"/>
          </w:tcPr>
          <w:p>
            <w:pPr>
              <w:spacing w:line="300" w:lineRule="exact"/>
              <w:jc w:val="left"/>
              <w:rPr>
                <w:rFonts w:ascii="仿宋" w:hAnsi="仿宋" w:eastAsia="仿宋" w:cs="仿宋"/>
                <w:szCs w:val="21"/>
              </w:rPr>
            </w:pPr>
            <w:r>
              <w:rPr>
                <w:rFonts w:hint="eastAsia" w:ascii="仿宋" w:hAnsi="仿宋" w:eastAsia="仿宋" w:cs="仿宋"/>
                <w:szCs w:val="21"/>
              </w:rPr>
              <w:t>标段工程交（竣）工验收的质量评定：</w:t>
            </w:r>
            <w:r>
              <w:rPr>
                <w:rFonts w:hint="eastAsia" w:ascii="仿宋" w:hAnsi="仿宋" w:eastAsia="仿宋" w:cs="仿宋"/>
                <w:bCs/>
                <w:iCs/>
                <w:szCs w:val="21"/>
                <w:u w:val="single"/>
              </w:rPr>
              <w:t>合格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54" w:hRule="atLeast"/>
          <w:jc w:val="center"/>
        </w:trPr>
        <w:tc>
          <w:tcPr>
            <w:tcW w:w="1158" w:type="dxa"/>
            <w:gridSpan w:val="3"/>
            <w:vAlign w:val="center"/>
          </w:tcPr>
          <w:p>
            <w:pPr>
              <w:spacing w:line="240" w:lineRule="exact"/>
              <w:jc w:val="center"/>
              <w:rPr>
                <w:rFonts w:ascii="仿宋" w:hAnsi="仿宋" w:eastAsia="仿宋" w:cs="仿宋"/>
                <w:szCs w:val="21"/>
              </w:rPr>
            </w:pPr>
            <w:r>
              <w:rPr>
                <w:rFonts w:hint="eastAsia" w:ascii="仿宋" w:hAnsi="仿宋" w:eastAsia="仿宋" w:cs="仿宋"/>
                <w:szCs w:val="21"/>
              </w:rPr>
              <w:t>1.4.1</w:t>
            </w:r>
          </w:p>
        </w:tc>
        <w:tc>
          <w:tcPr>
            <w:tcW w:w="1841" w:type="dxa"/>
            <w:vAlign w:val="center"/>
          </w:tcPr>
          <w:p>
            <w:pPr>
              <w:spacing w:line="240" w:lineRule="exact"/>
              <w:jc w:val="center"/>
              <w:rPr>
                <w:rFonts w:ascii="仿宋" w:hAnsi="仿宋" w:eastAsia="仿宋" w:cs="仿宋"/>
                <w:szCs w:val="21"/>
              </w:rPr>
            </w:pPr>
            <w:r>
              <w:rPr>
                <w:rFonts w:hint="eastAsia" w:ascii="仿宋" w:hAnsi="仿宋" w:eastAsia="仿宋" w:cs="仿宋"/>
                <w:szCs w:val="21"/>
              </w:rPr>
              <w:t>投标人资质条件、能力和信誉</w:t>
            </w:r>
          </w:p>
        </w:tc>
        <w:tc>
          <w:tcPr>
            <w:tcW w:w="6733" w:type="dxa"/>
            <w:gridSpan w:val="3"/>
            <w:vAlign w:val="center"/>
          </w:tcPr>
          <w:p>
            <w:pPr>
              <w:spacing w:line="300" w:lineRule="exact"/>
              <w:jc w:val="left"/>
              <w:rPr>
                <w:rFonts w:ascii="仿宋" w:hAnsi="仿宋" w:eastAsia="仿宋" w:cs="仿宋"/>
                <w:szCs w:val="21"/>
              </w:rPr>
            </w:pPr>
            <w:r>
              <w:rPr>
                <w:rFonts w:hint="eastAsia" w:ascii="仿宋" w:hAnsi="仿宋" w:eastAsia="仿宋" w:cs="仿宋"/>
                <w:szCs w:val="21"/>
              </w:rPr>
              <w:t>资质条件：见附录1</w:t>
            </w:r>
          </w:p>
          <w:p>
            <w:pPr>
              <w:spacing w:line="300" w:lineRule="exact"/>
              <w:jc w:val="left"/>
              <w:rPr>
                <w:rFonts w:ascii="仿宋" w:hAnsi="仿宋" w:eastAsia="仿宋" w:cs="仿宋"/>
                <w:szCs w:val="21"/>
              </w:rPr>
            </w:pPr>
            <w:r>
              <w:rPr>
                <w:rFonts w:hint="eastAsia" w:ascii="仿宋" w:hAnsi="仿宋" w:eastAsia="仿宋" w:cs="仿宋"/>
                <w:szCs w:val="21"/>
              </w:rPr>
              <w:t>财务要求：见附录2</w:t>
            </w:r>
          </w:p>
          <w:p>
            <w:pPr>
              <w:spacing w:line="300" w:lineRule="exact"/>
              <w:jc w:val="left"/>
              <w:rPr>
                <w:rFonts w:ascii="仿宋" w:hAnsi="仿宋" w:eastAsia="仿宋" w:cs="仿宋"/>
                <w:szCs w:val="21"/>
              </w:rPr>
            </w:pPr>
            <w:r>
              <w:rPr>
                <w:rFonts w:hint="eastAsia" w:ascii="仿宋" w:hAnsi="仿宋" w:eastAsia="仿宋" w:cs="仿宋"/>
                <w:szCs w:val="21"/>
              </w:rPr>
              <w:t>业绩要求：见附录3</w:t>
            </w:r>
          </w:p>
          <w:p>
            <w:pPr>
              <w:spacing w:line="300" w:lineRule="exact"/>
              <w:jc w:val="left"/>
              <w:rPr>
                <w:rFonts w:ascii="仿宋" w:hAnsi="仿宋" w:eastAsia="仿宋" w:cs="仿宋"/>
                <w:szCs w:val="21"/>
              </w:rPr>
            </w:pPr>
            <w:r>
              <w:rPr>
                <w:rFonts w:hint="eastAsia" w:ascii="仿宋" w:hAnsi="仿宋" w:eastAsia="仿宋" w:cs="仿宋"/>
                <w:szCs w:val="21"/>
              </w:rPr>
              <w:t>信誉要求：见附录4</w:t>
            </w:r>
          </w:p>
          <w:p>
            <w:pPr>
              <w:spacing w:line="300" w:lineRule="exact"/>
              <w:jc w:val="left"/>
              <w:rPr>
                <w:rFonts w:ascii="仿宋" w:hAnsi="仿宋" w:eastAsia="仿宋" w:cs="仿宋"/>
                <w:szCs w:val="21"/>
              </w:rPr>
            </w:pPr>
            <w:r>
              <w:rPr>
                <w:rFonts w:hint="eastAsia" w:ascii="仿宋" w:hAnsi="仿宋" w:eastAsia="仿宋" w:cs="仿宋"/>
                <w:szCs w:val="21"/>
              </w:rPr>
              <w:t>项目经理、项目总工、安全生产负责人资格：见附录5</w:t>
            </w:r>
          </w:p>
          <w:p>
            <w:pPr>
              <w:spacing w:line="300" w:lineRule="exact"/>
              <w:jc w:val="left"/>
              <w:rPr>
                <w:rFonts w:ascii="仿宋" w:hAnsi="仿宋" w:eastAsia="仿宋" w:cs="仿宋"/>
                <w:szCs w:val="21"/>
              </w:rPr>
            </w:pPr>
            <w:r>
              <w:rPr>
                <w:rFonts w:hint="eastAsia" w:ascii="仿宋" w:hAnsi="仿宋" w:eastAsia="仿宋" w:cs="仿宋"/>
                <w:szCs w:val="21"/>
              </w:rPr>
              <w:t>其他要求：无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9" w:hRule="atLeast"/>
          <w:jc w:val="center"/>
        </w:trPr>
        <w:tc>
          <w:tcPr>
            <w:tcW w:w="1158" w:type="dxa"/>
            <w:gridSpan w:val="3"/>
            <w:vAlign w:val="center"/>
          </w:tcPr>
          <w:p>
            <w:pPr>
              <w:spacing w:line="240" w:lineRule="exact"/>
              <w:jc w:val="center"/>
              <w:rPr>
                <w:rFonts w:ascii="仿宋" w:hAnsi="仿宋" w:eastAsia="仿宋" w:cs="仿宋"/>
                <w:szCs w:val="21"/>
              </w:rPr>
            </w:pPr>
            <w:r>
              <w:rPr>
                <w:rFonts w:hint="eastAsia" w:ascii="仿宋" w:hAnsi="仿宋" w:eastAsia="仿宋" w:cs="仿宋"/>
                <w:szCs w:val="21"/>
              </w:rPr>
              <w:t>1.4.2</w:t>
            </w:r>
          </w:p>
        </w:tc>
        <w:tc>
          <w:tcPr>
            <w:tcW w:w="1841" w:type="dxa"/>
            <w:vAlign w:val="center"/>
          </w:tcPr>
          <w:p>
            <w:pPr>
              <w:spacing w:line="240" w:lineRule="exact"/>
              <w:jc w:val="center"/>
              <w:rPr>
                <w:rFonts w:ascii="仿宋" w:hAnsi="仿宋" w:eastAsia="仿宋" w:cs="仿宋"/>
                <w:szCs w:val="21"/>
              </w:rPr>
            </w:pPr>
            <w:r>
              <w:rPr>
                <w:rFonts w:hint="eastAsia" w:ascii="仿宋" w:hAnsi="仿宋" w:eastAsia="仿宋" w:cs="仿宋"/>
                <w:szCs w:val="21"/>
              </w:rPr>
              <w:t>是否接受联合体投标</w:t>
            </w:r>
          </w:p>
        </w:tc>
        <w:tc>
          <w:tcPr>
            <w:tcW w:w="6733" w:type="dxa"/>
            <w:gridSpan w:val="3"/>
            <w:vAlign w:val="center"/>
          </w:tcPr>
          <w:p>
            <w:pPr>
              <w:spacing w:line="300" w:lineRule="exact"/>
              <w:jc w:val="left"/>
              <w:rPr>
                <w:rFonts w:ascii="仿宋" w:hAnsi="仿宋" w:eastAsia="仿宋" w:cs="仿宋"/>
                <w:szCs w:val="21"/>
              </w:rPr>
            </w:pPr>
            <w:r>
              <w:rPr>
                <w:rFonts w:hint="eastAsia" w:ascii="仿宋" w:hAnsi="仿宋" w:eastAsia="仿宋" w:cs="仿宋"/>
                <w:szCs w:val="21"/>
              </w:rPr>
              <w:t>不接受；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4" w:hRule="atLeast"/>
          <w:jc w:val="center"/>
        </w:trPr>
        <w:tc>
          <w:tcPr>
            <w:tcW w:w="1158" w:type="dxa"/>
            <w:gridSpan w:val="3"/>
            <w:vAlign w:val="center"/>
          </w:tcPr>
          <w:p>
            <w:pPr>
              <w:spacing w:line="240" w:lineRule="exact"/>
              <w:jc w:val="center"/>
              <w:rPr>
                <w:rFonts w:ascii="仿宋" w:hAnsi="仿宋" w:eastAsia="仿宋" w:cs="仿宋"/>
                <w:szCs w:val="21"/>
              </w:rPr>
            </w:pPr>
            <w:r>
              <w:rPr>
                <w:rFonts w:hint="eastAsia" w:ascii="仿宋" w:hAnsi="仿宋" w:eastAsia="仿宋" w:cs="仿宋"/>
                <w:szCs w:val="21"/>
              </w:rPr>
              <w:t>1.9.1</w:t>
            </w:r>
          </w:p>
        </w:tc>
        <w:tc>
          <w:tcPr>
            <w:tcW w:w="1841" w:type="dxa"/>
            <w:vAlign w:val="center"/>
          </w:tcPr>
          <w:p>
            <w:pPr>
              <w:spacing w:line="240" w:lineRule="exact"/>
              <w:jc w:val="center"/>
              <w:rPr>
                <w:rFonts w:ascii="仿宋" w:hAnsi="仿宋" w:eastAsia="仿宋" w:cs="仿宋"/>
                <w:szCs w:val="21"/>
              </w:rPr>
            </w:pPr>
            <w:r>
              <w:rPr>
                <w:rFonts w:hint="eastAsia" w:ascii="仿宋" w:hAnsi="仿宋" w:eastAsia="仿宋" w:cs="仿宋"/>
                <w:szCs w:val="21"/>
              </w:rPr>
              <w:t>踏勘现场</w:t>
            </w:r>
          </w:p>
        </w:tc>
        <w:tc>
          <w:tcPr>
            <w:tcW w:w="6733" w:type="dxa"/>
            <w:gridSpan w:val="3"/>
            <w:vAlign w:val="center"/>
          </w:tcPr>
          <w:p>
            <w:pPr>
              <w:spacing w:line="300" w:lineRule="exact"/>
              <w:jc w:val="left"/>
              <w:rPr>
                <w:rFonts w:ascii="仿宋" w:hAnsi="仿宋" w:eastAsia="仿宋" w:cs="仿宋"/>
                <w:szCs w:val="21"/>
              </w:rPr>
            </w:pPr>
            <w:r>
              <w:rPr>
                <w:rFonts w:hint="eastAsia" w:ascii="仿宋" w:hAnsi="仿宋" w:eastAsia="仿宋" w:cs="仿宋"/>
                <w:szCs w:val="21"/>
              </w:rPr>
              <w:t>不组织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4" w:hRule="atLeast"/>
          <w:jc w:val="center"/>
        </w:trPr>
        <w:tc>
          <w:tcPr>
            <w:tcW w:w="1158" w:type="dxa"/>
            <w:gridSpan w:val="3"/>
            <w:vAlign w:val="center"/>
          </w:tcPr>
          <w:p>
            <w:pPr>
              <w:spacing w:line="240" w:lineRule="exact"/>
              <w:jc w:val="center"/>
              <w:rPr>
                <w:rFonts w:ascii="仿宋" w:hAnsi="仿宋" w:eastAsia="仿宋" w:cs="仿宋"/>
                <w:szCs w:val="21"/>
              </w:rPr>
            </w:pPr>
            <w:r>
              <w:rPr>
                <w:rFonts w:hint="eastAsia" w:ascii="仿宋" w:hAnsi="仿宋" w:eastAsia="仿宋" w:cs="仿宋"/>
                <w:szCs w:val="21"/>
              </w:rPr>
              <w:t>1.10.1</w:t>
            </w:r>
          </w:p>
        </w:tc>
        <w:tc>
          <w:tcPr>
            <w:tcW w:w="1841" w:type="dxa"/>
            <w:vAlign w:val="center"/>
          </w:tcPr>
          <w:p>
            <w:pPr>
              <w:spacing w:line="240" w:lineRule="exact"/>
              <w:jc w:val="center"/>
              <w:rPr>
                <w:rFonts w:ascii="仿宋" w:hAnsi="仿宋" w:eastAsia="仿宋" w:cs="仿宋"/>
                <w:szCs w:val="21"/>
              </w:rPr>
            </w:pPr>
            <w:r>
              <w:rPr>
                <w:rFonts w:hint="eastAsia" w:ascii="仿宋" w:hAnsi="仿宋" w:eastAsia="仿宋" w:cs="仿宋"/>
                <w:szCs w:val="21"/>
              </w:rPr>
              <w:t>投标预备会</w:t>
            </w:r>
          </w:p>
        </w:tc>
        <w:tc>
          <w:tcPr>
            <w:tcW w:w="6733" w:type="dxa"/>
            <w:gridSpan w:val="3"/>
            <w:vAlign w:val="center"/>
          </w:tcPr>
          <w:p>
            <w:pPr>
              <w:spacing w:line="300" w:lineRule="exact"/>
              <w:jc w:val="left"/>
              <w:rPr>
                <w:rFonts w:ascii="仿宋" w:hAnsi="仿宋" w:eastAsia="仿宋" w:cs="仿宋"/>
                <w:szCs w:val="21"/>
              </w:rPr>
            </w:pPr>
            <w:r>
              <w:rPr>
                <w:rFonts w:hint="eastAsia" w:ascii="仿宋" w:hAnsi="仿宋" w:eastAsia="仿宋" w:cs="仿宋"/>
                <w:szCs w:val="21"/>
              </w:rPr>
              <w:t>不召开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2" w:hRule="atLeast"/>
          <w:jc w:val="center"/>
        </w:trPr>
        <w:tc>
          <w:tcPr>
            <w:tcW w:w="1158" w:type="dxa"/>
            <w:gridSpan w:val="3"/>
          </w:tcPr>
          <w:p>
            <w:pPr>
              <w:spacing w:before="9" w:line="240" w:lineRule="exact"/>
              <w:jc w:val="center"/>
              <w:rPr>
                <w:rFonts w:ascii="仿宋" w:hAnsi="仿宋" w:eastAsia="仿宋" w:cs="仿宋"/>
                <w:szCs w:val="21"/>
              </w:rPr>
            </w:pPr>
          </w:p>
          <w:p>
            <w:pPr>
              <w:spacing w:line="240" w:lineRule="exact"/>
              <w:ind w:right="233"/>
              <w:jc w:val="center"/>
              <w:rPr>
                <w:rFonts w:ascii="仿宋" w:hAnsi="仿宋" w:eastAsia="仿宋" w:cs="仿宋"/>
                <w:szCs w:val="21"/>
              </w:rPr>
            </w:pPr>
            <w:r>
              <w:rPr>
                <w:rFonts w:hint="eastAsia" w:ascii="仿宋" w:hAnsi="仿宋" w:eastAsia="仿宋" w:cs="仿宋"/>
                <w:szCs w:val="21"/>
              </w:rPr>
              <w:t>1.10.2</w:t>
            </w:r>
          </w:p>
        </w:tc>
        <w:tc>
          <w:tcPr>
            <w:tcW w:w="1841" w:type="dxa"/>
          </w:tcPr>
          <w:p>
            <w:pPr>
              <w:spacing w:line="240" w:lineRule="exact"/>
              <w:ind w:left="4"/>
              <w:jc w:val="center"/>
              <w:rPr>
                <w:rFonts w:ascii="仿宋" w:hAnsi="仿宋" w:eastAsia="仿宋" w:cs="仿宋"/>
                <w:szCs w:val="21"/>
              </w:rPr>
            </w:pPr>
            <w:r>
              <w:rPr>
                <w:rFonts w:hint="eastAsia" w:ascii="仿宋" w:hAnsi="仿宋" w:eastAsia="仿宋" w:cs="仿宋"/>
                <w:szCs w:val="21"/>
              </w:rPr>
              <w:t>投标人提出问题的截止时间</w:t>
            </w:r>
          </w:p>
        </w:tc>
        <w:tc>
          <w:tcPr>
            <w:tcW w:w="6733" w:type="dxa"/>
            <w:gridSpan w:val="3"/>
          </w:tcPr>
          <w:p>
            <w:pPr>
              <w:spacing w:before="2" w:line="240" w:lineRule="exact"/>
              <w:jc w:val="left"/>
              <w:rPr>
                <w:rFonts w:ascii="仿宋" w:hAnsi="仿宋" w:eastAsia="仿宋" w:cs="仿宋"/>
                <w:szCs w:val="21"/>
              </w:rPr>
            </w:pPr>
          </w:p>
          <w:p>
            <w:pPr>
              <w:spacing w:line="240" w:lineRule="exact"/>
              <w:jc w:val="left"/>
              <w:rPr>
                <w:rFonts w:ascii="仿宋" w:hAnsi="仿宋" w:eastAsia="仿宋" w:cs="仿宋"/>
                <w:szCs w:val="21"/>
              </w:rPr>
            </w:pPr>
            <w:r>
              <w:rPr>
                <w:rFonts w:hint="eastAsia" w:ascii="仿宋" w:hAnsi="仿宋" w:eastAsia="仿宋" w:cs="仿宋"/>
                <w:szCs w:val="21"/>
              </w:rPr>
              <w:t>见招标公告（以收到日期为准）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2" w:hRule="atLeast"/>
          <w:jc w:val="center"/>
        </w:trPr>
        <w:tc>
          <w:tcPr>
            <w:tcW w:w="1158" w:type="dxa"/>
            <w:gridSpan w:val="3"/>
          </w:tcPr>
          <w:p>
            <w:pPr>
              <w:spacing w:before="1" w:line="240" w:lineRule="exact"/>
              <w:jc w:val="center"/>
              <w:rPr>
                <w:rFonts w:ascii="仿宋" w:hAnsi="仿宋" w:eastAsia="仿宋" w:cs="仿宋"/>
                <w:szCs w:val="21"/>
              </w:rPr>
            </w:pPr>
          </w:p>
          <w:p>
            <w:pPr>
              <w:spacing w:line="240" w:lineRule="exact"/>
              <w:ind w:right="233"/>
              <w:jc w:val="center"/>
              <w:rPr>
                <w:rFonts w:ascii="仿宋" w:hAnsi="仿宋" w:eastAsia="仿宋" w:cs="仿宋"/>
                <w:szCs w:val="21"/>
              </w:rPr>
            </w:pPr>
            <w:r>
              <w:rPr>
                <w:rFonts w:hint="eastAsia" w:ascii="仿宋" w:hAnsi="仿宋" w:eastAsia="仿宋" w:cs="仿宋"/>
                <w:szCs w:val="21"/>
              </w:rPr>
              <w:t>1.10.3</w:t>
            </w:r>
          </w:p>
        </w:tc>
        <w:tc>
          <w:tcPr>
            <w:tcW w:w="1841" w:type="dxa"/>
            <w:vAlign w:val="center"/>
          </w:tcPr>
          <w:p>
            <w:pPr>
              <w:spacing w:line="240" w:lineRule="exact"/>
              <w:ind w:left="4"/>
              <w:jc w:val="center"/>
              <w:rPr>
                <w:rFonts w:ascii="仿宋" w:hAnsi="仿宋" w:eastAsia="仿宋" w:cs="仿宋"/>
                <w:szCs w:val="21"/>
              </w:rPr>
            </w:pPr>
            <w:r>
              <w:rPr>
                <w:rFonts w:hint="eastAsia" w:ascii="仿宋" w:hAnsi="仿宋" w:eastAsia="仿宋" w:cs="仿宋"/>
                <w:szCs w:val="21"/>
              </w:rPr>
              <w:t>招标人书面澄清的时间</w:t>
            </w:r>
          </w:p>
        </w:tc>
        <w:tc>
          <w:tcPr>
            <w:tcW w:w="6733" w:type="dxa"/>
            <w:gridSpan w:val="3"/>
          </w:tcPr>
          <w:p>
            <w:pPr>
              <w:spacing w:before="1" w:line="240" w:lineRule="exact"/>
              <w:jc w:val="left"/>
              <w:rPr>
                <w:rFonts w:ascii="仿宋" w:hAnsi="仿宋" w:eastAsia="仿宋" w:cs="仿宋"/>
                <w:szCs w:val="21"/>
              </w:rPr>
            </w:pPr>
          </w:p>
          <w:p>
            <w:pPr>
              <w:spacing w:line="240" w:lineRule="exact"/>
              <w:jc w:val="left"/>
              <w:rPr>
                <w:rFonts w:ascii="仿宋" w:hAnsi="仿宋" w:eastAsia="仿宋" w:cs="仿宋"/>
                <w:szCs w:val="21"/>
              </w:rPr>
            </w:pPr>
            <w:r>
              <w:rPr>
                <w:rFonts w:hint="eastAsia" w:ascii="仿宋" w:hAnsi="仿宋" w:eastAsia="仿宋" w:cs="仿宋"/>
                <w:szCs w:val="21"/>
              </w:rPr>
              <w:t>见招标公告（以收到日期为准）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2" w:hRule="atLeast"/>
          <w:jc w:val="center"/>
        </w:trPr>
        <w:tc>
          <w:tcPr>
            <w:tcW w:w="1158" w:type="dxa"/>
            <w:gridSpan w:val="3"/>
            <w:vAlign w:val="center"/>
          </w:tcPr>
          <w:p>
            <w:pPr>
              <w:jc w:val="center"/>
              <w:rPr>
                <w:rFonts w:ascii="仿宋" w:hAnsi="仿宋" w:eastAsia="仿宋" w:cs="仿宋"/>
                <w:szCs w:val="21"/>
              </w:rPr>
            </w:pPr>
            <w:r>
              <w:rPr>
                <w:rFonts w:hint="eastAsia" w:ascii="仿宋" w:hAnsi="仿宋" w:eastAsia="仿宋" w:cs="仿宋"/>
                <w:szCs w:val="21"/>
              </w:rPr>
              <w:t>1.11</w:t>
            </w:r>
          </w:p>
        </w:tc>
        <w:tc>
          <w:tcPr>
            <w:tcW w:w="1841" w:type="dxa"/>
            <w:vAlign w:val="center"/>
          </w:tcPr>
          <w:p>
            <w:pPr>
              <w:jc w:val="center"/>
              <w:rPr>
                <w:rFonts w:ascii="仿宋" w:hAnsi="仿宋" w:eastAsia="仿宋" w:cs="仿宋"/>
                <w:szCs w:val="21"/>
              </w:rPr>
            </w:pPr>
            <w:r>
              <w:rPr>
                <w:rFonts w:hint="eastAsia" w:ascii="仿宋" w:hAnsi="仿宋" w:eastAsia="仿宋" w:cs="仿宋"/>
                <w:szCs w:val="21"/>
              </w:rPr>
              <w:t>分  包</w:t>
            </w:r>
          </w:p>
        </w:tc>
        <w:tc>
          <w:tcPr>
            <w:tcW w:w="6733" w:type="dxa"/>
            <w:gridSpan w:val="3"/>
            <w:vAlign w:val="center"/>
          </w:tcPr>
          <w:p>
            <w:pPr>
              <w:rPr>
                <w:rFonts w:ascii="仿宋" w:hAnsi="仿宋" w:eastAsia="仿宋" w:cs="仿宋"/>
                <w:szCs w:val="21"/>
              </w:rPr>
            </w:pPr>
            <w:r>
              <w:rPr>
                <w:rFonts w:hint="eastAsia" w:ascii="仿宋" w:hAnsi="仿宋" w:eastAsia="仿宋" w:cs="仿宋"/>
                <w:b/>
                <w:bCs/>
                <w:szCs w:val="21"/>
                <w:highlight w:val="yellow"/>
              </w:rPr>
              <w:t>允许附属工程进行专业分包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1158" w:type="dxa"/>
            <w:gridSpan w:val="3"/>
            <w:vAlign w:val="center"/>
          </w:tcPr>
          <w:p>
            <w:pPr>
              <w:jc w:val="center"/>
              <w:rPr>
                <w:szCs w:val="21"/>
              </w:rPr>
            </w:pPr>
            <w:r>
              <w:rPr>
                <w:rFonts w:hint="eastAsia" w:ascii="黑体" w:eastAsia="黑体"/>
                <w:szCs w:val="21"/>
              </w:rPr>
              <w:t>条款号</w:t>
            </w:r>
          </w:p>
        </w:tc>
        <w:tc>
          <w:tcPr>
            <w:tcW w:w="1841" w:type="dxa"/>
            <w:vAlign w:val="center"/>
          </w:tcPr>
          <w:p>
            <w:pPr>
              <w:jc w:val="center"/>
              <w:rPr>
                <w:szCs w:val="21"/>
              </w:rPr>
            </w:pPr>
            <w:r>
              <w:rPr>
                <w:rFonts w:hint="eastAsia" w:ascii="黑体" w:eastAsia="黑体"/>
                <w:szCs w:val="21"/>
              </w:rPr>
              <w:t>条款名称</w:t>
            </w:r>
          </w:p>
        </w:tc>
        <w:tc>
          <w:tcPr>
            <w:tcW w:w="6733" w:type="dxa"/>
            <w:gridSpan w:val="3"/>
            <w:vAlign w:val="center"/>
          </w:tcPr>
          <w:p>
            <w:pPr>
              <w:spacing w:line="300" w:lineRule="exact"/>
              <w:jc w:val="center"/>
              <w:rPr>
                <w:szCs w:val="21"/>
              </w:rPr>
            </w:pPr>
            <w:r>
              <w:rPr>
                <w:rFonts w:hint="eastAsia" w:ascii="黑体" w:eastAsia="黑体"/>
                <w:szCs w:val="21"/>
              </w:rPr>
              <w:t>编列内容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7" w:hRule="atLeast"/>
          <w:jc w:val="center"/>
        </w:trPr>
        <w:tc>
          <w:tcPr>
            <w:tcW w:w="1158" w:type="dxa"/>
            <w:gridSpan w:val="3"/>
            <w:vAlign w:val="center"/>
          </w:tcPr>
          <w:p>
            <w:pPr>
              <w:jc w:val="center"/>
              <w:rPr>
                <w:rFonts w:ascii="仿宋" w:hAnsi="仿宋" w:eastAsia="仿宋" w:cs="仿宋"/>
                <w:szCs w:val="21"/>
              </w:rPr>
            </w:pPr>
            <w:r>
              <w:rPr>
                <w:rFonts w:hint="eastAsia" w:ascii="仿宋" w:hAnsi="仿宋" w:eastAsia="仿宋" w:cs="仿宋"/>
                <w:szCs w:val="21"/>
              </w:rPr>
              <w:t>1.12</w:t>
            </w:r>
          </w:p>
        </w:tc>
        <w:tc>
          <w:tcPr>
            <w:tcW w:w="1841" w:type="dxa"/>
            <w:vAlign w:val="center"/>
          </w:tcPr>
          <w:p>
            <w:pPr>
              <w:jc w:val="center"/>
              <w:rPr>
                <w:rFonts w:ascii="仿宋" w:hAnsi="仿宋" w:eastAsia="仿宋" w:cs="仿宋"/>
                <w:szCs w:val="21"/>
              </w:rPr>
            </w:pPr>
            <w:r>
              <w:rPr>
                <w:rFonts w:hint="eastAsia" w:ascii="仿宋" w:hAnsi="仿宋" w:eastAsia="仿宋" w:cs="仿宋"/>
                <w:szCs w:val="21"/>
              </w:rPr>
              <w:t>偏  离</w:t>
            </w:r>
          </w:p>
        </w:tc>
        <w:tc>
          <w:tcPr>
            <w:tcW w:w="6733" w:type="dxa"/>
            <w:gridSpan w:val="3"/>
            <w:vAlign w:val="center"/>
          </w:tcPr>
          <w:p>
            <w:pPr>
              <w:jc w:val="left"/>
              <w:rPr>
                <w:rFonts w:ascii="仿宋" w:hAnsi="仿宋" w:eastAsia="仿宋" w:cs="仿宋"/>
                <w:szCs w:val="21"/>
              </w:rPr>
            </w:pPr>
            <w:r>
              <w:rPr>
                <w:rFonts w:hint="eastAsia" w:ascii="仿宋" w:hAnsi="仿宋" w:eastAsia="仿宋" w:cs="仿宋"/>
                <w:szCs w:val="21"/>
                <w:highlight w:val="yellow"/>
              </w:rPr>
              <w:t>允许细微偏差，不允许重大偏差。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5" w:hRule="atLeast"/>
          <w:jc w:val="center"/>
        </w:trPr>
        <w:tc>
          <w:tcPr>
            <w:tcW w:w="1158" w:type="dxa"/>
            <w:gridSpan w:val="3"/>
            <w:vAlign w:val="center"/>
          </w:tcPr>
          <w:p>
            <w:pPr>
              <w:jc w:val="center"/>
              <w:rPr>
                <w:rFonts w:ascii="仿宋" w:hAnsi="仿宋" w:eastAsia="仿宋" w:cs="仿宋"/>
                <w:szCs w:val="21"/>
              </w:rPr>
            </w:pPr>
            <w:r>
              <w:rPr>
                <w:rFonts w:hint="eastAsia" w:ascii="仿宋" w:hAnsi="仿宋" w:eastAsia="仿宋" w:cs="仿宋"/>
                <w:szCs w:val="21"/>
              </w:rPr>
              <w:t>2.1</w:t>
            </w:r>
          </w:p>
        </w:tc>
        <w:tc>
          <w:tcPr>
            <w:tcW w:w="1841" w:type="dxa"/>
            <w:vAlign w:val="center"/>
          </w:tcPr>
          <w:p>
            <w:pPr>
              <w:jc w:val="center"/>
              <w:rPr>
                <w:rFonts w:ascii="仿宋" w:hAnsi="仿宋" w:eastAsia="仿宋" w:cs="仿宋"/>
                <w:szCs w:val="21"/>
              </w:rPr>
            </w:pPr>
            <w:r>
              <w:rPr>
                <w:rFonts w:hint="eastAsia" w:ascii="仿宋" w:hAnsi="仿宋" w:eastAsia="仿宋" w:cs="仿宋"/>
                <w:szCs w:val="21"/>
              </w:rPr>
              <w:t>构成招标文件的其它材料</w:t>
            </w:r>
          </w:p>
        </w:tc>
        <w:tc>
          <w:tcPr>
            <w:tcW w:w="6733" w:type="dxa"/>
            <w:gridSpan w:val="3"/>
            <w:vAlign w:val="center"/>
          </w:tcPr>
          <w:p>
            <w:pPr>
              <w:rPr>
                <w:rFonts w:ascii="仿宋" w:hAnsi="仿宋" w:eastAsia="仿宋" w:cs="仿宋"/>
                <w:szCs w:val="21"/>
              </w:rPr>
            </w:pPr>
            <w:r>
              <w:rPr>
                <w:rFonts w:hint="eastAsia" w:ascii="仿宋" w:hAnsi="仿宋" w:eastAsia="仿宋" w:cs="仿宋"/>
              </w:rPr>
              <w:t>招标人按规定报备后的标有编号的补遗书（如有）。补遗书在杭州公共资源交易网（</w:t>
            </w:r>
            <w:r>
              <w:fldChar w:fldCharType="begin"/>
            </w:r>
            <w:r>
              <w:instrText xml:space="preserve"> HYPERLINK "http://ggzy.hzctc.hangzhou.gov.cn" </w:instrText>
            </w:r>
            <w:r>
              <w:fldChar w:fldCharType="separate"/>
            </w:r>
            <w:r>
              <w:rPr>
                <w:rFonts w:hint="eastAsia" w:ascii="仿宋" w:hAnsi="仿宋" w:eastAsia="仿宋" w:cs="仿宋"/>
              </w:rPr>
              <w:t>http://ggzy.hzctc.hangzhou.gov.cn</w:t>
            </w:r>
            <w:r>
              <w:rPr>
                <w:rFonts w:hint="eastAsia" w:ascii="仿宋" w:hAnsi="仿宋" w:eastAsia="仿宋" w:cs="仿宋"/>
              </w:rPr>
              <w:fldChar w:fldCharType="end"/>
            </w:r>
            <w:r>
              <w:rPr>
                <w:rFonts w:hint="eastAsia" w:ascii="仿宋" w:hAnsi="仿宋" w:eastAsia="仿宋" w:cs="仿宋"/>
              </w:rPr>
              <w:t>）和杭州交通信息网（</w:t>
            </w:r>
            <w:r>
              <w:rPr>
                <w:rFonts w:ascii="仿宋" w:hAnsi="仿宋" w:eastAsia="仿宋" w:cs="仿宋"/>
              </w:rPr>
              <w:t>http://tb.hangzhou.gov.cn</w:t>
            </w:r>
            <w:r>
              <w:rPr>
                <w:rFonts w:hint="eastAsia" w:ascii="仿宋" w:hAnsi="仿宋" w:eastAsia="仿宋" w:cs="仿宋"/>
              </w:rPr>
              <w:t>）同步发布，各投标人应当关注网站更新情况，招标人不再一一通知。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9" w:hRule="atLeast"/>
          <w:jc w:val="center"/>
        </w:trPr>
        <w:tc>
          <w:tcPr>
            <w:tcW w:w="1158" w:type="dxa"/>
            <w:gridSpan w:val="3"/>
            <w:vAlign w:val="center"/>
          </w:tcPr>
          <w:p>
            <w:pPr>
              <w:jc w:val="center"/>
              <w:rPr>
                <w:rFonts w:ascii="仿宋" w:hAnsi="仿宋" w:eastAsia="仿宋" w:cs="仿宋"/>
                <w:szCs w:val="21"/>
              </w:rPr>
            </w:pPr>
            <w:r>
              <w:rPr>
                <w:rFonts w:hint="eastAsia" w:ascii="仿宋" w:hAnsi="仿宋" w:eastAsia="仿宋" w:cs="仿宋"/>
                <w:szCs w:val="21"/>
              </w:rPr>
              <w:t>2.2.1</w:t>
            </w:r>
          </w:p>
        </w:tc>
        <w:tc>
          <w:tcPr>
            <w:tcW w:w="1841" w:type="dxa"/>
            <w:vAlign w:val="center"/>
          </w:tcPr>
          <w:p>
            <w:pPr>
              <w:jc w:val="center"/>
              <w:rPr>
                <w:rFonts w:ascii="仿宋" w:hAnsi="仿宋" w:eastAsia="仿宋" w:cs="仿宋"/>
                <w:szCs w:val="21"/>
              </w:rPr>
            </w:pPr>
            <w:r>
              <w:rPr>
                <w:rFonts w:hint="eastAsia" w:ascii="仿宋" w:hAnsi="仿宋" w:eastAsia="仿宋" w:cs="仿宋"/>
                <w:szCs w:val="21"/>
              </w:rPr>
              <w:t>投标人要求澄清招标文件的截止时间</w:t>
            </w:r>
          </w:p>
        </w:tc>
        <w:tc>
          <w:tcPr>
            <w:tcW w:w="6733" w:type="dxa"/>
            <w:gridSpan w:val="3"/>
            <w:vAlign w:val="center"/>
          </w:tcPr>
          <w:p>
            <w:pPr>
              <w:rPr>
                <w:rFonts w:ascii="仿宋" w:hAnsi="仿宋" w:eastAsia="仿宋" w:cs="仿宋"/>
                <w:szCs w:val="21"/>
              </w:rPr>
            </w:pPr>
            <w:r>
              <w:rPr>
                <w:rFonts w:hint="eastAsia" w:ascii="仿宋" w:hAnsi="仿宋" w:eastAsia="仿宋" w:cs="仿宋"/>
              </w:rPr>
              <w:t>见招标公告（以收到日期为准）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4" w:hRule="atLeast"/>
          <w:jc w:val="center"/>
        </w:trPr>
        <w:tc>
          <w:tcPr>
            <w:tcW w:w="1158" w:type="dxa"/>
            <w:gridSpan w:val="3"/>
            <w:vAlign w:val="center"/>
          </w:tcPr>
          <w:p>
            <w:pPr>
              <w:jc w:val="center"/>
              <w:rPr>
                <w:rFonts w:ascii="仿宋" w:hAnsi="仿宋" w:eastAsia="仿宋" w:cs="仿宋"/>
                <w:szCs w:val="21"/>
              </w:rPr>
            </w:pPr>
            <w:r>
              <w:rPr>
                <w:rFonts w:hint="eastAsia" w:ascii="仿宋" w:hAnsi="仿宋" w:eastAsia="仿宋" w:cs="仿宋"/>
                <w:szCs w:val="21"/>
              </w:rPr>
              <w:t>2.2.2</w:t>
            </w:r>
          </w:p>
        </w:tc>
        <w:tc>
          <w:tcPr>
            <w:tcW w:w="1841" w:type="dxa"/>
            <w:vAlign w:val="center"/>
          </w:tcPr>
          <w:p>
            <w:pPr>
              <w:jc w:val="center"/>
              <w:rPr>
                <w:rFonts w:ascii="仿宋" w:hAnsi="仿宋" w:eastAsia="仿宋" w:cs="仿宋"/>
                <w:szCs w:val="21"/>
              </w:rPr>
            </w:pPr>
            <w:r>
              <w:rPr>
                <w:rFonts w:hint="eastAsia" w:ascii="仿宋" w:hAnsi="仿宋" w:eastAsia="仿宋" w:cs="仿宋"/>
                <w:szCs w:val="21"/>
              </w:rPr>
              <w:t>投标截止时间</w:t>
            </w:r>
          </w:p>
        </w:tc>
        <w:tc>
          <w:tcPr>
            <w:tcW w:w="6733" w:type="dxa"/>
            <w:gridSpan w:val="3"/>
            <w:vAlign w:val="center"/>
          </w:tcPr>
          <w:p>
            <w:pPr>
              <w:rPr>
                <w:rFonts w:ascii="仿宋" w:hAnsi="仿宋" w:eastAsia="仿宋" w:cs="仿宋"/>
                <w:szCs w:val="21"/>
              </w:rPr>
            </w:pPr>
            <w:r>
              <w:rPr>
                <w:rFonts w:hint="eastAsia" w:ascii="仿宋" w:hAnsi="仿宋" w:eastAsia="仿宋" w:cs="仿宋"/>
                <w:b/>
                <w:iCs/>
                <w:szCs w:val="21"/>
                <w:highlight w:val="yellow"/>
                <w:u w:val="single"/>
              </w:rPr>
              <w:t>2022年</w:t>
            </w:r>
            <w:r>
              <w:rPr>
                <w:rFonts w:hint="eastAsia" w:ascii="仿宋" w:hAnsi="仿宋" w:eastAsia="仿宋" w:cs="仿宋"/>
                <w:b/>
                <w:iCs/>
                <w:szCs w:val="21"/>
                <w:highlight w:val="yellow"/>
                <w:u w:val="single"/>
                <w:lang w:val="en-US" w:eastAsia="zh-CN"/>
              </w:rPr>
              <w:t>04</w:t>
            </w:r>
            <w:r>
              <w:rPr>
                <w:rFonts w:hint="eastAsia" w:ascii="仿宋" w:hAnsi="仿宋" w:eastAsia="仿宋" w:cs="仿宋"/>
                <w:b/>
                <w:iCs/>
                <w:szCs w:val="21"/>
                <w:highlight w:val="yellow"/>
                <w:u w:val="single"/>
              </w:rPr>
              <w:t>月</w:t>
            </w:r>
            <w:r>
              <w:rPr>
                <w:rFonts w:hint="eastAsia" w:ascii="仿宋" w:hAnsi="仿宋" w:eastAsia="仿宋" w:cs="仿宋"/>
                <w:b/>
                <w:iCs/>
                <w:szCs w:val="21"/>
                <w:highlight w:val="yellow"/>
                <w:u w:val="single"/>
                <w:lang w:val="en-US" w:eastAsia="zh-CN"/>
              </w:rPr>
              <w:t>22</w:t>
            </w:r>
            <w:r>
              <w:rPr>
                <w:rFonts w:hint="eastAsia" w:ascii="仿宋" w:hAnsi="仿宋" w:eastAsia="仿宋" w:cs="仿宋"/>
                <w:b/>
                <w:iCs/>
                <w:szCs w:val="21"/>
                <w:highlight w:val="yellow"/>
                <w:u w:val="single"/>
              </w:rPr>
              <w:t>日</w:t>
            </w:r>
            <w:r>
              <w:rPr>
                <w:rFonts w:hint="eastAsia" w:ascii="仿宋" w:hAnsi="仿宋" w:eastAsia="仿宋" w:cs="仿宋"/>
                <w:b/>
                <w:iCs/>
                <w:szCs w:val="21"/>
                <w:highlight w:val="yellow"/>
                <w:u w:val="single"/>
                <w:lang w:val="en-US" w:eastAsia="zh-CN"/>
              </w:rPr>
              <w:t>09</w:t>
            </w:r>
            <w:r>
              <w:rPr>
                <w:rFonts w:hint="eastAsia" w:ascii="仿宋" w:hAnsi="仿宋" w:eastAsia="仿宋" w:cs="仿宋"/>
                <w:b/>
                <w:iCs/>
                <w:szCs w:val="21"/>
                <w:highlight w:val="yellow"/>
                <w:u w:val="single"/>
              </w:rPr>
              <w:t>时</w:t>
            </w:r>
            <w:r>
              <w:rPr>
                <w:rFonts w:hint="eastAsia" w:ascii="仿宋" w:hAnsi="仿宋" w:eastAsia="仿宋" w:cs="仿宋"/>
                <w:b/>
                <w:iCs/>
                <w:szCs w:val="21"/>
                <w:highlight w:val="yellow"/>
                <w:u w:val="single"/>
                <w:lang w:val="en-US" w:eastAsia="zh-CN"/>
              </w:rPr>
              <w:t>00</w:t>
            </w:r>
            <w:r>
              <w:rPr>
                <w:rFonts w:hint="eastAsia" w:ascii="仿宋" w:hAnsi="仿宋" w:eastAsia="仿宋" w:cs="仿宋"/>
                <w:b/>
                <w:iCs/>
                <w:szCs w:val="21"/>
                <w:highlight w:val="yellow"/>
                <w:u w:val="single"/>
              </w:rPr>
              <w:t>分</w:t>
            </w:r>
            <w:bookmarkStart w:id="7692" w:name="_GoBack"/>
            <w:bookmarkEnd w:id="7692"/>
            <w:r>
              <w:rPr>
                <w:rFonts w:hint="eastAsia" w:ascii="仿宋" w:hAnsi="仿宋" w:eastAsia="仿宋" w:cs="仿宋"/>
                <w:b/>
                <w:iCs/>
                <w:szCs w:val="21"/>
                <w:highlight w:val="yellow"/>
                <w:u w:val="single"/>
              </w:rPr>
              <w:t>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9" w:hRule="atLeast"/>
          <w:jc w:val="center"/>
        </w:trPr>
        <w:tc>
          <w:tcPr>
            <w:tcW w:w="1158" w:type="dxa"/>
            <w:gridSpan w:val="3"/>
            <w:vAlign w:val="center"/>
          </w:tcPr>
          <w:p>
            <w:pPr>
              <w:jc w:val="center"/>
              <w:rPr>
                <w:rFonts w:ascii="仿宋" w:hAnsi="仿宋" w:eastAsia="仿宋" w:cs="仿宋"/>
                <w:szCs w:val="21"/>
              </w:rPr>
            </w:pPr>
            <w:r>
              <w:rPr>
                <w:rFonts w:hint="eastAsia" w:ascii="仿宋" w:hAnsi="仿宋" w:eastAsia="仿宋" w:cs="仿宋"/>
                <w:szCs w:val="21"/>
              </w:rPr>
              <w:t>2.2.3</w:t>
            </w:r>
          </w:p>
        </w:tc>
        <w:tc>
          <w:tcPr>
            <w:tcW w:w="1841" w:type="dxa"/>
            <w:vAlign w:val="center"/>
          </w:tcPr>
          <w:p>
            <w:pPr>
              <w:jc w:val="center"/>
              <w:rPr>
                <w:rFonts w:ascii="仿宋" w:hAnsi="仿宋" w:eastAsia="仿宋" w:cs="仿宋"/>
                <w:szCs w:val="21"/>
              </w:rPr>
            </w:pPr>
            <w:r>
              <w:rPr>
                <w:rFonts w:hint="eastAsia" w:ascii="仿宋" w:hAnsi="仿宋" w:eastAsia="仿宋" w:cs="仿宋"/>
                <w:szCs w:val="21"/>
              </w:rPr>
              <w:t>投标人确认收到招标文件澄清的时间</w:t>
            </w:r>
          </w:p>
        </w:tc>
        <w:tc>
          <w:tcPr>
            <w:tcW w:w="6733" w:type="dxa"/>
            <w:gridSpan w:val="3"/>
            <w:vAlign w:val="center"/>
          </w:tcPr>
          <w:p>
            <w:pPr>
              <w:rPr>
                <w:rFonts w:ascii="仿宋" w:hAnsi="仿宋" w:eastAsia="仿宋" w:cs="仿宋"/>
                <w:szCs w:val="21"/>
              </w:rPr>
            </w:pPr>
            <w:r>
              <w:rPr>
                <w:rFonts w:hint="eastAsia" w:ascii="仿宋" w:hAnsi="仿宋" w:eastAsia="仿宋" w:cs="仿宋"/>
              </w:rPr>
              <w:t>投标人在下载澄清资料后，无需向招标人确认收悉。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9" w:hRule="atLeast"/>
          <w:jc w:val="center"/>
        </w:trPr>
        <w:tc>
          <w:tcPr>
            <w:tcW w:w="1158" w:type="dxa"/>
            <w:gridSpan w:val="3"/>
            <w:vAlign w:val="center"/>
          </w:tcPr>
          <w:p>
            <w:pPr>
              <w:jc w:val="center"/>
              <w:rPr>
                <w:rFonts w:ascii="仿宋" w:hAnsi="仿宋" w:eastAsia="仿宋" w:cs="仿宋"/>
                <w:szCs w:val="21"/>
              </w:rPr>
            </w:pPr>
            <w:r>
              <w:rPr>
                <w:rFonts w:hint="eastAsia" w:ascii="仿宋" w:hAnsi="仿宋" w:eastAsia="仿宋" w:cs="仿宋"/>
                <w:szCs w:val="21"/>
              </w:rPr>
              <w:t>2.3.2</w:t>
            </w:r>
          </w:p>
        </w:tc>
        <w:tc>
          <w:tcPr>
            <w:tcW w:w="1841" w:type="dxa"/>
            <w:vAlign w:val="center"/>
          </w:tcPr>
          <w:p>
            <w:pPr>
              <w:jc w:val="center"/>
              <w:rPr>
                <w:rFonts w:ascii="仿宋" w:hAnsi="仿宋" w:eastAsia="仿宋" w:cs="仿宋"/>
                <w:szCs w:val="21"/>
              </w:rPr>
            </w:pPr>
            <w:r>
              <w:rPr>
                <w:rFonts w:hint="eastAsia" w:ascii="仿宋" w:hAnsi="仿宋" w:eastAsia="仿宋" w:cs="仿宋"/>
                <w:szCs w:val="21"/>
              </w:rPr>
              <w:t>投标人确认收到招标文件修改的时间</w:t>
            </w:r>
          </w:p>
        </w:tc>
        <w:tc>
          <w:tcPr>
            <w:tcW w:w="6733" w:type="dxa"/>
            <w:gridSpan w:val="3"/>
            <w:vAlign w:val="center"/>
          </w:tcPr>
          <w:p>
            <w:pPr>
              <w:jc w:val="left"/>
              <w:rPr>
                <w:rFonts w:ascii="仿宋" w:hAnsi="仿宋" w:eastAsia="仿宋" w:cs="仿宋"/>
                <w:szCs w:val="21"/>
              </w:rPr>
            </w:pPr>
            <w:r>
              <w:rPr>
                <w:rFonts w:hint="eastAsia" w:ascii="仿宋" w:hAnsi="仿宋" w:eastAsia="仿宋" w:cs="仿宋"/>
              </w:rPr>
              <w:t>投标人在下载修改资料后，无需向招标人确认收悉。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9" w:hRule="atLeast"/>
          <w:jc w:val="center"/>
        </w:trPr>
        <w:tc>
          <w:tcPr>
            <w:tcW w:w="1158" w:type="dxa"/>
            <w:gridSpan w:val="3"/>
            <w:vAlign w:val="center"/>
          </w:tcPr>
          <w:p>
            <w:pPr>
              <w:jc w:val="center"/>
              <w:rPr>
                <w:rFonts w:ascii="仿宋" w:hAnsi="仿宋" w:eastAsia="仿宋" w:cs="仿宋"/>
                <w:szCs w:val="21"/>
              </w:rPr>
            </w:pPr>
            <w:r>
              <w:rPr>
                <w:rFonts w:hint="eastAsia" w:ascii="仿宋" w:hAnsi="仿宋" w:eastAsia="仿宋" w:cs="仿宋"/>
                <w:szCs w:val="21"/>
              </w:rPr>
              <w:t>3.2.1</w:t>
            </w:r>
          </w:p>
        </w:tc>
        <w:tc>
          <w:tcPr>
            <w:tcW w:w="1841" w:type="dxa"/>
            <w:vAlign w:val="center"/>
          </w:tcPr>
          <w:p>
            <w:pPr>
              <w:jc w:val="center"/>
              <w:rPr>
                <w:rFonts w:ascii="仿宋" w:hAnsi="仿宋" w:eastAsia="仿宋" w:cs="仿宋"/>
                <w:szCs w:val="21"/>
              </w:rPr>
            </w:pPr>
            <w:r>
              <w:rPr>
                <w:rFonts w:hint="eastAsia" w:ascii="仿宋" w:hAnsi="仿宋" w:eastAsia="仿宋" w:cs="仿宋"/>
                <w:szCs w:val="21"/>
              </w:rPr>
              <w:t>工程量清单</w:t>
            </w:r>
          </w:p>
        </w:tc>
        <w:tc>
          <w:tcPr>
            <w:tcW w:w="6733" w:type="dxa"/>
            <w:gridSpan w:val="3"/>
            <w:vAlign w:val="center"/>
          </w:tcPr>
          <w:p>
            <w:pPr>
              <w:jc w:val="left"/>
              <w:rPr>
                <w:rFonts w:ascii="仿宋" w:hAnsi="仿宋" w:eastAsia="仿宋" w:cs="仿宋"/>
                <w:szCs w:val="21"/>
              </w:rPr>
            </w:pPr>
            <w:r>
              <w:rPr>
                <w:rFonts w:hint="eastAsia" w:ascii="仿宋" w:hAnsi="仿宋" w:eastAsia="仿宋" w:cs="仿宋"/>
                <w:szCs w:val="21"/>
              </w:rPr>
              <w:t>投标人按照招标人提供的书面工程量清单填写工程量清单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1158" w:type="dxa"/>
            <w:gridSpan w:val="3"/>
            <w:vAlign w:val="center"/>
          </w:tcPr>
          <w:p>
            <w:pPr>
              <w:jc w:val="center"/>
              <w:rPr>
                <w:rFonts w:ascii="仿宋" w:hAnsi="仿宋" w:eastAsia="仿宋" w:cs="仿宋"/>
                <w:szCs w:val="21"/>
              </w:rPr>
            </w:pPr>
            <w:r>
              <w:rPr>
                <w:rFonts w:hint="eastAsia" w:ascii="仿宋" w:hAnsi="仿宋" w:eastAsia="仿宋" w:cs="仿宋"/>
                <w:szCs w:val="21"/>
              </w:rPr>
              <w:t>3.2.5</w:t>
            </w:r>
          </w:p>
        </w:tc>
        <w:tc>
          <w:tcPr>
            <w:tcW w:w="1841" w:type="dxa"/>
            <w:vAlign w:val="center"/>
          </w:tcPr>
          <w:p>
            <w:pPr>
              <w:jc w:val="center"/>
              <w:rPr>
                <w:rFonts w:ascii="仿宋" w:hAnsi="仿宋" w:eastAsia="仿宋" w:cs="仿宋"/>
                <w:szCs w:val="21"/>
              </w:rPr>
            </w:pPr>
            <w:r>
              <w:rPr>
                <w:rFonts w:hint="eastAsia" w:ascii="仿宋" w:hAnsi="仿宋" w:eastAsia="仿宋" w:cs="仿宋"/>
                <w:szCs w:val="21"/>
              </w:rPr>
              <w:t>是否接受调价函</w:t>
            </w:r>
          </w:p>
        </w:tc>
        <w:tc>
          <w:tcPr>
            <w:tcW w:w="6733" w:type="dxa"/>
            <w:gridSpan w:val="3"/>
            <w:vAlign w:val="center"/>
          </w:tcPr>
          <w:p>
            <w:pPr>
              <w:jc w:val="left"/>
              <w:rPr>
                <w:rFonts w:ascii="仿宋" w:hAnsi="仿宋" w:eastAsia="仿宋" w:cs="仿宋"/>
                <w:szCs w:val="21"/>
              </w:rPr>
            </w:pPr>
            <w:r>
              <w:rPr>
                <w:rFonts w:hint="eastAsia" w:ascii="仿宋" w:hAnsi="仿宋" w:eastAsia="仿宋" w:cs="仿宋"/>
                <w:szCs w:val="21"/>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4" w:hRule="atLeast"/>
          <w:jc w:val="center"/>
        </w:trPr>
        <w:tc>
          <w:tcPr>
            <w:tcW w:w="1158" w:type="dxa"/>
            <w:gridSpan w:val="3"/>
            <w:vAlign w:val="center"/>
          </w:tcPr>
          <w:p>
            <w:pPr>
              <w:jc w:val="center"/>
              <w:rPr>
                <w:rFonts w:ascii="仿宋" w:hAnsi="仿宋" w:eastAsia="仿宋" w:cs="仿宋"/>
                <w:szCs w:val="21"/>
              </w:rPr>
            </w:pPr>
            <w:r>
              <w:rPr>
                <w:rFonts w:hint="eastAsia" w:ascii="仿宋" w:hAnsi="仿宋" w:eastAsia="仿宋" w:cs="仿宋"/>
                <w:szCs w:val="21"/>
              </w:rPr>
              <w:t>3.3.1</w:t>
            </w:r>
          </w:p>
        </w:tc>
        <w:tc>
          <w:tcPr>
            <w:tcW w:w="1841" w:type="dxa"/>
            <w:vAlign w:val="center"/>
          </w:tcPr>
          <w:p>
            <w:pPr>
              <w:jc w:val="center"/>
              <w:rPr>
                <w:rFonts w:ascii="仿宋" w:hAnsi="仿宋" w:eastAsia="仿宋" w:cs="仿宋"/>
                <w:szCs w:val="21"/>
              </w:rPr>
            </w:pPr>
            <w:r>
              <w:rPr>
                <w:rFonts w:hint="eastAsia" w:ascii="仿宋" w:hAnsi="仿宋" w:eastAsia="仿宋" w:cs="仿宋"/>
                <w:szCs w:val="21"/>
              </w:rPr>
              <w:t>投标有效期</w:t>
            </w:r>
          </w:p>
        </w:tc>
        <w:tc>
          <w:tcPr>
            <w:tcW w:w="6733" w:type="dxa"/>
            <w:gridSpan w:val="3"/>
            <w:vAlign w:val="center"/>
          </w:tcPr>
          <w:p>
            <w:pPr>
              <w:jc w:val="left"/>
              <w:rPr>
                <w:rFonts w:ascii="仿宋" w:hAnsi="仿宋" w:eastAsia="仿宋" w:cs="仿宋"/>
                <w:szCs w:val="21"/>
                <w:u w:val="single"/>
              </w:rPr>
            </w:pPr>
            <w:r>
              <w:rPr>
                <w:rFonts w:hint="eastAsia" w:ascii="仿宋" w:hAnsi="仿宋" w:eastAsia="仿宋" w:cs="仿宋"/>
                <w:szCs w:val="21"/>
              </w:rPr>
              <w:t>自投标人提交投标文件截止之日起计算</w:t>
            </w:r>
            <w:r>
              <w:rPr>
                <w:rFonts w:hint="eastAsia" w:ascii="仿宋" w:hAnsi="仿宋" w:eastAsia="仿宋" w:cs="仿宋"/>
                <w:szCs w:val="21"/>
                <w:u w:val="single"/>
              </w:rPr>
              <w:t xml:space="preserve"> 60 </w:t>
            </w:r>
            <w:r>
              <w:rPr>
                <w:rFonts w:hint="eastAsia" w:ascii="仿宋" w:hAnsi="仿宋" w:eastAsia="仿宋" w:cs="仿宋"/>
                <w:szCs w:val="21"/>
              </w:rPr>
              <w:t>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65" w:hRule="atLeast"/>
          <w:jc w:val="center"/>
        </w:trPr>
        <w:tc>
          <w:tcPr>
            <w:tcW w:w="1158" w:type="dxa"/>
            <w:gridSpan w:val="3"/>
            <w:vAlign w:val="center"/>
          </w:tcPr>
          <w:p>
            <w:pPr>
              <w:spacing w:line="240" w:lineRule="exact"/>
              <w:jc w:val="center"/>
              <w:rPr>
                <w:rFonts w:ascii="仿宋" w:hAnsi="仿宋" w:eastAsia="仿宋" w:cs="仿宋"/>
                <w:szCs w:val="21"/>
              </w:rPr>
            </w:pPr>
            <w:r>
              <w:rPr>
                <w:rFonts w:hint="eastAsia" w:ascii="仿宋" w:hAnsi="仿宋" w:eastAsia="仿宋" w:cs="仿宋"/>
                <w:szCs w:val="21"/>
              </w:rPr>
              <w:t>3.4.1</w:t>
            </w:r>
          </w:p>
        </w:tc>
        <w:tc>
          <w:tcPr>
            <w:tcW w:w="1841" w:type="dxa"/>
            <w:vAlign w:val="center"/>
          </w:tcPr>
          <w:p>
            <w:pPr>
              <w:spacing w:line="240" w:lineRule="exact"/>
              <w:jc w:val="center"/>
              <w:rPr>
                <w:rFonts w:ascii="仿宋" w:hAnsi="仿宋" w:eastAsia="仿宋" w:cs="仿宋"/>
                <w:szCs w:val="21"/>
              </w:rPr>
            </w:pPr>
            <w:r>
              <w:rPr>
                <w:rFonts w:hint="eastAsia" w:ascii="仿宋" w:hAnsi="仿宋" w:eastAsia="仿宋" w:cs="仿宋"/>
                <w:szCs w:val="21"/>
              </w:rPr>
              <w:t>投标保证金</w:t>
            </w:r>
          </w:p>
        </w:tc>
        <w:tc>
          <w:tcPr>
            <w:tcW w:w="6733" w:type="dxa"/>
            <w:gridSpan w:val="3"/>
            <w:vAlign w:val="center"/>
          </w:tcPr>
          <w:p>
            <w:pPr>
              <w:adjustRightInd w:val="0"/>
              <w:snapToGrid w:val="0"/>
              <w:spacing w:line="264" w:lineRule="auto"/>
              <w:rPr>
                <w:rFonts w:ascii="仿宋" w:hAnsi="仿宋" w:eastAsia="仿宋" w:cs="仿宋"/>
              </w:rPr>
            </w:pPr>
            <w:r>
              <w:rPr>
                <w:rFonts w:hint="eastAsia" w:ascii="仿宋" w:hAnsi="仿宋" w:eastAsia="仿宋" w:cs="仿宋"/>
              </w:rPr>
              <w:t>本项目投标保证金不做要求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955" w:type="dxa"/>
            <w:vAlign w:val="center"/>
          </w:tcPr>
          <w:p>
            <w:pPr>
              <w:spacing w:line="240" w:lineRule="exact"/>
              <w:jc w:val="center"/>
              <w:rPr>
                <w:rFonts w:ascii="黑体" w:eastAsia="黑体"/>
                <w:szCs w:val="21"/>
              </w:rPr>
            </w:pPr>
            <w:r>
              <w:rPr>
                <w:rFonts w:hint="eastAsia" w:ascii="黑体" w:eastAsia="黑体"/>
                <w:szCs w:val="21"/>
              </w:rPr>
              <w:t>条款号</w:t>
            </w:r>
          </w:p>
        </w:tc>
        <w:tc>
          <w:tcPr>
            <w:tcW w:w="3183" w:type="dxa"/>
            <w:gridSpan w:val="5"/>
            <w:vAlign w:val="center"/>
          </w:tcPr>
          <w:p>
            <w:pPr>
              <w:spacing w:line="240" w:lineRule="exact"/>
              <w:jc w:val="center"/>
              <w:rPr>
                <w:rFonts w:ascii="黑体" w:eastAsia="黑体"/>
                <w:szCs w:val="21"/>
              </w:rPr>
            </w:pPr>
            <w:r>
              <w:rPr>
                <w:rFonts w:hint="eastAsia" w:ascii="黑体" w:eastAsia="黑体"/>
                <w:szCs w:val="21"/>
              </w:rPr>
              <w:t>条款名称</w:t>
            </w:r>
          </w:p>
        </w:tc>
        <w:tc>
          <w:tcPr>
            <w:tcW w:w="5594" w:type="dxa"/>
            <w:vAlign w:val="center"/>
          </w:tcPr>
          <w:p>
            <w:pPr>
              <w:spacing w:line="240" w:lineRule="exact"/>
              <w:jc w:val="center"/>
              <w:rPr>
                <w:rFonts w:ascii="黑体" w:eastAsia="黑体"/>
                <w:szCs w:val="21"/>
              </w:rPr>
            </w:pPr>
            <w:r>
              <w:rPr>
                <w:rFonts w:hint="eastAsia" w:ascii="黑体" w:eastAsia="黑体"/>
                <w:szCs w:val="21"/>
              </w:rPr>
              <w:t>编列内容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1" w:hRule="atLeast"/>
          <w:jc w:val="center"/>
        </w:trPr>
        <w:tc>
          <w:tcPr>
            <w:tcW w:w="955" w:type="dxa"/>
            <w:vAlign w:val="center"/>
          </w:tcPr>
          <w:p>
            <w:pPr>
              <w:spacing w:line="240" w:lineRule="exact"/>
              <w:jc w:val="center"/>
              <w:rPr>
                <w:rFonts w:ascii="仿宋" w:hAnsi="仿宋" w:eastAsia="仿宋" w:cs="仿宋"/>
                <w:szCs w:val="21"/>
              </w:rPr>
            </w:pPr>
            <w:r>
              <w:rPr>
                <w:rFonts w:hint="eastAsia" w:ascii="仿宋" w:hAnsi="仿宋" w:eastAsia="仿宋" w:cs="仿宋"/>
                <w:szCs w:val="21"/>
              </w:rPr>
              <w:t>3.5.2</w:t>
            </w:r>
          </w:p>
        </w:tc>
        <w:tc>
          <w:tcPr>
            <w:tcW w:w="3183" w:type="dxa"/>
            <w:gridSpan w:val="5"/>
            <w:vAlign w:val="center"/>
          </w:tcPr>
          <w:p>
            <w:pPr>
              <w:spacing w:line="240" w:lineRule="exact"/>
              <w:jc w:val="center"/>
              <w:rPr>
                <w:rFonts w:ascii="仿宋" w:hAnsi="仿宋" w:eastAsia="仿宋" w:cs="仿宋"/>
                <w:szCs w:val="21"/>
              </w:rPr>
            </w:pPr>
            <w:r>
              <w:rPr>
                <w:rFonts w:hint="eastAsia" w:ascii="仿宋" w:hAnsi="仿宋" w:eastAsia="仿宋" w:cs="仿宋"/>
                <w:szCs w:val="21"/>
              </w:rPr>
              <w:t>近年财务状况的年份要求</w:t>
            </w:r>
          </w:p>
        </w:tc>
        <w:tc>
          <w:tcPr>
            <w:tcW w:w="5594" w:type="dxa"/>
            <w:vAlign w:val="center"/>
          </w:tcPr>
          <w:p>
            <w:pPr>
              <w:jc w:val="left"/>
              <w:rPr>
                <w:rFonts w:ascii="仿宋" w:hAnsi="仿宋" w:eastAsia="仿宋" w:cs="仿宋"/>
                <w:szCs w:val="21"/>
              </w:rPr>
            </w:pPr>
            <w:r>
              <w:rPr>
                <w:rFonts w:hint="eastAsia" w:ascii="仿宋" w:hAnsi="仿宋" w:eastAsia="仿宋" w:cs="仿宋"/>
                <w:szCs w:val="21"/>
                <w:highlight w:val="yellow"/>
                <w:u w:val="single"/>
              </w:rPr>
              <w:t>本项目不需要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7" w:hRule="atLeast"/>
          <w:jc w:val="center"/>
        </w:trPr>
        <w:tc>
          <w:tcPr>
            <w:tcW w:w="955" w:type="dxa"/>
            <w:vAlign w:val="center"/>
          </w:tcPr>
          <w:p>
            <w:pPr>
              <w:spacing w:line="240" w:lineRule="exact"/>
              <w:jc w:val="center"/>
              <w:rPr>
                <w:rFonts w:ascii="仿宋" w:hAnsi="仿宋" w:eastAsia="仿宋" w:cs="仿宋"/>
                <w:szCs w:val="21"/>
              </w:rPr>
            </w:pPr>
            <w:r>
              <w:rPr>
                <w:rFonts w:hint="eastAsia" w:ascii="仿宋" w:hAnsi="仿宋" w:eastAsia="仿宋" w:cs="仿宋"/>
                <w:szCs w:val="21"/>
              </w:rPr>
              <w:t>3.5.3</w:t>
            </w:r>
          </w:p>
        </w:tc>
        <w:tc>
          <w:tcPr>
            <w:tcW w:w="3183" w:type="dxa"/>
            <w:gridSpan w:val="5"/>
            <w:vAlign w:val="center"/>
          </w:tcPr>
          <w:p>
            <w:pPr>
              <w:spacing w:line="240" w:lineRule="exact"/>
              <w:jc w:val="center"/>
              <w:rPr>
                <w:rFonts w:ascii="仿宋" w:hAnsi="仿宋" w:eastAsia="仿宋" w:cs="仿宋"/>
                <w:szCs w:val="21"/>
              </w:rPr>
            </w:pPr>
            <w:r>
              <w:rPr>
                <w:rFonts w:hint="eastAsia" w:ascii="仿宋" w:hAnsi="仿宋" w:eastAsia="仿宋" w:cs="仿宋"/>
                <w:szCs w:val="21"/>
              </w:rPr>
              <w:t>近年完成的类似项目的年份要求</w:t>
            </w:r>
          </w:p>
        </w:tc>
        <w:tc>
          <w:tcPr>
            <w:tcW w:w="5594" w:type="dxa"/>
            <w:vAlign w:val="center"/>
          </w:tcPr>
          <w:p>
            <w:pPr>
              <w:jc w:val="left"/>
              <w:rPr>
                <w:rFonts w:ascii="仿宋" w:hAnsi="仿宋" w:eastAsia="仿宋" w:cs="仿宋"/>
                <w:szCs w:val="21"/>
              </w:rPr>
            </w:pPr>
            <w:r>
              <w:rPr>
                <w:rFonts w:hint="eastAsia" w:ascii="仿宋" w:hAnsi="仿宋" w:eastAsia="仿宋" w:cs="仿宋"/>
                <w:iCs/>
                <w:szCs w:val="21"/>
                <w:u w:val="single"/>
              </w:rPr>
              <w:t>2017年1月1日以来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4" w:hRule="atLeast"/>
          <w:jc w:val="center"/>
        </w:trPr>
        <w:tc>
          <w:tcPr>
            <w:tcW w:w="955" w:type="dxa"/>
            <w:vAlign w:val="center"/>
          </w:tcPr>
          <w:p>
            <w:pPr>
              <w:spacing w:line="240" w:lineRule="exact"/>
              <w:jc w:val="center"/>
              <w:rPr>
                <w:rFonts w:ascii="仿宋" w:hAnsi="仿宋" w:eastAsia="仿宋" w:cs="仿宋"/>
                <w:szCs w:val="21"/>
              </w:rPr>
            </w:pPr>
            <w:r>
              <w:rPr>
                <w:rFonts w:hint="eastAsia" w:ascii="仿宋" w:hAnsi="仿宋" w:eastAsia="仿宋" w:cs="仿宋"/>
                <w:szCs w:val="21"/>
              </w:rPr>
              <w:t>3.5.5</w:t>
            </w:r>
          </w:p>
        </w:tc>
        <w:tc>
          <w:tcPr>
            <w:tcW w:w="3183" w:type="dxa"/>
            <w:gridSpan w:val="5"/>
            <w:vAlign w:val="center"/>
          </w:tcPr>
          <w:p>
            <w:pPr>
              <w:spacing w:line="240" w:lineRule="exact"/>
              <w:jc w:val="center"/>
              <w:rPr>
                <w:rFonts w:ascii="仿宋" w:hAnsi="仿宋" w:eastAsia="仿宋" w:cs="仿宋"/>
                <w:szCs w:val="21"/>
              </w:rPr>
            </w:pPr>
            <w:r>
              <w:rPr>
                <w:rFonts w:hint="eastAsia" w:ascii="仿宋" w:hAnsi="仿宋" w:eastAsia="仿宋" w:cs="仿宋"/>
                <w:szCs w:val="21"/>
              </w:rPr>
              <w:t>近年发生的诉讼及仲裁情况的年份要求</w:t>
            </w:r>
          </w:p>
        </w:tc>
        <w:tc>
          <w:tcPr>
            <w:tcW w:w="5594" w:type="dxa"/>
            <w:vAlign w:val="center"/>
          </w:tcPr>
          <w:p>
            <w:pPr>
              <w:jc w:val="left"/>
              <w:rPr>
                <w:rFonts w:ascii="仿宋" w:hAnsi="仿宋" w:eastAsia="仿宋" w:cs="仿宋"/>
                <w:szCs w:val="21"/>
                <w:u w:val="single"/>
              </w:rPr>
            </w:pPr>
            <w:r>
              <w:rPr>
                <w:rFonts w:hint="eastAsia" w:ascii="仿宋" w:hAnsi="仿宋" w:eastAsia="仿宋" w:cs="仿宋"/>
                <w:bCs/>
                <w:iCs/>
                <w:szCs w:val="21"/>
                <w:u w:val="single"/>
              </w:rPr>
              <w:t>2019</w:t>
            </w:r>
            <w:r>
              <w:rPr>
                <w:rFonts w:hint="eastAsia" w:ascii="仿宋" w:hAnsi="仿宋" w:eastAsia="仿宋" w:cs="仿宋"/>
                <w:b/>
                <w:bCs/>
                <w:kern w:val="0"/>
                <w:szCs w:val="21"/>
                <w:u w:val="single"/>
              </w:rPr>
              <w:t>年</w:t>
            </w:r>
            <w:r>
              <w:rPr>
                <w:rFonts w:hint="eastAsia" w:ascii="仿宋" w:hAnsi="仿宋" w:eastAsia="仿宋" w:cs="仿宋"/>
                <w:bCs/>
                <w:iCs/>
                <w:szCs w:val="21"/>
                <w:u w:val="single"/>
              </w:rPr>
              <w:t>1</w:t>
            </w:r>
            <w:r>
              <w:rPr>
                <w:rFonts w:hint="eastAsia" w:ascii="仿宋" w:hAnsi="仿宋" w:eastAsia="仿宋" w:cs="仿宋"/>
                <w:b/>
                <w:bCs/>
                <w:kern w:val="0"/>
                <w:szCs w:val="21"/>
                <w:u w:val="single"/>
              </w:rPr>
              <w:t>月</w:t>
            </w:r>
            <w:r>
              <w:rPr>
                <w:rFonts w:hint="eastAsia" w:ascii="仿宋" w:hAnsi="仿宋" w:eastAsia="仿宋" w:cs="仿宋"/>
                <w:bCs/>
                <w:iCs/>
                <w:szCs w:val="21"/>
                <w:u w:val="single"/>
              </w:rPr>
              <w:t>1</w:t>
            </w:r>
            <w:r>
              <w:rPr>
                <w:rFonts w:hint="eastAsia" w:ascii="仿宋" w:hAnsi="仿宋" w:eastAsia="仿宋" w:cs="仿宋"/>
                <w:b/>
                <w:bCs/>
                <w:kern w:val="0"/>
                <w:szCs w:val="21"/>
                <w:u w:val="single"/>
              </w:rPr>
              <w:t>日以来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37" w:hRule="atLeast"/>
          <w:jc w:val="center"/>
        </w:trPr>
        <w:tc>
          <w:tcPr>
            <w:tcW w:w="955" w:type="dxa"/>
            <w:vAlign w:val="center"/>
          </w:tcPr>
          <w:p>
            <w:pPr>
              <w:spacing w:line="240" w:lineRule="exact"/>
              <w:jc w:val="center"/>
              <w:rPr>
                <w:rFonts w:ascii="仿宋" w:hAnsi="仿宋" w:eastAsia="仿宋" w:cs="仿宋"/>
                <w:szCs w:val="21"/>
              </w:rPr>
            </w:pPr>
            <w:r>
              <w:rPr>
                <w:rFonts w:hint="eastAsia" w:ascii="仿宋" w:hAnsi="仿宋" w:eastAsia="仿宋" w:cs="仿宋"/>
                <w:szCs w:val="21"/>
              </w:rPr>
              <w:t>3.6</w:t>
            </w:r>
          </w:p>
        </w:tc>
        <w:tc>
          <w:tcPr>
            <w:tcW w:w="3183" w:type="dxa"/>
            <w:gridSpan w:val="5"/>
            <w:vAlign w:val="center"/>
          </w:tcPr>
          <w:p>
            <w:pPr>
              <w:spacing w:line="240" w:lineRule="exact"/>
              <w:jc w:val="center"/>
              <w:rPr>
                <w:rFonts w:ascii="仿宋" w:hAnsi="仿宋" w:eastAsia="仿宋" w:cs="仿宋"/>
                <w:szCs w:val="21"/>
              </w:rPr>
            </w:pPr>
            <w:r>
              <w:rPr>
                <w:rFonts w:hint="eastAsia" w:ascii="仿宋" w:hAnsi="仿宋" w:eastAsia="仿宋" w:cs="仿宋"/>
                <w:szCs w:val="21"/>
              </w:rPr>
              <w:t>是否允许递交备选投标方案</w:t>
            </w:r>
          </w:p>
        </w:tc>
        <w:tc>
          <w:tcPr>
            <w:tcW w:w="5594" w:type="dxa"/>
            <w:vAlign w:val="center"/>
          </w:tcPr>
          <w:p>
            <w:pPr>
              <w:spacing w:line="300" w:lineRule="exact"/>
              <w:jc w:val="left"/>
              <w:rPr>
                <w:rFonts w:ascii="仿宋" w:hAnsi="仿宋" w:eastAsia="仿宋" w:cs="仿宋"/>
                <w:szCs w:val="21"/>
                <w:u w:val="single"/>
              </w:rPr>
            </w:pPr>
            <w:r>
              <w:rPr>
                <w:rFonts w:hint="eastAsia" w:ascii="仿宋" w:hAnsi="仿宋" w:eastAsia="仿宋" w:cs="仿宋"/>
                <w:szCs w:val="21"/>
              </w:rPr>
              <w:t>不允许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55" w:type="dxa"/>
            <w:vAlign w:val="center"/>
          </w:tcPr>
          <w:p>
            <w:pPr>
              <w:spacing w:line="240" w:lineRule="exact"/>
              <w:jc w:val="center"/>
              <w:rPr>
                <w:rFonts w:ascii="仿宋" w:hAnsi="仿宋" w:eastAsia="仿宋" w:cs="仿宋"/>
                <w:szCs w:val="21"/>
              </w:rPr>
            </w:pPr>
            <w:r>
              <w:rPr>
                <w:rFonts w:hint="eastAsia" w:ascii="仿宋" w:hAnsi="仿宋" w:eastAsia="仿宋" w:cs="仿宋"/>
                <w:szCs w:val="21"/>
              </w:rPr>
              <w:t>3.7.3</w:t>
            </w:r>
          </w:p>
        </w:tc>
        <w:tc>
          <w:tcPr>
            <w:tcW w:w="3183" w:type="dxa"/>
            <w:gridSpan w:val="5"/>
            <w:vAlign w:val="center"/>
          </w:tcPr>
          <w:p>
            <w:pPr>
              <w:spacing w:line="240" w:lineRule="exact"/>
              <w:jc w:val="center"/>
              <w:rPr>
                <w:rFonts w:ascii="仿宋" w:hAnsi="仿宋" w:eastAsia="仿宋" w:cs="仿宋"/>
                <w:szCs w:val="21"/>
              </w:rPr>
            </w:pPr>
            <w:r>
              <w:rPr>
                <w:rFonts w:hint="eastAsia" w:ascii="仿宋" w:hAnsi="仿宋" w:eastAsia="仿宋" w:cs="仿宋"/>
                <w:szCs w:val="21"/>
              </w:rPr>
              <w:t>签字或盖章要求</w:t>
            </w:r>
          </w:p>
        </w:tc>
        <w:tc>
          <w:tcPr>
            <w:tcW w:w="5594" w:type="dxa"/>
            <w:vAlign w:val="center"/>
          </w:tcPr>
          <w:p>
            <w:pPr>
              <w:spacing w:line="300" w:lineRule="auto"/>
              <w:rPr>
                <w:rFonts w:ascii="仿宋" w:hAnsi="仿宋" w:eastAsia="仿宋"/>
              </w:rPr>
            </w:pPr>
            <w:r>
              <w:rPr>
                <w:rFonts w:hint="eastAsia" w:ascii="仿宋" w:hAnsi="仿宋" w:eastAsia="仿宋"/>
              </w:rPr>
              <w:t>投标函及投标函附录、承诺函、已标价工程量清单（包括工程量清单说明、投标报价说明、其它说明及工程量清单4.1~4.3的各项表格）、资格审查资料的内容，应由投标人逐页加盖法定代表人电子章并逐页加盖投标人单位电子公章。</w:t>
            </w:r>
          </w:p>
          <w:p>
            <w:pPr>
              <w:pStyle w:val="2"/>
              <w:ind w:firstLine="240"/>
              <w:rPr>
                <w:rFonts w:ascii="仿宋" w:hAnsi="仿宋" w:eastAsia="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57" w:hRule="atLeast"/>
          <w:jc w:val="center"/>
        </w:trPr>
        <w:tc>
          <w:tcPr>
            <w:tcW w:w="955" w:type="dxa"/>
            <w:vAlign w:val="center"/>
          </w:tcPr>
          <w:p>
            <w:pPr>
              <w:spacing w:line="240" w:lineRule="exact"/>
              <w:jc w:val="center"/>
              <w:rPr>
                <w:rFonts w:ascii="仿宋" w:hAnsi="仿宋" w:eastAsia="仿宋" w:cs="仿宋"/>
                <w:szCs w:val="21"/>
              </w:rPr>
            </w:pPr>
            <w:r>
              <w:rPr>
                <w:rFonts w:hint="eastAsia" w:ascii="仿宋" w:hAnsi="仿宋" w:eastAsia="仿宋" w:cs="仿宋"/>
                <w:szCs w:val="21"/>
              </w:rPr>
              <w:t>3.7.4</w:t>
            </w:r>
          </w:p>
        </w:tc>
        <w:tc>
          <w:tcPr>
            <w:tcW w:w="3183" w:type="dxa"/>
            <w:gridSpan w:val="5"/>
            <w:vAlign w:val="center"/>
          </w:tcPr>
          <w:p>
            <w:pPr>
              <w:spacing w:line="240" w:lineRule="exact"/>
              <w:jc w:val="center"/>
              <w:rPr>
                <w:rFonts w:ascii="仿宋" w:hAnsi="仿宋" w:eastAsia="仿宋" w:cs="仿宋"/>
                <w:szCs w:val="21"/>
              </w:rPr>
            </w:pPr>
            <w:r>
              <w:rPr>
                <w:rFonts w:hint="eastAsia" w:ascii="仿宋" w:hAnsi="仿宋" w:eastAsia="仿宋" w:cs="仿宋"/>
                <w:szCs w:val="21"/>
              </w:rPr>
              <w:t>投标文件份数</w:t>
            </w:r>
          </w:p>
        </w:tc>
        <w:tc>
          <w:tcPr>
            <w:tcW w:w="5594" w:type="dxa"/>
            <w:vAlign w:val="center"/>
          </w:tcPr>
          <w:p>
            <w:pPr>
              <w:rPr>
                <w:rFonts w:ascii="仿宋" w:hAnsi="仿宋" w:eastAsia="仿宋" w:cs="仿宋"/>
                <w:szCs w:val="21"/>
              </w:rPr>
            </w:pPr>
            <w:r>
              <w:rPr>
                <w:rFonts w:hint="eastAsia" w:ascii="仿宋" w:hAnsi="仿宋" w:eastAsia="仿宋" w:cs="仿宋"/>
                <w:szCs w:val="21"/>
              </w:rPr>
              <w:t>（1）电子投标文件（.HzTbs 格式）一份上传至杭州公共资源交易平台（以下简称“交易平台”）作为正本。</w:t>
            </w:r>
          </w:p>
          <w:p>
            <w:pPr>
              <w:rPr>
                <w:rFonts w:ascii="仿宋" w:hAnsi="仿宋" w:eastAsia="仿宋" w:cs="仿宋"/>
                <w:b/>
                <w:bCs/>
                <w:szCs w:val="21"/>
              </w:rPr>
            </w:pPr>
            <w:r>
              <w:rPr>
                <w:rFonts w:hint="eastAsia" w:ascii="仿宋" w:hAnsi="仿宋" w:eastAsia="仿宋" w:cs="仿宋"/>
                <w:szCs w:val="21"/>
              </w:rPr>
              <w:t>（2）</w:t>
            </w:r>
            <w:r>
              <w:rPr>
                <w:rFonts w:hint="eastAsia" w:ascii="仿宋" w:hAnsi="仿宋" w:eastAsia="仿宋" w:cs="仿宋"/>
                <w:b/>
                <w:bCs/>
                <w:szCs w:val="21"/>
              </w:rPr>
              <w:t>是否需要现场递交纸质投标文件：☑否；</w:t>
            </w:r>
          </w:p>
          <w:p>
            <w:pPr>
              <w:rPr>
                <w:rFonts w:ascii="仿宋" w:hAnsi="仿宋" w:eastAsia="仿宋" w:cs="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4" w:hRule="atLeast"/>
          <w:jc w:val="center"/>
        </w:trPr>
        <w:tc>
          <w:tcPr>
            <w:tcW w:w="955" w:type="dxa"/>
            <w:vAlign w:val="center"/>
          </w:tcPr>
          <w:p>
            <w:pPr>
              <w:spacing w:line="240" w:lineRule="exact"/>
              <w:jc w:val="center"/>
              <w:rPr>
                <w:rFonts w:ascii="仿宋" w:hAnsi="仿宋" w:eastAsia="仿宋" w:cs="仿宋"/>
                <w:szCs w:val="21"/>
              </w:rPr>
            </w:pPr>
            <w:r>
              <w:rPr>
                <w:rFonts w:hint="eastAsia" w:ascii="仿宋" w:hAnsi="仿宋" w:eastAsia="仿宋" w:cs="仿宋"/>
                <w:szCs w:val="21"/>
              </w:rPr>
              <w:t>3.7.5</w:t>
            </w:r>
          </w:p>
        </w:tc>
        <w:tc>
          <w:tcPr>
            <w:tcW w:w="3183" w:type="dxa"/>
            <w:gridSpan w:val="5"/>
            <w:vAlign w:val="center"/>
          </w:tcPr>
          <w:p>
            <w:pPr>
              <w:spacing w:line="240" w:lineRule="exact"/>
              <w:jc w:val="center"/>
              <w:rPr>
                <w:rFonts w:ascii="仿宋" w:hAnsi="仿宋" w:eastAsia="仿宋" w:cs="仿宋"/>
                <w:szCs w:val="21"/>
              </w:rPr>
            </w:pPr>
            <w:r>
              <w:rPr>
                <w:rFonts w:hint="eastAsia" w:ascii="仿宋" w:hAnsi="仿宋" w:eastAsia="仿宋" w:cs="仿宋"/>
                <w:szCs w:val="21"/>
              </w:rPr>
              <w:t>副本装订要求</w:t>
            </w:r>
          </w:p>
        </w:tc>
        <w:tc>
          <w:tcPr>
            <w:tcW w:w="5594" w:type="dxa"/>
            <w:vAlign w:val="center"/>
          </w:tcPr>
          <w:p>
            <w:pPr>
              <w:spacing w:line="300" w:lineRule="exact"/>
              <w:jc w:val="left"/>
              <w:rPr>
                <w:rFonts w:ascii="仿宋" w:hAnsi="仿宋" w:eastAsia="仿宋" w:cs="仿宋"/>
                <w:szCs w:val="21"/>
              </w:rPr>
            </w:pPr>
            <w:r>
              <w:rPr>
                <w:rFonts w:hint="eastAsia" w:ascii="仿宋" w:hAnsi="仿宋" w:eastAsia="仿宋" w:cs="仿宋"/>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3" w:hRule="atLeast"/>
          <w:jc w:val="center"/>
        </w:trPr>
        <w:tc>
          <w:tcPr>
            <w:tcW w:w="955" w:type="dxa"/>
            <w:vAlign w:val="center"/>
          </w:tcPr>
          <w:p>
            <w:pPr>
              <w:spacing w:line="240" w:lineRule="exact"/>
              <w:jc w:val="center"/>
              <w:rPr>
                <w:rFonts w:ascii="仿宋" w:hAnsi="仿宋" w:eastAsia="仿宋" w:cs="仿宋"/>
                <w:szCs w:val="21"/>
              </w:rPr>
            </w:pPr>
            <w:r>
              <w:rPr>
                <w:rFonts w:hint="eastAsia" w:ascii="仿宋" w:hAnsi="仿宋" w:eastAsia="仿宋" w:cs="仿宋"/>
                <w:szCs w:val="21"/>
              </w:rPr>
              <w:t>4.1.2</w:t>
            </w:r>
          </w:p>
        </w:tc>
        <w:tc>
          <w:tcPr>
            <w:tcW w:w="3183" w:type="dxa"/>
            <w:gridSpan w:val="5"/>
            <w:vAlign w:val="center"/>
          </w:tcPr>
          <w:p>
            <w:pPr>
              <w:spacing w:line="240" w:lineRule="exact"/>
              <w:jc w:val="center"/>
              <w:rPr>
                <w:rFonts w:ascii="仿宋" w:hAnsi="仿宋" w:eastAsia="仿宋" w:cs="仿宋"/>
                <w:szCs w:val="21"/>
              </w:rPr>
            </w:pPr>
            <w:r>
              <w:rPr>
                <w:rFonts w:hint="eastAsia" w:ascii="仿宋" w:hAnsi="仿宋" w:eastAsia="仿宋" w:cs="仿宋"/>
                <w:szCs w:val="21"/>
              </w:rPr>
              <w:t>封套上写明</w:t>
            </w:r>
          </w:p>
        </w:tc>
        <w:tc>
          <w:tcPr>
            <w:tcW w:w="5594" w:type="dxa"/>
            <w:vAlign w:val="center"/>
          </w:tcPr>
          <w:p>
            <w:pPr>
              <w:spacing w:line="260" w:lineRule="exact"/>
              <w:jc w:val="left"/>
              <w:rPr>
                <w:rFonts w:ascii="仿宋" w:hAnsi="仿宋" w:eastAsia="仿宋" w:cs="仿宋"/>
                <w:szCs w:val="21"/>
              </w:rPr>
            </w:pPr>
            <w:r>
              <w:rPr>
                <w:rFonts w:hint="eastAsia" w:ascii="仿宋" w:hAnsi="仿宋" w:eastAsia="仿宋" w:cs="仿宋"/>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4" w:hRule="atLeast"/>
          <w:jc w:val="center"/>
        </w:trPr>
        <w:tc>
          <w:tcPr>
            <w:tcW w:w="955" w:type="dxa"/>
            <w:vAlign w:val="center"/>
          </w:tcPr>
          <w:p>
            <w:pPr>
              <w:spacing w:line="240" w:lineRule="exact"/>
              <w:jc w:val="center"/>
              <w:rPr>
                <w:rFonts w:ascii="仿宋" w:hAnsi="仿宋" w:eastAsia="仿宋" w:cs="仿宋"/>
                <w:szCs w:val="21"/>
              </w:rPr>
            </w:pPr>
            <w:r>
              <w:rPr>
                <w:rFonts w:hint="eastAsia" w:ascii="仿宋" w:hAnsi="仿宋" w:eastAsia="仿宋" w:cs="仿宋"/>
                <w:szCs w:val="21"/>
              </w:rPr>
              <w:t>4.2.2</w:t>
            </w:r>
          </w:p>
        </w:tc>
        <w:tc>
          <w:tcPr>
            <w:tcW w:w="3183" w:type="dxa"/>
            <w:gridSpan w:val="5"/>
            <w:vAlign w:val="center"/>
          </w:tcPr>
          <w:p>
            <w:pPr>
              <w:spacing w:line="240" w:lineRule="exact"/>
              <w:jc w:val="center"/>
              <w:rPr>
                <w:rFonts w:ascii="仿宋" w:hAnsi="仿宋" w:eastAsia="仿宋" w:cs="仿宋"/>
                <w:szCs w:val="21"/>
              </w:rPr>
            </w:pPr>
            <w:r>
              <w:rPr>
                <w:rFonts w:hint="eastAsia" w:ascii="仿宋" w:hAnsi="仿宋" w:eastAsia="仿宋" w:cs="仿宋"/>
                <w:szCs w:val="21"/>
              </w:rPr>
              <w:t>递交投标文件地点</w:t>
            </w:r>
          </w:p>
        </w:tc>
        <w:tc>
          <w:tcPr>
            <w:tcW w:w="5594" w:type="dxa"/>
            <w:vAlign w:val="center"/>
          </w:tcPr>
          <w:p>
            <w:pPr>
              <w:spacing w:line="300" w:lineRule="exact"/>
              <w:jc w:val="left"/>
              <w:rPr>
                <w:rFonts w:ascii="仿宋" w:hAnsi="仿宋" w:eastAsia="仿宋" w:cs="仿宋"/>
                <w:szCs w:val="21"/>
              </w:rPr>
            </w:pPr>
            <w:r>
              <w:rPr>
                <w:rFonts w:hint="eastAsia" w:ascii="仿宋" w:hAnsi="仿宋" w:eastAsia="仿宋" w:cs="仿宋"/>
                <w:b/>
                <w:bCs/>
                <w:szCs w:val="21"/>
              </w:rPr>
              <w:t>见招标公告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8" w:hRule="atLeast"/>
          <w:jc w:val="center"/>
        </w:trPr>
        <w:tc>
          <w:tcPr>
            <w:tcW w:w="955" w:type="dxa"/>
            <w:vAlign w:val="center"/>
          </w:tcPr>
          <w:p>
            <w:pPr>
              <w:spacing w:line="240" w:lineRule="exact"/>
              <w:jc w:val="center"/>
              <w:rPr>
                <w:rFonts w:ascii="仿宋" w:hAnsi="仿宋" w:eastAsia="仿宋" w:cs="仿宋"/>
                <w:szCs w:val="21"/>
              </w:rPr>
            </w:pPr>
            <w:r>
              <w:rPr>
                <w:rFonts w:hint="eastAsia" w:ascii="仿宋" w:hAnsi="仿宋" w:eastAsia="仿宋" w:cs="仿宋"/>
                <w:szCs w:val="21"/>
              </w:rPr>
              <w:t>4.2.3</w:t>
            </w:r>
          </w:p>
        </w:tc>
        <w:tc>
          <w:tcPr>
            <w:tcW w:w="3183" w:type="dxa"/>
            <w:gridSpan w:val="5"/>
            <w:vAlign w:val="center"/>
          </w:tcPr>
          <w:p>
            <w:pPr>
              <w:spacing w:line="240" w:lineRule="exact"/>
              <w:jc w:val="center"/>
              <w:rPr>
                <w:rFonts w:ascii="仿宋" w:hAnsi="仿宋" w:eastAsia="仿宋" w:cs="仿宋"/>
                <w:szCs w:val="21"/>
              </w:rPr>
            </w:pPr>
            <w:r>
              <w:rPr>
                <w:rFonts w:hint="eastAsia" w:ascii="仿宋" w:hAnsi="仿宋" w:eastAsia="仿宋" w:cs="仿宋"/>
                <w:szCs w:val="21"/>
              </w:rPr>
              <w:t>是否退还投标文件</w:t>
            </w:r>
          </w:p>
        </w:tc>
        <w:tc>
          <w:tcPr>
            <w:tcW w:w="5594" w:type="dxa"/>
            <w:vAlign w:val="center"/>
          </w:tcPr>
          <w:p>
            <w:pPr>
              <w:spacing w:line="300" w:lineRule="exact"/>
              <w:jc w:val="left"/>
              <w:rPr>
                <w:rFonts w:ascii="仿宋" w:hAnsi="仿宋" w:eastAsia="仿宋" w:cs="仿宋"/>
                <w:szCs w:val="21"/>
              </w:rPr>
            </w:pPr>
            <w:r>
              <w:rPr>
                <w:rFonts w:hint="eastAsia" w:ascii="仿宋" w:hAnsi="仿宋" w:eastAsia="仿宋" w:cs="仿宋"/>
                <w:szCs w:val="21"/>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57" w:hRule="atLeast"/>
          <w:jc w:val="center"/>
        </w:trPr>
        <w:tc>
          <w:tcPr>
            <w:tcW w:w="955" w:type="dxa"/>
            <w:vAlign w:val="center"/>
          </w:tcPr>
          <w:p>
            <w:pPr>
              <w:spacing w:line="240" w:lineRule="exact"/>
              <w:jc w:val="center"/>
              <w:rPr>
                <w:rFonts w:ascii="仿宋" w:hAnsi="仿宋" w:eastAsia="仿宋" w:cs="仿宋"/>
                <w:szCs w:val="21"/>
              </w:rPr>
            </w:pPr>
            <w:r>
              <w:rPr>
                <w:rFonts w:hint="eastAsia" w:ascii="仿宋" w:hAnsi="仿宋" w:eastAsia="仿宋" w:cs="仿宋"/>
                <w:szCs w:val="21"/>
              </w:rPr>
              <w:t>4.2.5</w:t>
            </w:r>
          </w:p>
        </w:tc>
        <w:tc>
          <w:tcPr>
            <w:tcW w:w="3183" w:type="dxa"/>
            <w:gridSpan w:val="5"/>
            <w:vAlign w:val="center"/>
          </w:tcPr>
          <w:p>
            <w:pPr>
              <w:spacing w:line="300" w:lineRule="exact"/>
              <w:jc w:val="center"/>
              <w:rPr>
                <w:rFonts w:ascii="仿宋" w:hAnsi="仿宋" w:eastAsia="仿宋" w:cs="仿宋"/>
                <w:szCs w:val="21"/>
              </w:rPr>
            </w:pPr>
            <w:r>
              <w:rPr>
                <w:rFonts w:hint="eastAsia" w:ascii="仿宋" w:hAnsi="仿宋" w:eastAsia="仿宋" w:cs="仿宋"/>
                <w:szCs w:val="21"/>
              </w:rPr>
              <w:t>投标文件</w:t>
            </w:r>
          </w:p>
          <w:p>
            <w:pPr>
              <w:spacing w:line="300" w:lineRule="exact"/>
              <w:jc w:val="center"/>
              <w:rPr>
                <w:rFonts w:ascii="仿宋" w:hAnsi="仿宋" w:eastAsia="仿宋" w:cs="仿宋"/>
                <w:szCs w:val="21"/>
              </w:rPr>
            </w:pPr>
            <w:r>
              <w:rPr>
                <w:rFonts w:hint="eastAsia" w:ascii="仿宋" w:hAnsi="仿宋" w:eastAsia="仿宋" w:cs="仿宋"/>
                <w:szCs w:val="21"/>
              </w:rPr>
              <w:t>的拒收情形</w:t>
            </w:r>
          </w:p>
        </w:tc>
        <w:tc>
          <w:tcPr>
            <w:tcW w:w="5594" w:type="dxa"/>
            <w:vAlign w:val="center"/>
          </w:tcPr>
          <w:p>
            <w:pPr>
              <w:spacing w:line="300" w:lineRule="exact"/>
              <w:jc w:val="left"/>
              <w:rPr>
                <w:rFonts w:ascii="仿宋" w:hAnsi="仿宋" w:eastAsia="仿宋" w:cs="仿宋"/>
                <w:szCs w:val="21"/>
              </w:rPr>
            </w:pPr>
            <w:r>
              <w:rPr>
                <w:rFonts w:hint="eastAsia" w:ascii="仿宋" w:hAnsi="仿宋" w:eastAsia="仿宋"/>
              </w:rPr>
              <w:t>（1）电子投标文件未在投标截止时间前完成上传的。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22" w:hRule="atLeast"/>
          <w:jc w:val="center"/>
        </w:trPr>
        <w:tc>
          <w:tcPr>
            <w:tcW w:w="955" w:type="dxa"/>
            <w:vAlign w:val="center"/>
          </w:tcPr>
          <w:p>
            <w:pPr>
              <w:spacing w:line="240" w:lineRule="exact"/>
              <w:jc w:val="center"/>
              <w:rPr>
                <w:rFonts w:ascii="仿宋" w:hAnsi="仿宋" w:eastAsia="仿宋" w:cs="仿宋"/>
                <w:szCs w:val="21"/>
              </w:rPr>
            </w:pPr>
            <w:r>
              <w:rPr>
                <w:rFonts w:hint="eastAsia" w:ascii="仿宋" w:hAnsi="仿宋" w:eastAsia="仿宋" w:cs="仿宋"/>
                <w:szCs w:val="21"/>
              </w:rPr>
              <w:t>4.2.6</w:t>
            </w:r>
          </w:p>
        </w:tc>
        <w:tc>
          <w:tcPr>
            <w:tcW w:w="3183" w:type="dxa"/>
            <w:gridSpan w:val="5"/>
            <w:vAlign w:val="center"/>
          </w:tcPr>
          <w:p>
            <w:pPr>
              <w:spacing w:line="240" w:lineRule="exact"/>
              <w:ind w:firstLine="210" w:firstLineChars="100"/>
              <w:rPr>
                <w:rFonts w:ascii="仿宋" w:hAnsi="仿宋" w:eastAsia="仿宋" w:cs="仿宋"/>
                <w:szCs w:val="21"/>
              </w:rPr>
            </w:pPr>
            <w:r>
              <w:rPr>
                <w:rFonts w:hint="eastAsia" w:ascii="仿宋" w:hAnsi="仿宋" w:eastAsia="仿宋" w:cs="仿宋"/>
                <w:szCs w:val="21"/>
              </w:rPr>
              <w:t>招标人通知延后投标截止时间</w:t>
            </w:r>
          </w:p>
          <w:p>
            <w:pPr>
              <w:spacing w:line="240" w:lineRule="exact"/>
              <w:jc w:val="center"/>
              <w:rPr>
                <w:rFonts w:ascii="仿宋" w:hAnsi="仿宋" w:eastAsia="仿宋" w:cs="仿宋"/>
                <w:szCs w:val="21"/>
              </w:rPr>
            </w:pPr>
            <w:r>
              <w:rPr>
                <w:rFonts w:hint="eastAsia" w:ascii="仿宋" w:hAnsi="仿宋" w:eastAsia="仿宋" w:cs="仿宋"/>
                <w:szCs w:val="21"/>
              </w:rPr>
              <w:t>的时间</w:t>
            </w:r>
          </w:p>
        </w:tc>
        <w:tc>
          <w:tcPr>
            <w:tcW w:w="5594" w:type="dxa"/>
            <w:vAlign w:val="center"/>
          </w:tcPr>
          <w:p>
            <w:pPr>
              <w:pStyle w:val="2"/>
              <w:ind w:firstLine="240"/>
              <w:rPr>
                <w:rFonts w:ascii="仿宋" w:hAnsi="仿宋" w:eastAsia="仿宋" w:cs="仿宋"/>
                <w:szCs w:val="21"/>
              </w:rPr>
            </w:pPr>
          </w:p>
          <w:p>
            <w:pPr>
              <w:spacing w:line="300" w:lineRule="exact"/>
              <w:jc w:val="left"/>
              <w:rPr>
                <w:rFonts w:ascii="仿宋" w:hAnsi="仿宋" w:eastAsia="仿宋"/>
              </w:rPr>
            </w:pPr>
            <w:r>
              <w:rPr>
                <w:rFonts w:hint="eastAsia" w:ascii="仿宋" w:hAnsi="仿宋" w:eastAsia="仿宋"/>
              </w:rPr>
              <w:t>原定投标截止时间 7 天前</w:t>
            </w:r>
          </w:p>
          <w:p>
            <w:pPr>
              <w:pStyle w:val="2"/>
              <w:ind w:firstLine="240"/>
              <w:rPr>
                <w:rFonts w:ascii="仿宋" w:hAnsi="仿宋" w:eastAsia="仿宋" w:cs="仿宋"/>
                <w:szCs w:val="21"/>
              </w:rPr>
            </w:pPr>
          </w:p>
          <w:p>
            <w:pPr>
              <w:pStyle w:val="2"/>
              <w:ind w:firstLine="240"/>
              <w:rPr>
                <w:rFonts w:ascii="仿宋" w:hAnsi="仿宋" w:eastAsia="仿宋" w:cs="仿宋"/>
                <w:szCs w:val="21"/>
              </w:rPr>
            </w:pPr>
          </w:p>
          <w:p>
            <w:pPr>
              <w:pStyle w:val="2"/>
              <w:ind w:firstLine="0" w:firstLineChars="0"/>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6" w:hRule="atLeast"/>
          <w:jc w:val="center"/>
        </w:trPr>
        <w:tc>
          <w:tcPr>
            <w:tcW w:w="1105" w:type="dxa"/>
            <w:gridSpan w:val="2"/>
            <w:vAlign w:val="center"/>
          </w:tcPr>
          <w:p>
            <w:r>
              <w:rPr>
                <w:rFonts w:hint="eastAsia"/>
              </w:rPr>
              <w:t>条款号</w:t>
            </w:r>
          </w:p>
        </w:tc>
        <w:tc>
          <w:tcPr>
            <w:tcW w:w="2179" w:type="dxa"/>
            <w:gridSpan w:val="3"/>
            <w:vAlign w:val="center"/>
          </w:tcPr>
          <w:p>
            <w:pPr>
              <w:jc w:val="center"/>
            </w:pPr>
            <w:r>
              <w:rPr>
                <w:rFonts w:hint="eastAsia"/>
              </w:rPr>
              <w:t>条款名称</w:t>
            </w:r>
          </w:p>
        </w:tc>
        <w:tc>
          <w:tcPr>
            <w:tcW w:w="6448" w:type="dxa"/>
            <w:gridSpan w:val="2"/>
            <w:vAlign w:val="center"/>
          </w:tcPr>
          <w:p>
            <w:pPr>
              <w:spacing w:line="240" w:lineRule="exact"/>
              <w:jc w:val="center"/>
              <w:rPr>
                <w:rFonts w:ascii="黑体" w:eastAsia="黑体"/>
                <w:szCs w:val="21"/>
              </w:rPr>
            </w:pPr>
            <w:r>
              <w:rPr>
                <w:rFonts w:hint="eastAsia" w:ascii="黑体" w:eastAsia="黑体"/>
                <w:szCs w:val="21"/>
              </w:rPr>
              <w:t>编列内容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2" w:hRule="atLeast"/>
          <w:jc w:val="center"/>
        </w:trPr>
        <w:tc>
          <w:tcPr>
            <w:tcW w:w="1105" w:type="dxa"/>
            <w:gridSpan w:val="2"/>
            <w:vAlign w:val="center"/>
          </w:tcPr>
          <w:p>
            <w:pPr>
              <w:spacing w:line="240" w:lineRule="exact"/>
              <w:jc w:val="center"/>
              <w:rPr>
                <w:rFonts w:ascii="仿宋" w:hAnsi="仿宋" w:eastAsia="仿宋" w:cs="仿宋"/>
                <w:szCs w:val="21"/>
              </w:rPr>
            </w:pPr>
            <w:r>
              <w:rPr>
                <w:rFonts w:hint="eastAsia" w:ascii="仿宋" w:hAnsi="仿宋" w:eastAsia="仿宋" w:cs="仿宋"/>
                <w:szCs w:val="21"/>
              </w:rPr>
              <w:t>5.1</w:t>
            </w:r>
          </w:p>
        </w:tc>
        <w:tc>
          <w:tcPr>
            <w:tcW w:w="2179" w:type="dxa"/>
            <w:gridSpan w:val="3"/>
            <w:vAlign w:val="center"/>
          </w:tcPr>
          <w:p>
            <w:pPr>
              <w:spacing w:line="240" w:lineRule="exact"/>
              <w:jc w:val="center"/>
              <w:rPr>
                <w:rFonts w:ascii="仿宋" w:hAnsi="仿宋" w:eastAsia="仿宋" w:cs="仿宋"/>
                <w:szCs w:val="21"/>
              </w:rPr>
            </w:pPr>
            <w:r>
              <w:rPr>
                <w:rFonts w:hint="eastAsia" w:ascii="仿宋" w:hAnsi="仿宋" w:eastAsia="仿宋" w:cs="仿宋"/>
                <w:szCs w:val="21"/>
              </w:rPr>
              <w:t>开标时间和地点</w:t>
            </w:r>
          </w:p>
        </w:tc>
        <w:tc>
          <w:tcPr>
            <w:tcW w:w="6448" w:type="dxa"/>
            <w:gridSpan w:val="2"/>
            <w:vAlign w:val="center"/>
          </w:tcPr>
          <w:p>
            <w:pPr>
              <w:spacing w:line="300" w:lineRule="exact"/>
              <w:jc w:val="left"/>
              <w:rPr>
                <w:rFonts w:ascii="仿宋" w:hAnsi="仿宋" w:eastAsia="仿宋" w:cs="仿宋"/>
                <w:szCs w:val="21"/>
              </w:rPr>
            </w:pPr>
            <w:r>
              <w:rPr>
                <w:rFonts w:hint="eastAsia" w:ascii="仿宋" w:hAnsi="仿宋" w:eastAsia="仿宋" w:cs="仿宋"/>
                <w:b/>
                <w:bCs/>
                <w:szCs w:val="21"/>
              </w:rPr>
              <w:t>见招标公告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65" w:hRule="atLeast"/>
          <w:jc w:val="center"/>
        </w:trPr>
        <w:tc>
          <w:tcPr>
            <w:tcW w:w="1105" w:type="dxa"/>
            <w:gridSpan w:val="2"/>
            <w:vAlign w:val="center"/>
          </w:tcPr>
          <w:p>
            <w:pPr>
              <w:spacing w:line="240" w:lineRule="exact"/>
              <w:jc w:val="center"/>
              <w:rPr>
                <w:rFonts w:ascii="仿宋" w:hAnsi="仿宋" w:eastAsia="仿宋" w:cs="仿宋"/>
                <w:szCs w:val="21"/>
              </w:rPr>
            </w:pPr>
            <w:r>
              <w:rPr>
                <w:rFonts w:hint="eastAsia" w:ascii="仿宋" w:hAnsi="仿宋" w:eastAsia="仿宋" w:cs="仿宋"/>
                <w:szCs w:val="21"/>
              </w:rPr>
              <w:t>5.2.1</w:t>
            </w:r>
          </w:p>
        </w:tc>
        <w:tc>
          <w:tcPr>
            <w:tcW w:w="2179" w:type="dxa"/>
            <w:gridSpan w:val="3"/>
            <w:vAlign w:val="center"/>
          </w:tcPr>
          <w:p>
            <w:pPr>
              <w:spacing w:line="240" w:lineRule="exact"/>
              <w:jc w:val="center"/>
              <w:rPr>
                <w:rFonts w:ascii="仿宋" w:hAnsi="仿宋" w:eastAsia="仿宋" w:cs="仿宋"/>
                <w:szCs w:val="21"/>
              </w:rPr>
            </w:pPr>
            <w:r>
              <w:rPr>
                <w:rFonts w:hint="eastAsia" w:ascii="仿宋" w:hAnsi="仿宋" w:eastAsia="仿宋" w:cs="仿宋"/>
                <w:szCs w:val="21"/>
              </w:rPr>
              <w:t>开标程序</w:t>
            </w:r>
          </w:p>
        </w:tc>
        <w:tc>
          <w:tcPr>
            <w:tcW w:w="6448" w:type="dxa"/>
            <w:gridSpan w:val="2"/>
            <w:vAlign w:val="center"/>
          </w:tcPr>
          <w:p>
            <w:pPr>
              <w:jc w:val="left"/>
              <w:rPr>
                <w:rFonts w:ascii="仿宋" w:hAnsi="仿宋" w:eastAsia="仿宋" w:cs="仿宋"/>
                <w:b/>
                <w:bCs/>
                <w:szCs w:val="21"/>
              </w:rPr>
            </w:pPr>
            <w:r>
              <w:rPr>
                <w:rFonts w:hint="eastAsia" w:ascii="仿宋" w:hAnsi="仿宋" w:eastAsia="仿宋" w:cs="仿宋"/>
                <w:szCs w:val="21"/>
              </w:rPr>
              <w:t>5.2.1开标由交易中心工作人员、招标人及招标代理机构人员至开标室进行。</w:t>
            </w:r>
          </w:p>
          <w:p>
            <w:pPr>
              <w:numPr>
                <w:ilvl w:val="255"/>
                <w:numId w:val="0"/>
              </w:numPr>
              <w:jc w:val="left"/>
              <w:rPr>
                <w:rFonts w:ascii="仿宋" w:hAnsi="仿宋" w:eastAsia="仿宋" w:cs="仿宋"/>
                <w:szCs w:val="21"/>
              </w:rPr>
            </w:pPr>
            <w:r>
              <w:rPr>
                <w:rFonts w:hint="eastAsia" w:ascii="仿宋" w:hAnsi="仿宋" w:eastAsia="仿宋" w:cs="仿宋"/>
                <w:szCs w:val="21"/>
              </w:rPr>
              <w:t>招标人按下列程序对投标文件进行开标：</w:t>
            </w:r>
          </w:p>
          <w:p>
            <w:pPr>
              <w:jc w:val="left"/>
              <w:rPr>
                <w:rFonts w:ascii="仿宋" w:hAnsi="仿宋" w:eastAsia="仿宋" w:cs="仿宋"/>
                <w:szCs w:val="21"/>
              </w:rPr>
            </w:pPr>
            <w:r>
              <w:rPr>
                <w:rFonts w:hint="eastAsia" w:ascii="仿宋" w:hAnsi="仿宋" w:eastAsia="仿宋" w:cs="仿宋"/>
                <w:szCs w:val="21"/>
              </w:rPr>
              <w:t>（1）至投标截止时间，招标人宣布开始开标，宣布开标纪律、项目名称、招标人代表、监标人等有关人员姓名。</w:t>
            </w:r>
          </w:p>
          <w:p>
            <w:pPr>
              <w:jc w:val="left"/>
              <w:rPr>
                <w:rFonts w:ascii="仿宋" w:hAnsi="仿宋" w:eastAsia="仿宋" w:cs="仿宋"/>
                <w:b/>
                <w:bCs/>
                <w:szCs w:val="21"/>
              </w:rPr>
            </w:pPr>
            <w:r>
              <w:rPr>
                <w:rFonts w:hint="eastAsia" w:ascii="仿宋" w:hAnsi="仿宋" w:eastAsia="仿宋" w:cs="仿宋"/>
                <w:szCs w:val="21"/>
              </w:rPr>
              <w:t>（2）招标人解密：招标人使用生成招标文件的 CA 数字证书解密投标文件。</w:t>
            </w:r>
            <w:r>
              <w:rPr>
                <w:rFonts w:hint="eastAsia" w:ascii="仿宋" w:hAnsi="仿宋" w:eastAsia="仿宋" w:cs="仿宋"/>
                <w:b/>
                <w:bCs/>
                <w:szCs w:val="21"/>
              </w:rPr>
              <w:t>如招标人成功解密的投标文件为 1 或 2 家时，则宣布本次招标失败。</w:t>
            </w:r>
          </w:p>
          <w:p>
            <w:pPr>
              <w:jc w:val="left"/>
              <w:rPr>
                <w:rFonts w:ascii="仿宋" w:hAnsi="仿宋" w:eastAsia="仿宋" w:cs="仿宋"/>
                <w:szCs w:val="21"/>
              </w:rPr>
            </w:pPr>
            <w:r>
              <w:rPr>
                <w:rFonts w:hint="eastAsia" w:ascii="仿宋" w:hAnsi="仿宋" w:eastAsia="仿宋" w:cs="仿宋"/>
                <w:szCs w:val="21"/>
              </w:rPr>
              <w:t>（3）抽取系数：开标现场随机抽取调整系数、复核系数和下浮系数。</w:t>
            </w:r>
          </w:p>
          <w:p>
            <w:pPr>
              <w:jc w:val="left"/>
              <w:rPr>
                <w:rFonts w:ascii="仿宋" w:hAnsi="仿宋" w:eastAsia="仿宋" w:cs="仿宋"/>
                <w:szCs w:val="21"/>
              </w:rPr>
            </w:pPr>
            <w:r>
              <w:rPr>
                <w:rFonts w:hint="eastAsia" w:ascii="仿宋" w:hAnsi="仿宋" w:eastAsia="仿宋" w:cs="仿宋"/>
                <w:szCs w:val="21"/>
              </w:rPr>
              <w:t>（4）招标解密完成后，开标系统公布投标人名称、投标报价、服务目标、服务期、项目经理及其他内容。</w:t>
            </w:r>
          </w:p>
          <w:p>
            <w:pPr>
              <w:numPr>
                <w:ilvl w:val="255"/>
                <w:numId w:val="0"/>
              </w:numPr>
              <w:jc w:val="left"/>
              <w:rPr>
                <w:rFonts w:ascii="仿宋" w:hAnsi="仿宋" w:eastAsia="仿宋" w:cs="仿宋"/>
                <w:b/>
                <w:bCs/>
                <w:szCs w:val="21"/>
              </w:rPr>
            </w:pPr>
            <w:r>
              <w:rPr>
                <w:rFonts w:hint="eastAsia" w:ascii="仿宋" w:hAnsi="仿宋" w:eastAsia="仿宋" w:cs="仿宋"/>
                <w:szCs w:val="21"/>
              </w:rPr>
              <w:t>（5）招标人宣布开标结束。</w:t>
            </w:r>
          </w:p>
          <w:p>
            <w:pPr>
              <w:numPr>
                <w:ilvl w:val="255"/>
                <w:numId w:val="0"/>
              </w:numPr>
              <w:jc w:val="left"/>
              <w:rPr>
                <w:rFonts w:ascii="仿宋" w:hAnsi="仿宋" w:eastAsia="仿宋" w:cs="仿宋"/>
                <w:b/>
                <w:bCs/>
                <w:szCs w:val="21"/>
              </w:rPr>
            </w:pPr>
            <w:r>
              <w:rPr>
                <w:rFonts w:hint="eastAsia" w:ascii="仿宋" w:hAnsi="仿宋" w:eastAsia="仿宋" w:cs="仿宋"/>
                <w:b/>
                <w:bCs/>
                <w:szCs w:val="21"/>
              </w:rPr>
              <w:t>开标特别说明事项</w:t>
            </w:r>
          </w:p>
          <w:p>
            <w:pPr>
              <w:numPr>
                <w:ilvl w:val="255"/>
                <w:numId w:val="0"/>
              </w:numPr>
              <w:jc w:val="left"/>
              <w:rPr>
                <w:rFonts w:ascii="仿宋" w:hAnsi="仿宋" w:eastAsia="仿宋" w:cs="仿宋"/>
                <w:szCs w:val="21"/>
              </w:rPr>
            </w:pPr>
            <w:r>
              <w:rPr>
                <w:rFonts w:hint="eastAsia" w:ascii="仿宋" w:hAnsi="仿宋" w:eastAsia="仿宋" w:cs="仿宋"/>
                <w:szCs w:val="21"/>
              </w:rPr>
              <w:t>（1）因投标人原因造成其电子投标文件未解密的，视为撤销其投标文件；</w:t>
            </w:r>
          </w:p>
          <w:p>
            <w:pPr>
              <w:jc w:val="left"/>
              <w:rPr>
                <w:rFonts w:ascii="仿宋" w:hAnsi="仿宋" w:eastAsia="仿宋" w:cs="仿宋"/>
                <w:szCs w:val="21"/>
              </w:rPr>
            </w:pPr>
            <w:r>
              <w:rPr>
                <w:rFonts w:hint="eastAsia" w:ascii="仿宋" w:hAnsi="仿宋" w:eastAsia="仿宋" w:cs="仿宋"/>
                <w:szCs w:val="21"/>
              </w:rPr>
              <w:t>（2）正常解密的投标文件在 3 家（含）以上时，部分投标人的电子投标文件无法解密的，其他投标文件的开标可以继续进行；</w:t>
            </w:r>
          </w:p>
          <w:p>
            <w:pPr>
              <w:jc w:val="left"/>
              <w:rPr>
                <w:rFonts w:ascii="仿宋" w:hAnsi="仿宋" w:eastAsia="仿宋" w:cs="仿宋"/>
                <w:szCs w:val="21"/>
              </w:rPr>
            </w:pPr>
            <w:r>
              <w:rPr>
                <w:rFonts w:hint="eastAsia" w:ascii="仿宋" w:hAnsi="仿宋" w:eastAsia="仿宋" w:cs="仿宋"/>
                <w:szCs w:val="21"/>
              </w:rPr>
              <w:t>（3）因系统原因、电力故障或网络故障等不可抗力因素造成所有投标人的电子投标文件均无法解密时，经行业主管部门确认后延后开标时间，或商定其他补救措施。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41" w:hRule="atLeast"/>
          <w:jc w:val="center"/>
        </w:trPr>
        <w:tc>
          <w:tcPr>
            <w:tcW w:w="1105" w:type="dxa"/>
            <w:gridSpan w:val="2"/>
            <w:vAlign w:val="center"/>
          </w:tcPr>
          <w:p>
            <w:pPr>
              <w:spacing w:line="240" w:lineRule="exact"/>
              <w:ind w:right="207"/>
              <w:rPr>
                <w:rFonts w:ascii="仿宋" w:hAnsi="仿宋" w:eastAsia="仿宋" w:cs="仿宋"/>
                <w:szCs w:val="21"/>
              </w:rPr>
            </w:pPr>
            <w:r>
              <w:rPr>
                <w:rFonts w:hint="eastAsia" w:ascii="仿宋" w:hAnsi="仿宋" w:eastAsia="仿宋" w:cs="仿宋"/>
                <w:szCs w:val="21"/>
              </w:rPr>
              <w:t>6.1.1</w:t>
            </w:r>
          </w:p>
        </w:tc>
        <w:tc>
          <w:tcPr>
            <w:tcW w:w="2179" w:type="dxa"/>
            <w:gridSpan w:val="3"/>
            <w:vAlign w:val="center"/>
          </w:tcPr>
          <w:p>
            <w:pPr>
              <w:spacing w:line="240" w:lineRule="exact"/>
              <w:ind w:left="311" w:right="184" w:hanging="106"/>
              <w:jc w:val="center"/>
              <w:rPr>
                <w:rFonts w:ascii="仿宋" w:hAnsi="仿宋" w:eastAsia="仿宋" w:cs="仿宋"/>
                <w:szCs w:val="21"/>
              </w:rPr>
            </w:pPr>
            <w:r>
              <w:rPr>
                <w:rFonts w:hint="eastAsia" w:ascii="仿宋" w:hAnsi="仿宋" w:eastAsia="仿宋" w:cs="仿宋"/>
                <w:szCs w:val="21"/>
              </w:rPr>
              <w:t>评标委员会的组建</w:t>
            </w:r>
          </w:p>
        </w:tc>
        <w:tc>
          <w:tcPr>
            <w:tcW w:w="6448" w:type="dxa"/>
            <w:gridSpan w:val="2"/>
            <w:vAlign w:val="center"/>
          </w:tcPr>
          <w:p>
            <w:pPr>
              <w:spacing w:before="30" w:line="300" w:lineRule="exact"/>
              <w:ind w:right="-10"/>
              <w:jc w:val="left"/>
              <w:rPr>
                <w:rFonts w:ascii="仿宋" w:hAnsi="仿宋" w:eastAsia="仿宋" w:cs="仿宋"/>
                <w:szCs w:val="21"/>
              </w:rPr>
            </w:pPr>
            <w:r>
              <w:rPr>
                <w:rFonts w:hint="eastAsia" w:ascii="仿宋" w:hAnsi="仿宋" w:eastAsia="仿宋" w:cs="仿宋"/>
                <w:szCs w:val="21"/>
              </w:rPr>
              <w:t>评标委员会构成：5人组成。</w:t>
            </w:r>
          </w:p>
          <w:p>
            <w:pPr>
              <w:spacing w:before="30" w:line="300" w:lineRule="exact"/>
              <w:ind w:right="-10"/>
              <w:jc w:val="left"/>
              <w:rPr>
                <w:rFonts w:ascii="仿宋" w:hAnsi="仿宋" w:eastAsia="仿宋" w:cs="仿宋"/>
                <w:szCs w:val="21"/>
              </w:rPr>
            </w:pPr>
            <w:r>
              <w:rPr>
                <w:rFonts w:hint="eastAsia" w:ascii="仿宋" w:hAnsi="仿宋" w:eastAsia="仿宋" w:cs="仿宋"/>
                <w:szCs w:val="21"/>
              </w:rPr>
              <w:t>评标专家确定方式：按规定全部从“杭州市交通工程评标专家”（综合专业）专家库中随机抽取方式确定，评标委员会组长在库选评标委员中推荐或随机抽取产生。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5" w:hRule="atLeast"/>
          <w:jc w:val="center"/>
        </w:trPr>
        <w:tc>
          <w:tcPr>
            <w:tcW w:w="1105" w:type="dxa"/>
            <w:gridSpan w:val="2"/>
            <w:vAlign w:val="center"/>
          </w:tcPr>
          <w:p>
            <w:pPr>
              <w:spacing w:line="240" w:lineRule="exact"/>
              <w:jc w:val="center"/>
              <w:rPr>
                <w:rFonts w:ascii="仿宋" w:hAnsi="仿宋" w:eastAsia="仿宋" w:cs="仿宋"/>
                <w:szCs w:val="21"/>
              </w:rPr>
            </w:pPr>
            <w:r>
              <w:rPr>
                <w:rFonts w:hint="eastAsia" w:ascii="仿宋" w:hAnsi="仿宋" w:eastAsia="仿宋" w:cs="仿宋"/>
                <w:szCs w:val="21"/>
              </w:rPr>
              <w:t>7.1</w:t>
            </w:r>
          </w:p>
        </w:tc>
        <w:tc>
          <w:tcPr>
            <w:tcW w:w="2179" w:type="dxa"/>
            <w:gridSpan w:val="3"/>
            <w:vAlign w:val="center"/>
          </w:tcPr>
          <w:p>
            <w:pPr>
              <w:spacing w:line="240" w:lineRule="exact"/>
              <w:jc w:val="center"/>
              <w:rPr>
                <w:rFonts w:ascii="仿宋" w:hAnsi="仿宋" w:eastAsia="仿宋" w:cs="仿宋"/>
                <w:szCs w:val="21"/>
              </w:rPr>
            </w:pPr>
            <w:r>
              <w:rPr>
                <w:rFonts w:hint="eastAsia" w:ascii="仿宋" w:hAnsi="仿宋" w:eastAsia="仿宋" w:cs="仿宋"/>
                <w:szCs w:val="21"/>
              </w:rPr>
              <w:t>是否授权评标委员会确定中标人</w:t>
            </w:r>
          </w:p>
        </w:tc>
        <w:tc>
          <w:tcPr>
            <w:tcW w:w="6448" w:type="dxa"/>
            <w:gridSpan w:val="2"/>
            <w:vAlign w:val="center"/>
          </w:tcPr>
          <w:p>
            <w:pPr>
              <w:spacing w:line="320" w:lineRule="exact"/>
              <w:jc w:val="left"/>
              <w:rPr>
                <w:rFonts w:ascii="仿宋" w:hAnsi="仿宋" w:eastAsia="仿宋" w:cs="仿宋"/>
                <w:szCs w:val="21"/>
              </w:rPr>
            </w:pPr>
            <w:r>
              <w:rPr>
                <w:rFonts w:hint="eastAsia" w:ascii="仿宋" w:hAnsi="仿宋" w:eastAsia="仿宋" w:cs="仿宋"/>
                <w:szCs w:val="21"/>
              </w:rPr>
              <w:t>否，推荐的中标候选人的人数为</w:t>
            </w:r>
            <w:r>
              <w:rPr>
                <w:rFonts w:hint="eastAsia" w:ascii="仿宋" w:hAnsi="仿宋" w:eastAsia="仿宋" w:cs="仿宋"/>
                <w:szCs w:val="21"/>
                <w:u w:val="single"/>
              </w:rPr>
              <w:t xml:space="preserve"> 1</w:t>
            </w:r>
            <w:r>
              <w:rPr>
                <w:rFonts w:hint="eastAsia" w:ascii="仿宋" w:hAnsi="仿宋" w:eastAsia="仿宋" w:cs="仿宋"/>
                <w:szCs w:val="21"/>
              </w:rPr>
              <w:t>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77" w:hRule="atLeast"/>
          <w:jc w:val="center"/>
        </w:trPr>
        <w:tc>
          <w:tcPr>
            <w:tcW w:w="1105" w:type="dxa"/>
            <w:gridSpan w:val="2"/>
            <w:vAlign w:val="center"/>
          </w:tcPr>
          <w:p>
            <w:pPr>
              <w:spacing w:line="240" w:lineRule="exact"/>
              <w:jc w:val="center"/>
              <w:rPr>
                <w:rFonts w:ascii="仿宋" w:hAnsi="仿宋" w:eastAsia="仿宋" w:cs="仿宋"/>
                <w:szCs w:val="21"/>
              </w:rPr>
            </w:pPr>
            <w:r>
              <w:rPr>
                <w:rFonts w:hint="eastAsia" w:ascii="仿宋" w:hAnsi="仿宋" w:eastAsia="仿宋" w:cs="仿宋"/>
                <w:szCs w:val="21"/>
              </w:rPr>
              <w:t>7.3.1</w:t>
            </w:r>
          </w:p>
        </w:tc>
        <w:tc>
          <w:tcPr>
            <w:tcW w:w="2179" w:type="dxa"/>
            <w:gridSpan w:val="3"/>
            <w:vAlign w:val="center"/>
          </w:tcPr>
          <w:p>
            <w:pPr>
              <w:spacing w:line="240" w:lineRule="exact"/>
              <w:jc w:val="center"/>
              <w:rPr>
                <w:rFonts w:ascii="仿宋" w:hAnsi="仿宋" w:eastAsia="仿宋" w:cs="仿宋"/>
                <w:szCs w:val="21"/>
              </w:rPr>
            </w:pPr>
            <w:r>
              <w:rPr>
                <w:rFonts w:hint="eastAsia" w:ascii="仿宋" w:hAnsi="仿宋" w:eastAsia="仿宋" w:cs="仿宋"/>
                <w:szCs w:val="21"/>
              </w:rPr>
              <w:t>履约担保</w:t>
            </w:r>
          </w:p>
        </w:tc>
        <w:tc>
          <w:tcPr>
            <w:tcW w:w="6448" w:type="dxa"/>
            <w:gridSpan w:val="2"/>
            <w:vAlign w:val="center"/>
          </w:tcPr>
          <w:p>
            <w:pPr>
              <w:spacing w:line="300" w:lineRule="exact"/>
              <w:rPr>
                <w:rFonts w:hint="default" w:ascii="仿宋" w:hAnsi="仿宋" w:eastAsia="仿宋" w:cs="仿宋"/>
                <w:b/>
                <w:bCs/>
                <w:color w:val="0000FF"/>
                <w:u w:val="single"/>
                <w:lang w:val="en-US" w:eastAsia="zh-CN"/>
              </w:rPr>
            </w:pPr>
            <w:r>
              <w:rPr>
                <w:rFonts w:hint="eastAsia" w:ascii="仿宋" w:hAnsi="仿宋" w:eastAsia="仿宋" w:cs="仿宋"/>
                <w:b/>
                <w:bCs/>
                <w:color w:val="0000FF"/>
              </w:rPr>
              <w:t>履约担保金额：</w:t>
            </w:r>
            <w:r>
              <w:rPr>
                <w:rFonts w:hint="eastAsia" w:ascii="仿宋" w:hAnsi="仿宋" w:eastAsia="仿宋" w:cs="仿宋"/>
                <w:b/>
                <w:bCs/>
                <w:color w:val="0000FF"/>
                <w:u w:val="single"/>
                <w:lang w:val="en-US" w:eastAsia="zh-CN"/>
              </w:rPr>
              <w:t xml:space="preserve">  </w:t>
            </w:r>
            <w:r>
              <w:rPr>
                <w:rFonts w:hint="eastAsia" w:ascii="仿宋" w:hAnsi="仿宋" w:eastAsia="仿宋" w:cs="仿宋"/>
                <w:b/>
                <w:bCs/>
                <w:color w:val="0000FF"/>
                <w:u w:val="single"/>
              </w:rPr>
              <w:t>/</w:t>
            </w:r>
            <w:r>
              <w:rPr>
                <w:rFonts w:hint="eastAsia" w:ascii="仿宋" w:hAnsi="仿宋" w:eastAsia="仿宋" w:cs="仿宋"/>
                <w:b/>
                <w:bCs/>
                <w:color w:val="0000FF"/>
                <w:u w:val="single"/>
                <w:lang w:val="en-US" w:eastAsia="zh-CN"/>
              </w:rPr>
              <w:t xml:space="preserve">  </w:t>
            </w:r>
          </w:p>
          <w:p>
            <w:pPr>
              <w:spacing w:line="300" w:lineRule="exact"/>
              <w:rPr>
                <w:rFonts w:hint="eastAsia" w:ascii="仿宋" w:hAnsi="仿宋" w:eastAsia="仿宋" w:cs="仿宋"/>
                <w:b/>
                <w:bCs/>
                <w:color w:val="0000FF"/>
              </w:rPr>
            </w:pPr>
            <w:r>
              <w:rPr>
                <w:rFonts w:hint="eastAsia" w:ascii="仿宋" w:hAnsi="仿宋" w:eastAsia="仿宋" w:cs="仿宋"/>
                <w:b/>
                <w:bCs/>
                <w:color w:val="0000FF"/>
              </w:rPr>
              <w:t>履约担保的的形式：承诺书；</w:t>
            </w:r>
          </w:p>
          <w:p>
            <w:pPr>
              <w:spacing w:line="300" w:lineRule="exact"/>
              <w:rPr>
                <w:rFonts w:hint="eastAsia" w:ascii="仿宋" w:hAnsi="仿宋" w:eastAsia="仿宋" w:cs="仿宋"/>
                <w:b/>
                <w:bCs/>
                <w:color w:val="0000FF"/>
              </w:rPr>
            </w:pPr>
            <w:r>
              <w:rPr>
                <w:rFonts w:hint="eastAsia" w:ascii="仿宋" w:hAnsi="仿宋" w:eastAsia="仿宋" w:cs="仿宋"/>
                <w:b/>
                <w:bCs/>
                <w:color w:val="0000FF"/>
              </w:rPr>
              <w:t>1.采用承诺书形式详见合同附件格式。提交的承诺书须经招标人确认。</w:t>
            </w:r>
          </w:p>
          <w:p>
            <w:pPr>
              <w:spacing w:line="300" w:lineRule="exact"/>
              <w:rPr>
                <w:rFonts w:hint="eastAsia" w:ascii="仿宋" w:hAnsi="仿宋" w:eastAsia="仿宋" w:cs="仿宋"/>
                <w:b/>
                <w:bCs/>
                <w:color w:val="FF0000"/>
              </w:rPr>
            </w:pPr>
            <w:r>
              <w:rPr>
                <w:rFonts w:hint="eastAsia" w:ascii="仿宋" w:hAnsi="仿宋" w:eastAsia="仿宋" w:cs="仿宋"/>
                <w:b/>
                <w:bCs/>
                <w:color w:val="0000FF"/>
              </w:rPr>
              <w:t>2.履约担保在完工质量鉴定合格次日自行解除。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42" w:hRule="atLeast"/>
          <w:jc w:val="center"/>
        </w:trPr>
        <w:tc>
          <w:tcPr>
            <w:tcW w:w="1105" w:type="dxa"/>
            <w:gridSpan w:val="2"/>
            <w:vAlign w:val="center"/>
          </w:tcPr>
          <w:p>
            <w:pPr>
              <w:spacing w:line="240" w:lineRule="exact"/>
              <w:jc w:val="center"/>
              <w:rPr>
                <w:rFonts w:ascii="仿宋" w:hAnsi="仿宋" w:eastAsia="仿宋" w:cs="仿宋"/>
                <w:szCs w:val="21"/>
              </w:rPr>
            </w:pPr>
            <w:r>
              <w:rPr>
                <w:rFonts w:hint="eastAsia" w:ascii="仿宋" w:hAnsi="仿宋" w:eastAsia="仿宋" w:cs="仿宋"/>
                <w:szCs w:val="21"/>
              </w:rPr>
              <w:t>9.5</w:t>
            </w:r>
          </w:p>
        </w:tc>
        <w:tc>
          <w:tcPr>
            <w:tcW w:w="2179" w:type="dxa"/>
            <w:gridSpan w:val="3"/>
            <w:vAlign w:val="center"/>
          </w:tcPr>
          <w:p>
            <w:pPr>
              <w:spacing w:line="240" w:lineRule="exact"/>
              <w:jc w:val="center"/>
              <w:rPr>
                <w:rFonts w:ascii="仿宋" w:hAnsi="仿宋" w:eastAsia="仿宋" w:cs="仿宋"/>
                <w:szCs w:val="21"/>
              </w:rPr>
            </w:pPr>
            <w:r>
              <w:rPr>
                <w:rFonts w:hint="eastAsia" w:ascii="仿宋" w:hAnsi="仿宋" w:eastAsia="仿宋" w:cs="仿宋"/>
                <w:szCs w:val="21"/>
              </w:rPr>
              <w:t>监督部门</w:t>
            </w:r>
          </w:p>
        </w:tc>
        <w:tc>
          <w:tcPr>
            <w:tcW w:w="6448" w:type="dxa"/>
            <w:gridSpan w:val="2"/>
            <w:vAlign w:val="center"/>
          </w:tcPr>
          <w:p>
            <w:pPr>
              <w:rPr>
                <w:rFonts w:ascii="仿宋" w:hAnsi="仿宋" w:eastAsia="仿宋" w:cs="仿宋"/>
              </w:rPr>
            </w:pPr>
            <w:r>
              <w:rPr>
                <w:rFonts w:hint="eastAsia" w:ascii="仿宋" w:hAnsi="仿宋" w:eastAsia="仿宋" w:cs="仿宋"/>
              </w:rPr>
              <w:t>监督机构：</w:t>
            </w:r>
          </w:p>
          <w:p>
            <w:pPr>
              <w:rPr>
                <w:rFonts w:ascii="仿宋" w:hAnsi="仿宋" w:eastAsia="仿宋" w:cs="仿宋"/>
              </w:rPr>
            </w:pPr>
            <w:r>
              <w:rPr>
                <w:rFonts w:hint="eastAsia" w:ascii="仿宋" w:hAnsi="仿宋" w:eastAsia="仿宋" w:cs="仿宋"/>
              </w:rPr>
              <w:t>杭州市交通运输管理服务中心</w:t>
            </w:r>
          </w:p>
          <w:p>
            <w:pPr>
              <w:rPr>
                <w:rFonts w:ascii="仿宋" w:hAnsi="仿宋" w:eastAsia="仿宋" w:cs="仿宋"/>
              </w:rPr>
            </w:pPr>
            <w:r>
              <w:rPr>
                <w:rFonts w:hint="eastAsia" w:ascii="仿宋" w:hAnsi="仿宋" w:eastAsia="仿宋" w:cs="仿宋"/>
              </w:rPr>
              <w:t>地址：杭州市中河北路 106 号</w:t>
            </w:r>
          </w:p>
          <w:p>
            <w:pPr>
              <w:rPr>
                <w:rFonts w:ascii="仿宋" w:hAnsi="仿宋" w:eastAsia="仿宋" w:cs="仿宋"/>
              </w:rPr>
            </w:pPr>
            <w:r>
              <w:rPr>
                <w:rFonts w:hint="eastAsia" w:ascii="仿宋" w:hAnsi="仿宋" w:eastAsia="仿宋" w:cs="仿宋"/>
              </w:rPr>
              <w:t>电话：0571-85117313</w:t>
            </w:r>
          </w:p>
          <w:p>
            <w:pPr>
              <w:rPr>
                <w:rFonts w:ascii="仿宋" w:hAnsi="仿宋" w:eastAsia="仿宋" w:cs="仿宋"/>
              </w:rPr>
            </w:pPr>
          </w:p>
          <w:p>
            <w:pPr>
              <w:rPr>
                <w:rFonts w:ascii="仿宋" w:hAnsi="仿宋" w:eastAsia="仿宋" w:cs="仿宋"/>
              </w:rPr>
            </w:pPr>
            <w:r>
              <w:rPr>
                <w:rFonts w:hint="eastAsia" w:ascii="仿宋" w:hAnsi="仿宋" w:eastAsia="仿宋" w:cs="仿宋"/>
              </w:rPr>
              <w:t>桐庐县交通运输局</w:t>
            </w:r>
          </w:p>
          <w:p>
            <w:pPr>
              <w:rPr>
                <w:rFonts w:ascii="仿宋" w:hAnsi="仿宋" w:eastAsia="仿宋" w:cs="仿宋"/>
              </w:rPr>
            </w:pPr>
            <w:r>
              <w:rPr>
                <w:rFonts w:hint="eastAsia" w:ascii="仿宋" w:hAnsi="仿宋" w:eastAsia="仿宋" w:cs="仿宋"/>
              </w:rPr>
              <w:t>地址：桐庐县城云栖中路500号</w:t>
            </w:r>
          </w:p>
          <w:p>
            <w:pPr>
              <w:rPr>
                <w:rFonts w:ascii="仿宋" w:hAnsi="仿宋" w:eastAsia="仿宋" w:cs="仿宋"/>
              </w:rPr>
            </w:pPr>
            <w:r>
              <w:rPr>
                <w:rFonts w:hint="eastAsia" w:ascii="仿宋" w:hAnsi="仿宋" w:eastAsia="仿宋" w:cs="仿宋"/>
              </w:rPr>
              <w:t xml:space="preserve">电    话：0571-64218623    </w:t>
            </w:r>
          </w:p>
          <w:p>
            <w:pPr>
              <w:pStyle w:val="2"/>
              <w:ind w:firstLine="240"/>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7" w:hRule="atLeast"/>
          <w:jc w:val="center"/>
        </w:trPr>
        <w:tc>
          <w:tcPr>
            <w:tcW w:w="9732" w:type="dxa"/>
            <w:gridSpan w:val="7"/>
            <w:tcBorders>
              <w:bottom w:val="single" w:color="auto" w:sz="4" w:space="0"/>
            </w:tcBorders>
            <w:vAlign w:val="center"/>
          </w:tcPr>
          <w:p>
            <w:pPr>
              <w:spacing w:line="300" w:lineRule="exact"/>
              <w:ind w:firstLine="211" w:firstLineChars="100"/>
              <w:jc w:val="center"/>
              <w:rPr>
                <w:rFonts w:ascii="黑体" w:hAnsi="宋体" w:eastAsia="黑体"/>
                <w:szCs w:val="21"/>
              </w:rPr>
            </w:pPr>
            <w:r>
              <w:rPr>
                <w:rFonts w:hint="eastAsia" w:ascii="黑体" w:hAnsi="宋体" w:eastAsia="黑体"/>
                <w:b/>
                <w:bCs/>
                <w:szCs w:val="21"/>
              </w:rPr>
              <w:t>需要细化、补充、修改的其它内容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4" w:hRule="atLeast"/>
          <w:jc w:val="center"/>
        </w:trPr>
        <w:tc>
          <w:tcPr>
            <w:tcW w:w="1105" w:type="dxa"/>
            <w:gridSpan w:val="2"/>
            <w:tcBorders>
              <w:top w:val="single" w:color="auto" w:sz="4" w:space="0"/>
              <w:bottom w:val="single" w:color="auto" w:sz="4" w:space="0"/>
            </w:tcBorders>
            <w:vAlign w:val="center"/>
          </w:tcPr>
          <w:p>
            <w:pPr>
              <w:spacing w:line="300" w:lineRule="exact"/>
              <w:jc w:val="center"/>
              <w:rPr>
                <w:rFonts w:ascii="黑体" w:eastAsia="黑体"/>
              </w:rPr>
            </w:pPr>
            <w:r>
              <w:rPr>
                <w:rFonts w:hint="eastAsia" w:ascii="黑体" w:eastAsia="黑体"/>
              </w:rPr>
              <w:t>条款号</w:t>
            </w:r>
          </w:p>
        </w:tc>
        <w:tc>
          <w:tcPr>
            <w:tcW w:w="2179" w:type="dxa"/>
            <w:gridSpan w:val="3"/>
            <w:tcBorders>
              <w:top w:val="single" w:color="auto" w:sz="4" w:space="0"/>
              <w:bottom w:val="single" w:color="auto" w:sz="4" w:space="0"/>
              <w:right w:val="single" w:color="auto" w:sz="4" w:space="0"/>
            </w:tcBorders>
            <w:vAlign w:val="center"/>
          </w:tcPr>
          <w:p>
            <w:pPr>
              <w:spacing w:line="300" w:lineRule="exact"/>
              <w:jc w:val="center"/>
              <w:rPr>
                <w:rFonts w:ascii="黑体" w:eastAsia="黑体"/>
              </w:rPr>
            </w:pPr>
            <w:r>
              <w:rPr>
                <w:rFonts w:hint="eastAsia" w:ascii="黑体" w:eastAsia="黑体"/>
              </w:rPr>
              <w:t>条款内容</w:t>
            </w:r>
          </w:p>
        </w:tc>
        <w:tc>
          <w:tcPr>
            <w:tcW w:w="6448" w:type="dxa"/>
            <w:gridSpan w:val="2"/>
            <w:tcBorders>
              <w:top w:val="single" w:color="auto" w:sz="4" w:space="0"/>
              <w:left w:val="single" w:color="auto" w:sz="4" w:space="0"/>
              <w:bottom w:val="single" w:color="auto" w:sz="4" w:space="0"/>
            </w:tcBorders>
            <w:vAlign w:val="center"/>
          </w:tcPr>
          <w:p>
            <w:pPr>
              <w:spacing w:line="300" w:lineRule="exact"/>
              <w:jc w:val="center"/>
              <w:rPr>
                <w:rFonts w:ascii="黑体" w:eastAsia="黑体"/>
              </w:rPr>
            </w:pPr>
            <w:r>
              <w:rPr>
                <w:rFonts w:hint="eastAsia" w:ascii="黑体" w:eastAsia="黑体"/>
              </w:rPr>
              <w:t>编列内容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77" w:hRule="atLeast"/>
          <w:jc w:val="center"/>
        </w:trPr>
        <w:tc>
          <w:tcPr>
            <w:tcW w:w="1105" w:type="dxa"/>
            <w:gridSpan w:val="2"/>
            <w:tcBorders>
              <w:top w:val="single" w:color="auto" w:sz="4" w:space="0"/>
              <w:bottom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1.4</w:t>
            </w:r>
          </w:p>
        </w:tc>
        <w:tc>
          <w:tcPr>
            <w:tcW w:w="2179" w:type="dxa"/>
            <w:gridSpan w:val="3"/>
            <w:tcBorders>
              <w:top w:val="single" w:color="auto" w:sz="4" w:space="0"/>
              <w:bottom w:val="single" w:color="auto" w:sz="4" w:space="0"/>
              <w:right w:val="single" w:color="auto" w:sz="4" w:space="0"/>
            </w:tcBorders>
            <w:vAlign w:val="center"/>
          </w:tcPr>
          <w:p>
            <w:pPr>
              <w:spacing w:line="300" w:lineRule="exact"/>
              <w:jc w:val="center"/>
              <w:rPr>
                <w:rFonts w:ascii="仿宋" w:hAnsi="仿宋" w:eastAsia="仿宋" w:cs="仿宋"/>
                <w:szCs w:val="21"/>
              </w:rPr>
            </w:pPr>
            <w:r>
              <w:rPr>
                <w:rFonts w:hint="eastAsia" w:ascii="仿宋" w:hAnsi="仿宋" w:eastAsia="仿宋" w:cs="仿宋"/>
                <w:szCs w:val="21"/>
              </w:rPr>
              <w:t>投标人</w:t>
            </w:r>
          </w:p>
          <w:p>
            <w:pPr>
              <w:spacing w:line="300" w:lineRule="exact"/>
              <w:jc w:val="center"/>
              <w:rPr>
                <w:rFonts w:ascii="仿宋" w:hAnsi="仿宋" w:eastAsia="仿宋" w:cs="仿宋"/>
                <w:szCs w:val="21"/>
              </w:rPr>
            </w:pPr>
            <w:r>
              <w:rPr>
                <w:rFonts w:hint="eastAsia" w:ascii="仿宋" w:hAnsi="仿宋" w:eastAsia="仿宋" w:cs="仿宋"/>
                <w:szCs w:val="21"/>
              </w:rPr>
              <w:t>资格要求</w:t>
            </w:r>
          </w:p>
        </w:tc>
        <w:tc>
          <w:tcPr>
            <w:tcW w:w="6448" w:type="dxa"/>
            <w:gridSpan w:val="2"/>
            <w:tcBorders>
              <w:top w:val="single" w:color="auto" w:sz="4" w:space="0"/>
              <w:left w:val="single" w:color="auto" w:sz="4" w:space="0"/>
              <w:bottom w:val="single" w:color="auto" w:sz="4" w:space="0"/>
            </w:tcBorders>
            <w:vAlign w:val="center"/>
          </w:tcPr>
          <w:p>
            <w:pPr>
              <w:spacing w:line="276" w:lineRule="auto"/>
              <w:ind w:right="105" w:rightChars="50"/>
              <w:jc w:val="left"/>
              <w:rPr>
                <w:rFonts w:ascii="仿宋" w:hAnsi="仿宋" w:eastAsia="仿宋" w:cs="仿宋"/>
                <w:b/>
                <w:bCs/>
              </w:rPr>
            </w:pPr>
            <w:r>
              <w:rPr>
                <w:rFonts w:hint="eastAsia" w:ascii="仿宋" w:hAnsi="仿宋" w:eastAsia="仿宋" w:cs="仿宋"/>
                <w:b/>
                <w:bCs/>
              </w:rPr>
              <w:t>补充</w:t>
            </w:r>
            <w:r>
              <w:rPr>
                <w:rFonts w:ascii="仿宋" w:hAnsi="仿宋" w:eastAsia="仿宋" w:cs="仿宋"/>
                <w:b/>
                <w:bCs/>
              </w:rPr>
              <w:t>1.4.3（12</w:t>
            </w:r>
            <w:r>
              <w:rPr>
                <w:rFonts w:hint="eastAsia" w:ascii="仿宋" w:hAnsi="仿宋" w:eastAsia="仿宋" w:cs="仿宋"/>
                <w:b/>
                <w:bCs/>
              </w:rPr>
              <w:t>）项为：</w:t>
            </w:r>
          </w:p>
          <w:p>
            <w:pPr>
              <w:spacing w:line="300" w:lineRule="auto"/>
              <w:ind w:right="105" w:rightChars="50" w:firstLine="210" w:firstLineChars="100"/>
              <w:jc w:val="left"/>
              <w:rPr>
                <w:rFonts w:ascii="仿宋" w:hAnsi="仿宋" w:eastAsia="仿宋" w:cs="仿宋"/>
              </w:rPr>
            </w:pPr>
            <w:r>
              <w:rPr>
                <w:rFonts w:hint="eastAsia" w:ascii="仿宋" w:hAnsi="仿宋" w:eastAsia="仿宋" w:cs="仿宋"/>
              </w:rPr>
              <w:t>(12)在最近三年内有骗取中标或严重违约或重大工程质量问题的（以省级行政主管部门的书面通报为准）；</w:t>
            </w:r>
          </w:p>
          <w:p>
            <w:pPr>
              <w:autoSpaceDE w:val="0"/>
              <w:autoSpaceDN w:val="0"/>
              <w:adjustRightInd w:val="0"/>
              <w:spacing w:line="300" w:lineRule="auto"/>
              <w:rPr>
                <w:rFonts w:ascii="仿宋" w:hAnsi="仿宋" w:eastAsia="仿宋" w:cs="仿宋"/>
                <w:b/>
                <w:kern w:val="0"/>
                <w:szCs w:val="21"/>
                <w:lang w:val="zh-CN"/>
              </w:rPr>
            </w:pPr>
            <w:r>
              <w:rPr>
                <w:rFonts w:hint="eastAsia" w:ascii="仿宋" w:hAnsi="仿宋" w:eastAsia="仿宋" w:cs="仿宋"/>
                <w:b/>
                <w:kern w:val="0"/>
                <w:szCs w:val="21"/>
                <w:lang w:val="zh-CN"/>
              </w:rPr>
              <w:t>补充1.4.4项：</w:t>
            </w:r>
          </w:p>
          <w:p>
            <w:pPr>
              <w:autoSpaceDE w:val="0"/>
              <w:autoSpaceDN w:val="0"/>
              <w:adjustRightInd w:val="0"/>
              <w:spacing w:line="300" w:lineRule="auto"/>
              <w:ind w:firstLine="210" w:firstLineChars="100"/>
              <w:rPr>
                <w:rFonts w:ascii="仿宋" w:hAnsi="仿宋" w:eastAsia="仿宋" w:cs="仿宋"/>
                <w:kern w:val="0"/>
                <w:szCs w:val="21"/>
              </w:rPr>
            </w:pPr>
            <w:r>
              <w:rPr>
                <w:rFonts w:hint="eastAsia" w:ascii="仿宋" w:hAnsi="仿宋" w:eastAsia="仿宋" w:cs="仿宋"/>
                <w:kern w:val="0"/>
                <w:szCs w:val="21"/>
              </w:rPr>
              <w:t>1.4.4 投标人不得存在下列不良状况或不良信用记录：</w:t>
            </w:r>
          </w:p>
          <w:p>
            <w:pPr>
              <w:autoSpaceDE w:val="0"/>
              <w:autoSpaceDN w:val="0"/>
              <w:adjustRightInd w:val="0"/>
              <w:spacing w:line="300" w:lineRule="auto"/>
              <w:rPr>
                <w:rFonts w:ascii="仿宋" w:hAnsi="仿宋" w:eastAsia="仿宋" w:cs="仿宋"/>
                <w:kern w:val="0"/>
                <w:szCs w:val="21"/>
              </w:rPr>
            </w:pPr>
            <w:r>
              <w:rPr>
                <w:rFonts w:hint="eastAsia" w:ascii="仿宋" w:hAnsi="仿宋" w:eastAsia="仿宋" w:cs="仿宋"/>
                <w:kern w:val="0"/>
                <w:szCs w:val="21"/>
              </w:rPr>
              <w:t>（1）被交通运输部、浙江省交通运输厅、浙江省发改委取消投标资格或禁止进入浙江省建设市场且处于有效期内的；</w:t>
            </w:r>
          </w:p>
          <w:p>
            <w:pPr>
              <w:autoSpaceDE w:val="0"/>
              <w:autoSpaceDN w:val="0"/>
              <w:adjustRightInd w:val="0"/>
              <w:spacing w:line="300" w:lineRule="auto"/>
              <w:rPr>
                <w:rFonts w:ascii="仿宋" w:hAnsi="仿宋" w:eastAsia="仿宋" w:cs="仿宋"/>
                <w:kern w:val="0"/>
                <w:szCs w:val="21"/>
              </w:rPr>
            </w:pPr>
            <w:r>
              <w:rPr>
                <w:rFonts w:hint="eastAsia" w:ascii="仿宋" w:hAnsi="仿宋" w:eastAsia="仿宋" w:cs="仿宋"/>
                <w:kern w:val="0"/>
                <w:szCs w:val="21"/>
              </w:rPr>
              <w:t>（2）被责令停业，暂扣或吊销执照，或吊销资质证书；</w:t>
            </w:r>
          </w:p>
          <w:p>
            <w:pPr>
              <w:autoSpaceDE w:val="0"/>
              <w:autoSpaceDN w:val="0"/>
              <w:adjustRightInd w:val="0"/>
              <w:spacing w:line="300" w:lineRule="auto"/>
              <w:rPr>
                <w:rFonts w:ascii="仿宋" w:hAnsi="仿宋" w:eastAsia="仿宋" w:cs="仿宋"/>
                <w:kern w:val="0"/>
                <w:szCs w:val="21"/>
              </w:rPr>
            </w:pPr>
            <w:r>
              <w:rPr>
                <w:rFonts w:hint="eastAsia" w:ascii="仿宋" w:hAnsi="仿宋" w:eastAsia="仿宋" w:cs="仿宋"/>
                <w:kern w:val="0"/>
                <w:szCs w:val="21"/>
              </w:rPr>
              <w:t>（3）进入清算程序，或被宣告破产，或其他丧失履约能力的情形；</w:t>
            </w:r>
          </w:p>
          <w:p>
            <w:pPr>
              <w:autoSpaceDE w:val="0"/>
              <w:autoSpaceDN w:val="0"/>
              <w:adjustRightInd w:val="0"/>
              <w:spacing w:line="300" w:lineRule="auto"/>
              <w:rPr>
                <w:rFonts w:ascii="仿宋" w:hAnsi="仿宋" w:eastAsia="仿宋" w:cs="仿宋"/>
                <w:kern w:val="0"/>
                <w:szCs w:val="21"/>
              </w:rPr>
            </w:pPr>
            <w:r>
              <w:rPr>
                <w:rFonts w:hint="eastAsia" w:ascii="仿宋" w:hAnsi="仿宋" w:eastAsia="仿宋" w:cs="仿宋"/>
                <w:kern w:val="0"/>
                <w:szCs w:val="21"/>
              </w:rPr>
              <w:t>（4）在国家企业信用信息公示系统（http://www.gsxt.gov.cn/）中被列入严重违法失信企业名单；</w:t>
            </w:r>
          </w:p>
          <w:p>
            <w:pPr>
              <w:autoSpaceDE w:val="0"/>
              <w:autoSpaceDN w:val="0"/>
              <w:adjustRightInd w:val="0"/>
              <w:spacing w:line="300" w:lineRule="auto"/>
              <w:rPr>
                <w:rFonts w:ascii="仿宋" w:hAnsi="仿宋" w:eastAsia="仿宋" w:cs="仿宋"/>
                <w:kern w:val="0"/>
                <w:szCs w:val="21"/>
              </w:rPr>
            </w:pPr>
            <w:r>
              <w:rPr>
                <w:rFonts w:hint="eastAsia" w:ascii="仿宋" w:hAnsi="仿宋" w:eastAsia="仿宋" w:cs="仿宋"/>
                <w:kern w:val="0"/>
                <w:szCs w:val="21"/>
              </w:rPr>
              <w:t>（5）在“信用中国”网站（http://www.creditchina.gov.cn/）中被列入失信被执行人名单；</w:t>
            </w:r>
          </w:p>
          <w:p>
            <w:pPr>
              <w:autoSpaceDE w:val="0"/>
              <w:autoSpaceDN w:val="0"/>
              <w:adjustRightInd w:val="0"/>
              <w:spacing w:line="300" w:lineRule="auto"/>
              <w:rPr>
                <w:rFonts w:ascii="仿宋" w:hAnsi="仿宋" w:eastAsia="仿宋" w:cs="仿宋"/>
                <w:kern w:val="0"/>
                <w:szCs w:val="21"/>
              </w:rPr>
            </w:pPr>
            <w:r>
              <w:rPr>
                <w:rFonts w:hint="eastAsia" w:ascii="仿宋" w:hAnsi="仿宋" w:eastAsia="仿宋" w:cs="仿宋"/>
                <w:kern w:val="0"/>
                <w:szCs w:val="21"/>
              </w:rPr>
              <w:t>（6）投标人须知前附表规定的时间内投标人、拟委任的项目经理有行贿犯罪行为并构成犯罪的（</w:t>
            </w:r>
            <w:r>
              <w:rPr>
                <w:rFonts w:hint="eastAsia" w:ascii="仿宋" w:hAnsi="仿宋" w:eastAsia="仿宋" w:cs="仿宋"/>
                <w:kern w:val="0"/>
                <w:szCs w:val="21"/>
                <w:lang w:val="zh-CN"/>
              </w:rPr>
              <w:t>以</w:t>
            </w:r>
            <w:r>
              <w:rPr>
                <w:rFonts w:hint="eastAsia" w:ascii="仿宋" w:hAnsi="仿宋" w:eastAsia="仿宋" w:cs="仿宋"/>
                <w:kern w:val="0"/>
                <w:szCs w:val="21"/>
              </w:rPr>
              <w:t>中国裁判文书（http://wenshu.court.gov.cn/）网站页面显示内容为准）；</w:t>
            </w:r>
          </w:p>
          <w:p>
            <w:pPr>
              <w:pStyle w:val="2"/>
              <w:spacing w:line="300" w:lineRule="auto"/>
              <w:ind w:firstLine="0" w:firstLineChars="0"/>
            </w:pPr>
            <w:r>
              <w:rPr>
                <w:rFonts w:hint="eastAsia" w:ascii="仿宋" w:hAnsi="仿宋" w:eastAsia="仿宋" w:cs="仿宋"/>
                <w:kern w:val="0"/>
                <w:sz w:val="21"/>
                <w:szCs w:val="21"/>
              </w:rPr>
              <w:t>（7）法律法规或投标人须知前附表规定的其他情形。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105" w:type="dxa"/>
            <w:gridSpan w:val="2"/>
            <w:tcBorders>
              <w:top w:val="single" w:color="auto" w:sz="6" w:space="0"/>
              <w:bottom w:val="single" w:color="auto" w:sz="6" w:space="0"/>
              <w:right w:val="single" w:color="auto" w:sz="6" w:space="0"/>
            </w:tcBorders>
            <w:vAlign w:val="center"/>
          </w:tcPr>
          <w:p>
            <w:pPr>
              <w:jc w:val="center"/>
              <w:rPr>
                <w:rFonts w:ascii="仿宋" w:hAnsi="仿宋" w:eastAsia="仿宋" w:cs="仿宋"/>
                <w:szCs w:val="21"/>
              </w:rPr>
            </w:pPr>
            <w:r>
              <w:rPr>
                <w:rFonts w:hint="eastAsia" w:ascii="仿宋" w:hAnsi="仿宋" w:eastAsia="仿宋" w:cs="仿宋"/>
                <w:b/>
              </w:rPr>
              <w:t>1.11</w:t>
            </w:r>
          </w:p>
        </w:tc>
        <w:tc>
          <w:tcPr>
            <w:tcW w:w="2179"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zCs w:val="21"/>
              </w:rPr>
            </w:pPr>
            <w:r>
              <w:rPr>
                <w:rFonts w:hint="eastAsia" w:ascii="仿宋" w:hAnsi="仿宋" w:eastAsia="仿宋" w:cs="仿宋"/>
              </w:rPr>
              <w:t>分包</w:t>
            </w:r>
          </w:p>
        </w:tc>
        <w:tc>
          <w:tcPr>
            <w:tcW w:w="6448" w:type="dxa"/>
            <w:gridSpan w:val="2"/>
            <w:tcBorders>
              <w:top w:val="single" w:color="auto" w:sz="6" w:space="0"/>
              <w:left w:val="single" w:color="auto" w:sz="6" w:space="0"/>
              <w:bottom w:val="single" w:color="auto" w:sz="6" w:space="0"/>
            </w:tcBorders>
            <w:vAlign w:val="center"/>
          </w:tcPr>
          <w:p>
            <w:pPr>
              <w:spacing w:line="276" w:lineRule="auto"/>
              <w:rPr>
                <w:rFonts w:ascii="仿宋" w:hAnsi="仿宋" w:eastAsia="仿宋" w:cs="仿宋"/>
                <w:b/>
                <w:szCs w:val="21"/>
              </w:rPr>
            </w:pPr>
            <w:r>
              <w:rPr>
                <w:rFonts w:hint="eastAsia" w:ascii="仿宋" w:hAnsi="仿宋" w:eastAsia="仿宋" w:cs="仿宋"/>
                <w:b/>
                <w:szCs w:val="21"/>
              </w:rPr>
              <w:t>第1.11款细化为：</w:t>
            </w:r>
          </w:p>
          <w:p>
            <w:pPr>
              <w:spacing w:line="300" w:lineRule="auto"/>
              <w:ind w:right="105" w:rightChars="50" w:firstLine="210" w:firstLineChars="100"/>
              <w:jc w:val="left"/>
              <w:rPr>
                <w:rFonts w:ascii="仿宋" w:hAnsi="仿宋" w:eastAsia="仿宋" w:cs="仿宋"/>
              </w:rPr>
            </w:pPr>
            <w:r>
              <w:rPr>
                <w:rFonts w:hint="eastAsia" w:ascii="仿宋" w:hAnsi="仿宋" w:eastAsia="仿宋" w:cs="仿宋"/>
              </w:rPr>
              <w:t>本项目严禁转包和违规分包，且不得再次分包。投标人拟在中标后将中标项目的部分工作进行分包的</w:t>
            </w:r>
            <w:r>
              <w:rPr>
                <w:rFonts w:hint="eastAsia" w:ascii="仿宋" w:hAnsi="仿宋" w:eastAsia="仿宋" w:cs="仿宋"/>
                <w:b/>
                <w:bCs/>
                <w:u w:val="single"/>
              </w:rPr>
              <w:t>（路面工程不允许分包）</w:t>
            </w:r>
            <w:r>
              <w:rPr>
                <w:rFonts w:hint="eastAsia" w:ascii="仿宋" w:hAnsi="仿宋" w:eastAsia="仿宋" w:cs="仿宋"/>
              </w:rPr>
              <w:t>应符合以下规定：</w:t>
            </w:r>
          </w:p>
          <w:p>
            <w:pPr>
              <w:spacing w:line="300" w:lineRule="auto"/>
              <w:ind w:right="105" w:rightChars="50" w:firstLine="210" w:firstLineChars="100"/>
              <w:jc w:val="left"/>
              <w:rPr>
                <w:rFonts w:ascii="仿宋" w:hAnsi="仿宋" w:eastAsia="仿宋" w:cs="仿宋"/>
              </w:rPr>
            </w:pPr>
            <w:r>
              <w:rPr>
                <w:rFonts w:hint="eastAsia" w:ascii="仿宋" w:hAnsi="仿宋" w:eastAsia="仿宋" w:cs="仿宋"/>
              </w:rPr>
              <w:t>接受分包的第三人资格要求：分包人的资格能力应与其分包工程的标准和规模相适应。</w:t>
            </w:r>
          </w:p>
          <w:p>
            <w:pPr>
              <w:spacing w:line="300" w:lineRule="auto"/>
              <w:ind w:right="105" w:rightChars="50" w:firstLine="210" w:firstLineChars="100"/>
              <w:jc w:val="left"/>
              <w:rPr>
                <w:rFonts w:ascii="仿宋" w:hAnsi="仿宋" w:eastAsia="仿宋" w:cs="仿宋"/>
              </w:rPr>
            </w:pPr>
            <w:r>
              <w:rPr>
                <w:rFonts w:hint="eastAsia" w:ascii="仿宋" w:hAnsi="仿宋" w:eastAsia="仿宋" w:cs="仿宋"/>
              </w:rPr>
              <w:t>分包应符合交通运输部《关于印发公路工程施工分包管理办法的通知》（交公路发〔2011〕685号）及浙江省交通运输厅《关于印发浙江省公路水运工程施工分包管理实施细则的通知》（浙交〔2012〕253号）有关分包管理的规定。</w:t>
            </w:r>
          </w:p>
          <w:p>
            <w:pPr>
              <w:spacing w:line="300" w:lineRule="auto"/>
              <w:ind w:right="105" w:rightChars="50" w:firstLine="210" w:firstLineChars="100"/>
              <w:jc w:val="left"/>
              <w:rPr>
                <w:rFonts w:ascii="仿宋" w:hAnsi="仿宋" w:eastAsia="仿宋" w:cs="仿宋"/>
                <w:szCs w:val="21"/>
              </w:rPr>
            </w:pPr>
            <w:r>
              <w:rPr>
                <w:rFonts w:hint="eastAsia" w:ascii="仿宋" w:hAnsi="仿宋" w:eastAsia="仿宋" w:cs="仿宋"/>
              </w:rPr>
              <w:t>其他要求：投标人如有分包计划，应按第八章“投标文件格式”的要求填写“拟分包项目情况表”。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105" w:type="dxa"/>
            <w:gridSpan w:val="2"/>
            <w:tcBorders>
              <w:top w:val="single" w:color="auto" w:sz="6" w:space="0"/>
              <w:bottom w:val="single" w:color="auto" w:sz="6" w:space="0"/>
              <w:right w:val="single" w:color="auto" w:sz="6" w:space="0"/>
            </w:tcBorders>
          </w:tcPr>
          <w:p>
            <w:pPr>
              <w:spacing w:line="216" w:lineRule="auto"/>
              <w:ind w:right="105" w:rightChars="50" w:firstLine="210" w:firstLineChars="100"/>
              <w:jc w:val="left"/>
              <w:rPr>
                <w:rFonts w:ascii="仿宋" w:hAnsi="仿宋" w:eastAsia="仿宋" w:cs="仿宋"/>
                <w:szCs w:val="21"/>
              </w:rPr>
            </w:pPr>
          </w:p>
          <w:p>
            <w:pPr>
              <w:spacing w:before="11" w:line="216" w:lineRule="auto"/>
              <w:ind w:right="105" w:rightChars="50" w:firstLine="210" w:firstLineChars="100"/>
              <w:jc w:val="left"/>
              <w:rPr>
                <w:rFonts w:ascii="仿宋" w:hAnsi="仿宋" w:eastAsia="仿宋" w:cs="仿宋"/>
                <w:szCs w:val="21"/>
              </w:rPr>
            </w:pPr>
          </w:p>
          <w:p>
            <w:pPr>
              <w:spacing w:line="216" w:lineRule="auto"/>
              <w:ind w:right="105" w:rightChars="50" w:firstLine="210" w:firstLineChars="100"/>
              <w:jc w:val="left"/>
              <w:rPr>
                <w:rFonts w:ascii="仿宋" w:hAnsi="仿宋" w:eastAsia="仿宋" w:cs="仿宋"/>
                <w:szCs w:val="21"/>
              </w:rPr>
            </w:pPr>
            <w:r>
              <w:rPr>
                <w:rFonts w:hint="eastAsia" w:ascii="仿宋" w:hAnsi="仿宋" w:eastAsia="仿宋" w:cs="仿宋"/>
                <w:szCs w:val="21"/>
              </w:rPr>
              <w:t>1.12</w:t>
            </w:r>
          </w:p>
        </w:tc>
        <w:tc>
          <w:tcPr>
            <w:tcW w:w="2179" w:type="dxa"/>
            <w:gridSpan w:val="3"/>
            <w:tcBorders>
              <w:top w:val="single" w:color="auto" w:sz="6" w:space="0"/>
              <w:left w:val="single" w:color="auto" w:sz="6" w:space="0"/>
              <w:bottom w:val="single" w:color="auto" w:sz="6" w:space="0"/>
              <w:right w:val="single" w:color="auto" w:sz="6" w:space="0"/>
            </w:tcBorders>
          </w:tcPr>
          <w:p>
            <w:pPr>
              <w:spacing w:line="216" w:lineRule="auto"/>
              <w:ind w:right="105" w:rightChars="50" w:firstLine="210" w:firstLineChars="100"/>
              <w:jc w:val="left"/>
              <w:rPr>
                <w:rFonts w:ascii="仿宋" w:hAnsi="仿宋" w:eastAsia="仿宋" w:cs="仿宋"/>
                <w:szCs w:val="21"/>
              </w:rPr>
            </w:pPr>
          </w:p>
          <w:p>
            <w:pPr>
              <w:spacing w:before="6" w:line="216" w:lineRule="auto"/>
              <w:ind w:right="105" w:rightChars="50" w:firstLine="210" w:firstLineChars="100"/>
              <w:jc w:val="left"/>
              <w:rPr>
                <w:rFonts w:ascii="仿宋" w:hAnsi="仿宋" w:eastAsia="仿宋" w:cs="仿宋"/>
                <w:szCs w:val="21"/>
              </w:rPr>
            </w:pPr>
          </w:p>
          <w:p>
            <w:pPr>
              <w:spacing w:line="216" w:lineRule="auto"/>
              <w:ind w:right="105" w:rightChars="50"/>
              <w:jc w:val="center"/>
              <w:rPr>
                <w:rFonts w:ascii="仿宋" w:hAnsi="仿宋" w:eastAsia="仿宋" w:cs="仿宋"/>
                <w:szCs w:val="21"/>
              </w:rPr>
            </w:pPr>
            <w:r>
              <w:rPr>
                <w:rFonts w:hint="eastAsia" w:ascii="仿宋" w:hAnsi="仿宋" w:eastAsia="仿宋" w:cs="仿宋"/>
                <w:szCs w:val="21"/>
              </w:rPr>
              <w:t>偏离</w:t>
            </w:r>
          </w:p>
        </w:tc>
        <w:tc>
          <w:tcPr>
            <w:tcW w:w="6448" w:type="dxa"/>
            <w:gridSpan w:val="2"/>
            <w:tcBorders>
              <w:top w:val="single" w:color="auto" w:sz="6" w:space="0"/>
              <w:left w:val="single" w:color="auto" w:sz="6" w:space="0"/>
              <w:bottom w:val="single" w:color="auto" w:sz="6" w:space="0"/>
            </w:tcBorders>
            <w:vAlign w:val="center"/>
          </w:tcPr>
          <w:p>
            <w:pPr>
              <w:spacing w:before="95" w:line="276" w:lineRule="auto"/>
              <w:ind w:right="105" w:rightChars="50"/>
              <w:rPr>
                <w:rFonts w:ascii="仿宋" w:hAnsi="仿宋" w:eastAsia="仿宋" w:cs="仿宋"/>
                <w:b/>
                <w:bCs/>
                <w:szCs w:val="21"/>
              </w:rPr>
            </w:pPr>
            <w:r>
              <w:rPr>
                <w:rFonts w:hint="eastAsia" w:ascii="仿宋" w:hAnsi="仿宋" w:eastAsia="仿宋" w:cs="仿宋"/>
                <w:b/>
                <w:bCs/>
                <w:szCs w:val="21"/>
              </w:rPr>
              <w:t>第1.12.3(2)目细化为：</w:t>
            </w:r>
          </w:p>
          <w:p>
            <w:pPr>
              <w:spacing w:before="1" w:line="276" w:lineRule="auto"/>
              <w:ind w:left="105" w:right="105" w:rightChars="50" w:firstLine="210" w:firstLineChars="100"/>
              <w:rPr>
                <w:rFonts w:ascii="仿宋" w:hAnsi="仿宋" w:eastAsia="仿宋" w:cs="仿宋"/>
                <w:b/>
                <w:bCs/>
                <w:szCs w:val="21"/>
              </w:rPr>
            </w:pPr>
            <w:r>
              <w:rPr>
                <w:rFonts w:hint="eastAsia" w:ascii="仿宋" w:hAnsi="仿宋" w:eastAsia="仿宋" w:cs="仿宋"/>
                <w:szCs w:val="21"/>
              </w:rPr>
              <w:t>(2)对于本章第 1.12.2 项(2)目所述的细微偏差，要求投标人对细微偏差进行澄清，只有投标人的澄清文件被三分之二及以上评标委员接受，投标人才能参加详细评审。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46" w:hRule="atLeast"/>
          <w:jc w:val="center"/>
        </w:trPr>
        <w:tc>
          <w:tcPr>
            <w:tcW w:w="1105" w:type="dxa"/>
            <w:gridSpan w:val="2"/>
            <w:tcBorders>
              <w:top w:val="single" w:color="auto" w:sz="6" w:space="0"/>
              <w:bottom w:val="single" w:color="auto" w:sz="6" w:space="0"/>
              <w:right w:val="single" w:color="auto" w:sz="6" w:space="0"/>
            </w:tcBorders>
            <w:vAlign w:val="center"/>
          </w:tcPr>
          <w:p>
            <w:pPr>
              <w:spacing w:beforeLines="50"/>
              <w:jc w:val="center"/>
              <w:rPr>
                <w:rFonts w:ascii="仿宋" w:hAnsi="仿宋" w:eastAsia="仿宋" w:cs="仿宋"/>
                <w:szCs w:val="21"/>
              </w:rPr>
            </w:pPr>
            <w:r>
              <w:rPr>
                <w:rFonts w:hint="eastAsia" w:ascii="仿宋" w:hAnsi="仿宋" w:eastAsia="仿宋" w:cs="仿宋"/>
                <w:szCs w:val="21"/>
              </w:rPr>
              <w:t>2.1</w:t>
            </w:r>
          </w:p>
        </w:tc>
        <w:tc>
          <w:tcPr>
            <w:tcW w:w="2179"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zCs w:val="21"/>
              </w:rPr>
            </w:pPr>
            <w:r>
              <w:rPr>
                <w:rFonts w:hint="eastAsia" w:ascii="仿宋" w:hAnsi="仿宋" w:eastAsia="仿宋" w:cs="仿宋"/>
                <w:szCs w:val="21"/>
              </w:rPr>
              <w:t>招标文件的组成</w:t>
            </w:r>
          </w:p>
        </w:tc>
        <w:tc>
          <w:tcPr>
            <w:tcW w:w="6448" w:type="dxa"/>
            <w:gridSpan w:val="2"/>
            <w:tcBorders>
              <w:top w:val="single" w:color="auto" w:sz="6" w:space="0"/>
              <w:left w:val="single" w:color="auto" w:sz="6" w:space="0"/>
              <w:bottom w:val="single" w:color="auto" w:sz="6" w:space="0"/>
            </w:tcBorders>
            <w:vAlign w:val="center"/>
          </w:tcPr>
          <w:p>
            <w:pPr>
              <w:spacing w:line="400" w:lineRule="exact"/>
              <w:rPr>
                <w:rFonts w:ascii="仿宋" w:hAnsi="仿宋" w:eastAsia="仿宋" w:cs="仿宋"/>
                <w:b/>
                <w:szCs w:val="21"/>
              </w:rPr>
            </w:pPr>
            <w:r>
              <w:rPr>
                <w:rFonts w:hint="eastAsia" w:ascii="仿宋" w:hAnsi="仿宋" w:eastAsia="仿宋" w:cs="仿宋"/>
                <w:b/>
                <w:szCs w:val="21"/>
              </w:rPr>
              <w:t>2.1 款最后一段细化为：</w:t>
            </w:r>
          </w:p>
          <w:p>
            <w:pPr>
              <w:spacing w:before="50"/>
              <w:ind w:firstLine="420" w:firstLineChars="200"/>
              <w:rPr>
                <w:rFonts w:ascii="仿宋" w:hAnsi="仿宋" w:eastAsia="仿宋" w:cs="仿宋"/>
                <w:b/>
                <w:bCs/>
                <w:szCs w:val="21"/>
              </w:rPr>
            </w:pPr>
            <w:r>
              <w:rPr>
                <w:rFonts w:hint="eastAsia" w:ascii="仿宋" w:hAnsi="仿宋" w:eastAsia="仿宋" w:cs="仿宋"/>
              </w:rPr>
              <w:t>本项目招标文件采用网上下载，内容均以网上下载电子版为准；当招标文件、补遗书（补充、澄清、修改文件）在同一内容的表述上不一致时，以在杭州市公共资源交易网在后发出的电子文件为准。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46" w:hRule="atLeast"/>
          <w:jc w:val="center"/>
        </w:trPr>
        <w:tc>
          <w:tcPr>
            <w:tcW w:w="1105" w:type="dxa"/>
            <w:gridSpan w:val="2"/>
            <w:tcBorders>
              <w:top w:val="single" w:color="auto" w:sz="6" w:space="0"/>
              <w:bottom w:val="single" w:color="auto" w:sz="6" w:space="0"/>
              <w:right w:val="single" w:color="auto" w:sz="6" w:space="0"/>
            </w:tcBorders>
            <w:vAlign w:val="center"/>
          </w:tcPr>
          <w:p>
            <w:pPr>
              <w:spacing w:beforeLines="50"/>
              <w:jc w:val="center"/>
              <w:rPr>
                <w:rFonts w:ascii="仿宋" w:hAnsi="仿宋" w:eastAsia="仿宋" w:cs="仿宋"/>
                <w:szCs w:val="21"/>
              </w:rPr>
            </w:pPr>
            <w:r>
              <w:rPr>
                <w:rFonts w:hint="eastAsia" w:ascii="仿宋" w:hAnsi="仿宋" w:eastAsia="仿宋" w:cs="仿宋"/>
                <w:b/>
                <w:szCs w:val="21"/>
              </w:rPr>
              <w:t>2.2</w:t>
            </w:r>
          </w:p>
        </w:tc>
        <w:tc>
          <w:tcPr>
            <w:tcW w:w="2179"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zCs w:val="21"/>
              </w:rPr>
            </w:pPr>
            <w:r>
              <w:rPr>
                <w:rFonts w:hint="eastAsia" w:ascii="仿宋" w:hAnsi="仿宋" w:eastAsia="仿宋" w:cs="仿宋"/>
                <w:szCs w:val="21"/>
              </w:rPr>
              <w:t>招标文件的澄清</w:t>
            </w:r>
          </w:p>
        </w:tc>
        <w:tc>
          <w:tcPr>
            <w:tcW w:w="6448" w:type="dxa"/>
            <w:gridSpan w:val="2"/>
            <w:tcBorders>
              <w:top w:val="single" w:color="auto" w:sz="6" w:space="0"/>
              <w:left w:val="single" w:color="auto" w:sz="6" w:space="0"/>
              <w:bottom w:val="single" w:color="auto" w:sz="6" w:space="0"/>
            </w:tcBorders>
            <w:vAlign w:val="center"/>
          </w:tcPr>
          <w:p>
            <w:pPr>
              <w:spacing w:before="50"/>
              <w:rPr>
                <w:rFonts w:ascii="仿宋" w:hAnsi="仿宋" w:eastAsia="仿宋" w:cs="仿宋"/>
                <w:b/>
                <w:szCs w:val="21"/>
              </w:rPr>
            </w:pPr>
            <w:r>
              <w:rPr>
                <w:rFonts w:hint="eastAsia" w:ascii="仿宋" w:hAnsi="仿宋" w:eastAsia="仿宋" w:cs="仿宋"/>
                <w:b/>
                <w:szCs w:val="21"/>
              </w:rPr>
              <w:t>第2.2条细化为：</w:t>
            </w:r>
          </w:p>
          <w:p>
            <w:pPr>
              <w:spacing w:before="50"/>
              <w:ind w:firstLine="420" w:firstLineChars="200"/>
              <w:rPr>
                <w:rFonts w:ascii="仿宋" w:hAnsi="仿宋" w:eastAsia="仿宋" w:cs="仿宋"/>
              </w:rPr>
            </w:pPr>
            <w:r>
              <w:rPr>
                <w:rFonts w:hint="eastAsia" w:ascii="仿宋" w:hAnsi="仿宋" w:eastAsia="仿宋" w:cs="仿宋"/>
              </w:rPr>
              <w:t>2.2.1投标人应仔细阅读和检查招标文件的全部内容。如发现缺页或附件不全，应及时向招标人提出，以便补齐。如有疑问，应在投标人须知前附表规定的时间前，登陆杭州市公共资源交易网在本招标项目招标公告的下方“网上提疑”栏在线向招标人提出，要求招标人对招标文件予以澄清。</w:t>
            </w:r>
          </w:p>
          <w:p>
            <w:pPr>
              <w:spacing w:before="50"/>
              <w:ind w:firstLine="420" w:firstLineChars="200"/>
              <w:rPr>
                <w:rFonts w:ascii="仿宋" w:hAnsi="仿宋" w:eastAsia="仿宋" w:cs="仿宋"/>
              </w:rPr>
            </w:pPr>
            <w:r>
              <w:rPr>
                <w:rFonts w:hint="eastAsia" w:ascii="仿宋" w:hAnsi="仿宋" w:eastAsia="仿宋" w:cs="仿宋"/>
              </w:rPr>
              <w:t>2.2.2招标文件澄清的内容影响投标文件编制的，招标人将在投标人须知前附表规定的投标截止时间15日前，以电子文件形式上传至“电子交易平台”供投标人下载，不足15天的，招标人将顺延递交投标文件的截止时间。</w:t>
            </w:r>
          </w:p>
          <w:p>
            <w:pPr>
              <w:spacing w:before="50"/>
              <w:ind w:firstLine="420" w:firstLineChars="200"/>
              <w:rPr>
                <w:rFonts w:ascii="仿宋" w:hAnsi="仿宋" w:eastAsia="仿宋" w:cs="仿宋"/>
              </w:rPr>
            </w:pPr>
            <w:r>
              <w:rPr>
                <w:rFonts w:hint="eastAsia" w:ascii="仿宋" w:hAnsi="仿宋" w:eastAsia="仿宋" w:cs="仿宋"/>
              </w:rPr>
              <w:t>澄清的内容不影响投标文件编制的，将在投标人须知前附表规定的投标截止时间7天前</w:t>
            </w:r>
            <w:r>
              <w:rPr>
                <w:rFonts w:hint="eastAsia" w:ascii="仿宋" w:hAnsi="仿宋" w:eastAsia="仿宋" w:cs="仿宋"/>
                <w:b/>
                <w:bCs/>
                <w:color w:val="0000FF"/>
                <w:lang w:eastAsia="zh-CN"/>
              </w:rPr>
              <w:t>（包括但不限于工程量清单、清单预算、投标控制价）</w:t>
            </w:r>
            <w:r>
              <w:rPr>
                <w:rFonts w:hint="eastAsia" w:ascii="仿宋" w:hAnsi="仿宋" w:eastAsia="仿宋" w:cs="仿宋"/>
              </w:rPr>
              <w:t>，以上款相同的形式发布。</w:t>
            </w:r>
          </w:p>
          <w:p>
            <w:pPr>
              <w:spacing w:before="50"/>
              <w:ind w:firstLine="420" w:firstLineChars="200"/>
              <w:rPr>
                <w:rFonts w:ascii="仿宋" w:hAnsi="仿宋" w:eastAsia="仿宋" w:cs="仿宋"/>
                <w:b/>
                <w:bCs/>
                <w:szCs w:val="21"/>
              </w:rPr>
            </w:pPr>
            <w:r>
              <w:rPr>
                <w:rFonts w:hint="eastAsia" w:ascii="仿宋" w:hAnsi="仿宋" w:eastAsia="仿宋" w:cs="仿宋"/>
              </w:rPr>
              <w:t>2.2.3投标人在收到澄清后无需向招标人确认。潜在投标人应自行关注“电子交易平台”，招标人不再一一通知。投标人因自身贻误行为导致投标失败的，责任自负。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6" w:hRule="atLeast"/>
          <w:jc w:val="center"/>
        </w:trPr>
        <w:tc>
          <w:tcPr>
            <w:tcW w:w="1105" w:type="dxa"/>
            <w:gridSpan w:val="2"/>
            <w:tcBorders>
              <w:top w:val="single" w:color="auto" w:sz="6" w:space="0"/>
              <w:bottom w:val="single" w:color="auto" w:sz="6" w:space="0"/>
              <w:right w:val="single" w:color="auto" w:sz="6" w:space="0"/>
            </w:tcBorders>
            <w:vAlign w:val="center"/>
          </w:tcPr>
          <w:p>
            <w:pPr>
              <w:spacing w:beforeLines="50"/>
              <w:jc w:val="center"/>
              <w:rPr>
                <w:rFonts w:ascii="仿宋" w:hAnsi="仿宋" w:eastAsia="仿宋" w:cs="仿宋"/>
                <w:szCs w:val="21"/>
              </w:rPr>
            </w:pPr>
            <w:r>
              <w:rPr>
                <w:rFonts w:hint="eastAsia" w:ascii="仿宋" w:hAnsi="仿宋" w:eastAsia="仿宋" w:cs="仿宋"/>
                <w:b/>
                <w:szCs w:val="21"/>
              </w:rPr>
              <w:t>2.3</w:t>
            </w:r>
          </w:p>
        </w:tc>
        <w:tc>
          <w:tcPr>
            <w:tcW w:w="2179"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zCs w:val="21"/>
              </w:rPr>
            </w:pPr>
            <w:r>
              <w:rPr>
                <w:rFonts w:hint="eastAsia" w:ascii="仿宋" w:hAnsi="仿宋" w:eastAsia="仿宋" w:cs="仿宋"/>
                <w:szCs w:val="21"/>
              </w:rPr>
              <w:t>招标文件的修改</w:t>
            </w:r>
          </w:p>
        </w:tc>
        <w:tc>
          <w:tcPr>
            <w:tcW w:w="6448" w:type="dxa"/>
            <w:gridSpan w:val="2"/>
            <w:tcBorders>
              <w:top w:val="single" w:color="auto" w:sz="6" w:space="0"/>
              <w:left w:val="single" w:color="auto" w:sz="6" w:space="0"/>
              <w:bottom w:val="single" w:color="auto" w:sz="6" w:space="0"/>
            </w:tcBorders>
            <w:vAlign w:val="center"/>
          </w:tcPr>
          <w:p>
            <w:pPr>
              <w:spacing w:before="50" w:line="340" w:lineRule="exact"/>
              <w:rPr>
                <w:rFonts w:ascii="仿宋" w:hAnsi="仿宋" w:eastAsia="仿宋" w:cs="仿宋"/>
                <w:b/>
                <w:szCs w:val="21"/>
              </w:rPr>
            </w:pPr>
            <w:r>
              <w:rPr>
                <w:rFonts w:hint="eastAsia" w:ascii="仿宋" w:hAnsi="仿宋" w:eastAsia="仿宋" w:cs="仿宋"/>
                <w:b/>
                <w:szCs w:val="21"/>
              </w:rPr>
              <w:t>第2.3条细化为：</w:t>
            </w:r>
          </w:p>
          <w:p>
            <w:pPr>
              <w:spacing w:before="50"/>
              <w:ind w:firstLine="420" w:firstLineChars="200"/>
              <w:rPr>
                <w:rFonts w:ascii="仿宋" w:hAnsi="仿宋" w:eastAsia="仿宋" w:cs="仿宋"/>
              </w:rPr>
            </w:pPr>
            <w:r>
              <w:rPr>
                <w:rFonts w:hint="eastAsia" w:ascii="仿宋" w:hAnsi="仿宋" w:eastAsia="仿宋" w:cs="仿宋"/>
              </w:rPr>
              <w:t>2.3.1修改、补充的内容影响投标文件编制的，招标人将在投标截止时间15天前，以电子文件形式上传“电子交易平台”供潜在投标人自行下载，不足15天的，招标人将顺延递交投标文件的截止时间。</w:t>
            </w:r>
          </w:p>
          <w:p>
            <w:pPr>
              <w:spacing w:before="50"/>
              <w:ind w:firstLine="420" w:firstLineChars="200"/>
              <w:rPr>
                <w:rFonts w:ascii="仿宋" w:hAnsi="仿宋" w:eastAsia="仿宋" w:cs="仿宋"/>
              </w:rPr>
            </w:pPr>
            <w:r>
              <w:rPr>
                <w:rFonts w:hint="eastAsia" w:ascii="仿宋" w:hAnsi="仿宋" w:eastAsia="仿宋" w:cs="仿宋"/>
              </w:rPr>
              <w:t>修改、补充的内容不影响投标文件编制的，将在投标人须知前附表规定的投标截止时间7天前</w:t>
            </w:r>
            <w:r>
              <w:rPr>
                <w:rFonts w:hint="eastAsia" w:ascii="仿宋" w:hAnsi="仿宋" w:eastAsia="仿宋" w:cs="仿宋"/>
                <w:b/>
                <w:bCs/>
                <w:color w:val="0000FF"/>
                <w:lang w:eastAsia="zh-CN"/>
              </w:rPr>
              <w:t>（包括但不限于工程量清单、清单预算、投标控制价）</w:t>
            </w:r>
            <w:r>
              <w:rPr>
                <w:rFonts w:hint="eastAsia" w:ascii="仿宋" w:hAnsi="仿宋" w:eastAsia="仿宋" w:cs="仿宋"/>
              </w:rPr>
              <w:t>，以上款相同的形式发布。</w:t>
            </w:r>
          </w:p>
          <w:p>
            <w:pPr>
              <w:spacing w:before="50"/>
              <w:ind w:firstLine="420" w:firstLineChars="200"/>
              <w:rPr>
                <w:rFonts w:ascii="仿宋" w:hAnsi="仿宋" w:eastAsia="仿宋" w:cs="仿宋"/>
                <w:b/>
                <w:bCs/>
                <w:szCs w:val="21"/>
              </w:rPr>
            </w:pPr>
            <w:r>
              <w:rPr>
                <w:rFonts w:hint="eastAsia" w:ascii="仿宋" w:hAnsi="仿宋" w:eastAsia="仿宋" w:cs="仿宋"/>
              </w:rPr>
              <w:t>2.3.2投标人在收到修改内容后无需向招标人确认。潜在投标人应自行关注“电子交易平台”，招标人不再一一通知。投标人因自身贻误行为导致投标失败的，责任自负。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20" w:hRule="atLeast"/>
          <w:jc w:val="center"/>
        </w:trPr>
        <w:tc>
          <w:tcPr>
            <w:tcW w:w="1105" w:type="dxa"/>
            <w:gridSpan w:val="2"/>
            <w:tcBorders>
              <w:top w:val="single" w:color="auto" w:sz="6" w:space="0"/>
              <w:bottom w:val="single" w:color="auto" w:sz="6" w:space="0"/>
              <w:right w:val="single" w:color="auto" w:sz="6" w:space="0"/>
            </w:tcBorders>
            <w:vAlign w:val="center"/>
          </w:tcPr>
          <w:p>
            <w:pPr>
              <w:spacing w:line="240" w:lineRule="exact"/>
              <w:ind w:left="207" w:right="207"/>
              <w:jc w:val="center"/>
              <w:rPr>
                <w:rFonts w:ascii="仿宋" w:hAnsi="仿宋" w:eastAsia="仿宋" w:cs="仿宋"/>
                <w:szCs w:val="21"/>
              </w:rPr>
            </w:pPr>
            <w:r>
              <w:rPr>
                <w:rFonts w:hint="eastAsia" w:ascii="仿宋" w:hAnsi="仿宋" w:eastAsia="仿宋" w:cs="仿宋"/>
                <w:szCs w:val="21"/>
              </w:rPr>
              <w:t>3.1</w:t>
            </w:r>
          </w:p>
        </w:tc>
        <w:tc>
          <w:tcPr>
            <w:tcW w:w="2179" w:type="dxa"/>
            <w:gridSpan w:val="3"/>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仿宋" w:hAnsi="仿宋" w:eastAsia="仿宋" w:cs="仿宋"/>
                <w:szCs w:val="21"/>
              </w:rPr>
            </w:pPr>
            <w:r>
              <w:rPr>
                <w:rFonts w:hint="eastAsia" w:ascii="仿宋" w:hAnsi="仿宋" w:eastAsia="仿宋" w:cs="仿宋"/>
                <w:szCs w:val="21"/>
              </w:rPr>
              <w:t>投标文件的</w:t>
            </w:r>
          </w:p>
          <w:p>
            <w:pPr>
              <w:spacing w:line="300" w:lineRule="exact"/>
              <w:ind w:left="105"/>
              <w:jc w:val="center"/>
              <w:rPr>
                <w:rFonts w:ascii="仿宋" w:hAnsi="仿宋" w:eastAsia="仿宋" w:cs="仿宋"/>
                <w:szCs w:val="21"/>
              </w:rPr>
            </w:pPr>
            <w:r>
              <w:rPr>
                <w:rFonts w:hint="eastAsia" w:ascii="仿宋" w:hAnsi="仿宋" w:eastAsia="仿宋" w:cs="仿宋"/>
                <w:szCs w:val="21"/>
              </w:rPr>
              <w:t>组成</w:t>
            </w:r>
          </w:p>
        </w:tc>
        <w:tc>
          <w:tcPr>
            <w:tcW w:w="6448" w:type="dxa"/>
            <w:gridSpan w:val="2"/>
            <w:tcBorders>
              <w:top w:val="single" w:color="auto" w:sz="6" w:space="0"/>
              <w:left w:val="single" w:color="auto" w:sz="6" w:space="0"/>
              <w:bottom w:val="single" w:color="auto" w:sz="6" w:space="0"/>
            </w:tcBorders>
            <w:vAlign w:val="center"/>
          </w:tcPr>
          <w:p>
            <w:pPr>
              <w:spacing w:line="276" w:lineRule="auto"/>
              <w:ind w:firstLine="211" w:firstLineChars="100"/>
              <w:jc w:val="left"/>
              <w:rPr>
                <w:rFonts w:ascii="仿宋" w:hAnsi="仿宋" w:eastAsia="仿宋" w:cs="仿宋"/>
                <w:b/>
                <w:bCs/>
                <w:szCs w:val="21"/>
              </w:rPr>
            </w:pPr>
            <w:r>
              <w:rPr>
                <w:rFonts w:hint="eastAsia" w:ascii="仿宋" w:hAnsi="仿宋" w:eastAsia="仿宋" w:cs="仿宋"/>
                <w:b/>
                <w:bCs/>
                <w:szCs w:val="21"/>
              </w:rPr>
              <w:t>第 3.1.1项细化为：</w:t>
            </w:r>
          </w:p>
          <w:p>
            <w:pPr>
              <w:spacing w:line="276" w:lineRule="auto"/>
              <w:ind w:firstLine="210" w:firstLineChars="100"/>
              <w:jc w:val="left"/>
              <w:rPr>
                <w:rFonts w:ascii="仿宋" w:hAnsi="仿宋" w:eastAsia="仿宋" w:cs="仿宋"/>
                <w:szCs w:val="21"/>
              </w:rPr>
            </w:pPr>
            <w:r>
              <w:rPr>
                <w:rFonts w:hint="eastAsia" w:ascii="仿宋" w:hAnsi="仿宋" w:eastAsia="仿宋" w:cs="仿宋"/>
                <w:szCs w:val="21"/>
              </w:rPr>
              <w:t>3.1.1 投标文件应包括下列内容：</w:t>
            </w:r>
          </w:p>
          <w:p>
            <w:pPr>
              <w:spacing w:line="276" w:lineRule="auto"/>
              <w:ind w:firstLine="210" w:firstLineChars="100"/>
              <w:jc w:val="left"/>
              <w:rPr>
                <w:rFonts w:ascii="仿宋" w:hAnsi="仿宋" w:eastAsia="仿宋" w:cs="仿宋"/>
                <w:szCs w:val="21"/>
              </w:rPr>
            </w:pPr>
            <w:r>
              <w:rPr>
                <w:rFonts w:hint="eastAsia" w:ascii="仿宋" w:hAnsi="仿宋" w:eastAsia="仿宋" w:cs="仿宋"/>
                <w:szCs w:val="21"/>
              </w:rPr>
              <w:t>(1)投标函及投标函附录；</w:t>
            </w:r>
          </w:p>
          <w:p>
            <w:pPr>
              <w:spacing w:line="276" w:lineRule="auto"/>
              <w:ind w:firstLine="210" w:firstLineChars="100"/>
              <w:jc w:val="left"/>
              <w:rPr>
                <w:rFonts w:ascii="仿宋" w:hAnsi="仿宋" w:eastAsia="仿宋" w:cs="仿宋"/>
                <w:szCs w:val="21"/>
              </w:rPr>
            </w:pPr>
            <w:r>
              <w:rPr>
                <w:rFonts w:hint="eastAsia" w:ascii="仿宋" w:hAnsi="仿宋" w:eastAsia="仿宋" w:cs="仿宋"/>
                <w:szCs w:val="21"/>
              </w:rPr>
              <w:t>(2)法定代表人身份证明或附有法定代表人身份证明的授权委托书；</w:t>
            </w:r>
          </w:p>
          <w:p>
            <w:pPr>
              <w:spacing w:line="276" w:lineRule="auto"/>
              <w:ind w:firstLine="210" w:firstLineChars="100"/>
              <w:jc w:val="left"/>
              <w:rPr>
                <w:rFonts w:ascii="仿宋" w:hAnsi="仿宋" w:eastAsia="仿宋" w:cs="仿宋"/>
                <w:szCs w:val="21"/>
              </w:rPr>
            </w:pPr>
            <w:r>
              <w:rPr>
                <w:rFonts w:hint="eastAsia" w:ascii="仿宋" w:hAnsi="仿宋" w:eastAsia="仿宋" w:cs="仿宋"/>
                <w:szCs w:val="21"/>
              </w:rPr>
              <w:t>(3)已标价工程量清单；</w:t>
            </w:r>
          </w:p>
          <w:p>
            <w:pPr>
              <w:spacing w:line="276" w:lineRule="auto"/>
              <w:ind w:firstLine="210" w:firstLineChars="100"/>
              <w:jc w:val="left"/>
              <w:rPr>
                <w:rFonts w:ascii="仿宋" w:hAnsi="仿宋" w:eastAsia="仿宋" w:cs="仿宋"/>
                <w:szCs w:val="21"/>
              </w:rPr>
            </w:pPr>
            <w:r>
              <w:rPr>
                <w:rFonts w:hint="eastAsia" w:ascii="仿宋" w:hAnsi="仿宋" w:eastAsia="仿宋" w:cs="仿宋"/>
                <w:szCs w:val="21"/>
              </w:rPr>
              <w:t>(4)施工组织设计；</w:t>
            </w:r>
          </w:p>
          <w:p>
            <w:pPr>
              <w:spacing w:line="276" w:lineRule="auto"/>
              <w:ind w:firstLine="210" w:firstLineChars="100"/>
              <w:jc w:val="left"/>
              <w:rPr>
                <w:rFonts w:ascii="仿宋" w:hAnsi="仿宋" w:eastAsia="仿宋" w:cs="仿宋"/>
                <w:szCs w:val="21"/>
              </w:rPr>
            </w:pPr>
            <w:r>
              <w:rPr>
                <w:rFonts w:hint="eastAsia" w:ascii="仿宋" w:hAnsi="仿宋" w:eastAsia="仿宋" w:cs="仿宋"/>
                <w:szCs w:val="21"/>
              </w:rPr>
              <w:t>(5)项目管理机构；</w:t>
            </w:r>
          </w:p>
          <w:p>
            <w:pPr>
              <w:spacing w:line="276" w:lineRule="auto"/>
              <w:ind w:firstLine="210" w:firstLineChars="100"/>
              <w:jc w:val="left"/>
              <w:rPr>
                <w:rFonts w:ascii="仿宋" w:hAnsi="仿宋" w:eastAsia="仿宋" w:cs="仿宋"/>
                <w:szCs w:val="21"/>
              </w:rPr>
            </w:pPr>
            <w:r>
              <w:rPr>
                <w:rFonts w:hint="eastAsia" w:ascii="仿宋" w:hAnsi="仿宋" w:eastAsia="仿宋" w:cs="仿宋"/>
                <w:szCs w:val="21"/>
              </w:rPr>
              <w:t>(6)拟分包项目情况表；</w:t>
            </w:r>
          </w:p>
          <w:p>
            <w:pPr>
              <w:spacing w:line="276" w:lineRule="auto"/>
              <w:ind w:firstLine="210" w:firstLineChars="100"/>
              <w:jc w:val="left"/>
              <w:rPr>
                <w:rFonts w:ascii="仿宋" w:hAnsi="仿宋" w:eastAsia="仿宋" w:cs="仿宋"/>
                <w:szCs w:val="21"/>
              </w:rPr>
            </w:pPr>
            <w:r>
              <w:rPr>
                <w:rFonts w:hint="eastAsia" w:ascii="仿宋" w:hAnsi="仿宋" w:eastAsia="仿宋" w:cs="仿宋"/>
                <w:szCs w:val="21"/>
              </w:rPr>
              <w:t>(7)资格审查资料；</w:t>
            </w:r>
          </w:p>
          <w:p>
            <w:pPr>
              <w:spacing w:line="276" w:lineRule="auto"/>
              <w:ind w:firstLine="210" w:firstLineChars="100"/>
              <w:jc w:val="left"/>
              <w:rPr>
                <w:rFonts w:ascii="仿宋" w:hAnsi="仿宋" w:eastAsia="仿宋" w:cs="仿宋"/>
                <w:szCs w:val="21"/>
              </w:rPr>
            </w:pPr>
            <w:r>
              <w:rPr>
                <w:rFonts w:hint="eastAsia" w:ascii="仿宋" w:hAnsi="仿宋" w:eastAsia="仿宋" w:cs="仿宋"/>
                <w:szCs w:val="21"/>
              </w:rPr>
              <w:t>(8)承诺函；</w:t>
            </w:r>
          </w:p>
          <w:p>
            <w:pPr>
              <w:spacing w:line="276" w:lineRule="auto"/>
              <w:ind w:firstLine="210" w:firstLineChars="100"/>
              <w:jc w:val="left"/>
              <w:rPr>
                <w:rFonts w:ascii="仿宋" w:hAnsi="仿宋" w:eastAsia="仿宋" w:cs="仿宋"/>
                <w:szCs w:val="21"/>
              </w:rPr>
            </w:pPr>
            <w:r>
              <w:rPr>
                <w:rFonts w:hint="eastAsia" w:ascii="仿宋" w:hAnsi="仿宋" w:eastAsia="仿宋" w:cs="仿宋"/>
                <w:szCs w:val="21"/>
              </w:rPr>
              <w:t>(9)投标人须知前附表规定的其他材料（包括编号的补遗书）。</w:t>
            </w:r>
          </w:p>
          <w:p>
            <w:pPr>
              <w:spacing w:line="276" w:lineRule="auto"/>
              <w:ind w:firstLine="211" w:firstLineChars="100"/>
              <w:jc w:val="left"/>
              <w:rPr>
                <w:rFonts w:ascii="仿宋" w:hAnsi="仿宋" w:eastAsia="仿宋" w:cs="仿宋"/>
                <w:szCs w:val="21"/>
              </w:rPr>
            </w:pPr>
            <w:r>
              <w:rPr>
                <w:rFonts w:hint="eastAsia" w:ascii="仿宋" w:hAnsi="仿宋" w:eastAsia="仿宋" w:cs="仿宋"/>
                <w:b/>
                <w:bCs/>
                <w:szCs w:val="21"/>
              </w:rPr>
              <w:t>以上内容必须按招标文件第八章的格式和要求填报，除招标文件另有规定外，投标人不得修改。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1" w:hRule="atLeast"/>
          <w:jc w:val="center"/>
        </w:trPr>
        <w:tc>
          <w:tcPr>
            <w:tcW w:w="1105" w:type="dxa"/>
            <w:gridSpan w:val="2"/>
            <w:tcBorders>
              <w:top w:val="single" w:color="auto" w:sz="6" w:space="0"/>
              <w:bottom w:val="single" w:color="auto" w:sz="4" w:space="0"/>
              <w:right w:val="single" w:color="auto" w:sz="6"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3.2</w:t>
            </w:r>
          </w:p>
        </w:tc>
        <w:tc>
          <w:tcPr>
            <w:tcW w:w="2179" w:type="dxa"/>
            <w:gridSpan w:val="3"/>
            <w:tcBorders>
              <w:top w:val="single" w:color="auto" w:sz="6" w:space="0"/>
              <w:left w:val="single" w:color="auto" w:sz="6" w:space="0"/>
              <w:bottom w:val="single" w:color="auto" w:sz="4" w:space="0"/>
              <w:right w:val="single" w:color="auto" w:sz="6" w:space="0"/>
            </w:tcBorders>
            <w:vAlign w:val="center"/>
          </w:tcPr>
          <w:p>
            <w:pPr>
              <w:spacing w:line="300" w:lineRule="exact"/>
              <w:jc w:val="center"/>
              <w:rPr>
                <w:rFonts w:ascii="仿宋" w:hAnsi="仿宋" w:eastAsia="仿宋" w:cs="仿宋"/>
                <w:szCs w:val="21"/>
              </w:rPr>
            </w:pPr>
            <w:r>
              <w:rPr>
                <w:rFonts w:hint="eastAsia" w:ascii="仿宋" w:hAnsi="仿宋" w:eastAsia="仿宋" w:cs="仿宋"/>
                <w:szCs w:val="21"/>
              </w:rPr>
              <w:t>投标报价</w:t>
            </w:r>
          </w:p>
        </w:tc>
        <w:tc>
          <w:tcPr>
            <w:tcW w:w="6448" w:type="dxa"/>
            <w:gridSpan w:val="2"/>
            <w:tcBorders>
              <w:top w:val="single" w:color="auto" w:sz="6" w:space="0"/>
              <w:left w:val="single" w:color="auto" w:sz="6"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pPr>
            <w:r>
              <w:rPr>
                <w:rFonts w:hint="eastAsia"/>
              </w:rPr>
              <w:t>补充第3.2.4、 3.2.7 和 3.2.8 项：</w:t>
            </w:r>
          </w:p>
          <w:p>
            <w:pPr>
              <w:keepNext w:val="0"/>
              <w:keepLines w:val="0"/>
              <w:pageBreakBefore w:val="0"/>
              <w:numPr>
                <w:ilvl w:val="255"/>
                <w:numId w:val="0"/>
              </w:numPr>
              <w:kinsoku/>
              <w:wordWrap/>
              <w:overflowPunct/>
              <w:topLinePunct w:val="0"/>
              <w:autoSpaceDE/>
              <w:autoSpaceDN/>
              <w:bidi w:val="0"/>
              <w:adjustRightInd/>
              <w:snapToGrid/>
              <w:spacing w:line="340" w:lineRule="exact"/>
              <w:jc w:val="left"/>
              <w:textAlignment w:val="auto"/>
            </w:pPr>
            <w:r>
              <w:rPr>
                <w:rFonts w:hint="eastAsia"/>
              </w:rPr>
              <w:t>3.2.4 投标人应根据《浙江省交通建设工程安全生产费用管理办法》（浙交（2021）12号文），在投标总价中计入安全生产费用，安全生产费用应符合合同条款第9.2.5项的规定。</w:t>
            </w:r>
          </w:p>
          <w:p>
            <w:pPr>
              <w:keepNext w:val="0"/>
              <w:keepLines w:val="0"/>
              <w:pageBreakBefore w:val="0"/>
              <w:numPr>
                <w:ilvl w:val="255"/>
                <w:numId w:val="0"/>
              </w:numPr>
              <w:kinsoku/>
              <w:wordWrap/>
              <w:overflowPunct/>
              <w:topLinePunct w:val="0"/>
              <w:autoSpaceDE/>
              <w:autoSpaceDN/>
              <w:bidi w:val="0"/>
              <w:adjustRightInd/>
              <w:snapToGrid/>
              <w:spacing w:line="340" w:lineRule="exact"/>
              <w:jc w:val="left"/>
              <w:textAlignment w:val="auto"/>
            </w:pPr>
            <w:r>
              <w:rPr>
                <w:rFonts w:hint="eastAsia"/>
              </w:rPr>
              <w:t>3.2.7 招标人设有投标控制价（投标控制价以经审核后的工程量清单预算总价再乘以随机抽取的调整系数来确定。开标时从三个连续值（0.95、0.96、0.97）中随机抽取其中一值为调整系数）。</w:t>
            </w:r>
          </w:p>
          <w:p>
            <w:pPr>
              <w:keepNext w:val="0"/>
              <w:keepLines w:val="0"/>
              <w:pageBreakBefore w:val="0"/>
              <w:kinsoku/>
              <w:wordWrap/>
              <w:overflowPunct/>
              <w:topLinePunct w:val="0"/>
              <w:autoSpaceDE/>
              <w:autoSpaceDN/>
              <w:bidi w:val="0"/>
              <w:adjustRightInd/>
              <w:snapToGrid/>
              <w:spacing w:line="340" w:lineRule="exact"/>
              <w:ind w:firstLine="210" w:firstLineChars="100"/>
              <w:jc w:val="left"/>
              <w:textAlignment w:val="auto"/>
            </w:pPr>
            <w:r>
              <w:rPr>
                <w:rFonts w:hint="eastAsia"/>
              </w:rPr>
              <w:t>本项目经审核后的工程量清单预算价为xxxxx万元（无暂列金）；</w:t>
            </w:r>
          </w:p>
          <w:p>
            <w:pPr>
              <w:keepNext w:val="0"/>
              <w:keepLines w:val="0"/>
              <w:pageBreakBefore w:val="0"/>
              <w:kinsoku/>
              <w:wordWrap/>
              <w:overflowPunct/>
              <w:topLinePunct w:val="0"/>
              <w:autoSpaceDE/>
              <w:autoSpaceDN/>
              <w:bidi w:val="0"/>
              <w:adjustRightInd/>
              <w:snapToGrid/>
              <w:spacing w:line="340" w:lineRule="exact"/>
              <w:ind w:firstLine="210" w:firstLineChars="100"/>
              <w:jc w:val="left"/>
              <w:textAlignment w:val="auto"/>
            </w:pPr>
            <w:r>
              <w:rPr>
                <w:rFonts w:hint="eastAsia"/>
              </w:rPr>
              <w:t>投标人的报价应控制在招标人设定的投标控制价（含）以下，高于投标控制价的报价，作否决投标处理。低于投标控制价的 80％的报价，不进入评标基准价的计算，但不作否决投标处理。</w:t>
            </w:r>
          </w:p>
          <w:p>
            <w:pPr>
              <w:keepNext w:val="0"/>
              <w:keepLines w:val="0"/>
              <w:pageBreakBefore w:val="0"/>
              <w:widowControl/>
              <w:kinsoku/>
              <w:wordWrap/>
              <w:overflowPunct/>
              <w:topLinePunct w:val="0"/>
              <w:autoSpaceDE/>
              <w:autoSpaceDN/>
              <w:bidi w:val="0"/>
              <w:adjustRightInd/>
              <w:snapToGrid/>
              <w:spacing w:line="340" w:lineRule="exact"/>
              <w:jc w:val="left"/>
              <w:textAlignment w:val="auto"/>
            </w:pPr>
            <w:r>
              <w:rPr>
                <w:rFonts w:hint="eastAsia"/>
              </w:rPr>
              <w:t>3.2.8 招标人设有风险控制价，投标控制价的 85％为风险控制价。若投标人报价低于风险控制价中标的，</w:t>
            </w:r>
            <w:r>
              <w:rPr>
                <w:rFonts w:hint="eastAsia" w:ascii="Times New Roman" w:hAnsi="Times New Roman" w:eastAsia="宋体" w:cs="Times New Roman"/>
                <w:b/>
                <w:bCs/>
                <w:color w:val="0000FF"/>
                <w:kern w:val="2"/>
                <w:sz w:val="21"/>
                <w:szCs w:val="24"/>
                <w:lang w:val="en-US" w:eastAsia="zh-CN" w:bidi="ar-SA"/>
              </w:rPr>
              <w:t>中标人必须以现金或转账形式向招标人提交风险控制价和中标价的差额部分，作为履约担保的一部分。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4" w:hRule="atLeast"/>
          <w:jc w:val="center"/>
        </w:trPr>
        <w:tc>
          <w:tcPr>
            <w:tcW w:w="1105" w:type="dxa"/>
            <w:gridSpan w:val="2"/>
            <w:tcBorders>
              <w:top w:val="single" w:color="auto" w:sz="4" w:space="0"/>
              <w:bottom w:val="single" w:color="auto" w:sz="4" w:space="0"/>
            </w:tcBorders>
            <w:vAlign w:val="center"/>
          </w:tcPr>
          <w:p>
            <w:pPr>
              <w:spacing w:beforeLines="50"/>
              <w:jc w:val="center"/>
              <w:rPr>
                <w:rFonts w:ascii="仿宋" w:hAnsi="仿宋" w:eastAsia="仿宋" w:cs="仿宋"/>
                <w:szCs w:val="21"/>
              </w:rPr>
            </w:pPr>
            <w:r>
              <w:rPr>
                <w:rFonts w:hint="eastAsia" w:ascii="仿宋" w:hAnsi="仿宋" w:eastAsia="仿宋" w:cs="仿宋"/>
                <w:b/>
                <w:szCs w:val="21"/>
              </w:rPr>
              <w:t>3.3</w:t>
            </w:r>
          </w:p>
        </w:tc>
        <w:tc>
          <w:tcPr>
            <w:tcW w:w="2179" w:type="dxa"/>
            <w:gridSpan w:val="3"/>
            <w:tcBorders>
              <w:top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szCs w:val="21"/>
              </w:rPr>
              <w:t>投标有效期</w:t>
            </w:r>
          </w:p>
        </w:tc>
        <w:tc>
          <w:tcPr>
            <w:tcW w:w="6448" w:type="dxa"/>
            <w:gridSpan w:val="2"/>
            <w:tcBorders>
              <w:top w:val="single" w:color="auto" w:sz="4" w:space="0"/>
              <w:left w:val="single" w:color="auto" w:sz="4" w:space="0"/>
              <w:bottom w:val="single" w:color="auto" w:sz="4" w:space="0"/>
            </w:tcBorders>
            <w:vAlign w:val="center"/>
          </w:tcPr>
          <w:p>
            <w:pPr>
              <w:autoSpaceDE w:val="0"/>
              <w:autoSpaceDN w:val="0"/>
              <w:adjustRightInd w:val="0"/>
              <w:spacing w:line="380" w:lineRule="exact"/>
              <w:rPr>
                <w:rFonts w:ascii="仿宋" w:hAnsi="仿宋" w:eastAsia="仿宋" w:cs="仿宋"/>
                <w:b/>
                <w:kern w:val="0"/>
                <w:szCs w:val="21"/>
              </w:rPr>
            </w:pPr>
            <w:r>
              <w:rPr>
                <w:rFonts w:hint="eastAsia" w:ascii="仿宋" w:hAnsi="仿宋" w:eastAsia="仿宋" w:cs="仿宋"/>
                <w:b/>
                <w:kern w:val="0"/>
                <w:szCs w:val="21"/>
                <w:lang w:val="zh-CN"/>
              </w:rPr>
              <w:t>第</w:t>
            </w:r>
            <w:r>
              <w:rPr>
                <w:rFonts w:hint="eastAsia" w:ascii="仿宋" w:hAnsi="仿宋" w:eastAsia="仿宋" w:cs="仿宋"/>
                <w:b/>
                <w:kern w:val="0"/>
                <w:szCs w:val="21"/>
              </w:rPr>
              <w:t>3.3.2</w:t>
            </w:r>
            <w:r>
              <w:rPr>
                <w:rFonts w:hint="eastAsia" w:ascii="仿宋" w:hAnsi="仿宋" w:eastAsia="仿宋" w:cs="仿宋"/>
                <w:b/>
                <w:kern w:val="0"/>
                <w:szCs w:val="21"/>
                <w:lang w:val="zh-CN"/>
              </w:rPr>
              <w:t>项细化为</w:t>
            </w:r>
            <w:r>
              <w:rPr>
                <w:rFonts w:hint="eastAsia" w:ascii="仿宋" w:hAnsi="仿宋" w:eastAsia="仿宋" w:cs="仿宋"/>
                <w:b/>
                <w:kern w:val="0"/>
                <w:szCs w:val="21"/>
              </w:rPr>
              <w:t>：</w:t>
            </w:r>
          </w:p>
          <w:p>
            <w:pPr>
              <w:autoSpaceDE w:val="0"/>
              <w:autoSpaceDN w:val="0"/>
              <w:adjustRightInd w:val="0"/>
              <w:spacing w:line="380" w:lineRule="exact"/>
              <w:ind w:firstLine="420" w:firstLineChars="200"/>
              <w:rPr>
                <w:rFonts w:ascii="仿宋" w:hAnsi="仿宋" w:eastAsia="仿宋" w:cs="仿宋"/>
              </w:rPr>
            </w:pPr>
            <w:r>
              <w:rPr>
                <w:rFonts w:hint="eastAsia" w:ascii="仿宋" w:hAnsi="仿宋" w:eastAsia="仿宋" w:cs="仿宋"/>
              </w:rPr>
              <w:t xml:space="preserve">3.3.2 </w:t>
            </w:r>
            <w:r>
              <w:rPr>
                <w:rFonts w:hint="eastAsia" w:ascii="仿宋" w:hAnsi="仿宋" w:eastAsia="仿宋" w:cs="仿宋"/>
                <w:lang w:val="zh-CN"/>
              </w:rPr>
              <w:t>出现特殊情况需要延长投标有效期的</w:t>
            </w:r>
            <w:r>
              <w:rPr>
                <w:rFonts w:hint="eastAsia" w:ascii="仿宋" w:hAnsi="仿宋" w:eastAsia="仿宋" w:cs="仿宋"/>
              </w:rPr>
              <w:t>，</w:t>
            </w:r>
            <w:r>
              <w:rPr>
                <w:rFonts w:hint="eastAsia" w:ascii="仿宋" w:hAnsi="仿宋" w:eastAsia="仿宋" w:cs="仿宋"/>
                <w:lang w:val="zh-CN"/>
              </w:rPr>
              <w:t>招标人以书面形式通知所有投标人延长投标有效期。投标人同意延长的，不得要求被允许修改或撤销其投标文件；投标人拒绝延长的，其投标失效。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10" w:hRule="atLeast"/>
          <w:jc w:val="center"/>
        </w:trPr>
        <w:tc>
          <w:tcPr>
            <w:tcW w:w="1105" w:type="dxa"/>
            <w:gridSpan w:val="2"/>
            <w:tcBorders>
              <w:top w:val="single" w:color="auto" w:sz="4" w:space="0"/>
              <w:bottom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3.5</w:t>
            </w:r>
          </w:p>
        </w:tc>
        <w:tc>
          <w:tcPr>
            <w:tcW w:w="2179" w:type="dxa"/>
            <w:gridSpan w:val="3"/>
            <w:tcBorders>
              <w:top w:val="single" w:color="auto" w:sz="4" w:space="0"/>
              <w:bottom w:val="single" w:color="auto" w:sz="4" w:space="0"/>
              <w:right w:val="single" w:color="auto" w:sz="4" w:space="0"/>
            </w:tcBorders>
            <w:vAlign w:val="center"/>
          </w:tcPr>
          <w:p>
            <w:pPr>
              <w:spacing w:line="300" w:lineRule="exact"/>
              <w:jc w:val="center"/>
              <w:rPr>
                <w:rFonts w:ascii="仿宋" w:hAnsi="仿宋" w:eastAsia="仿宋" w:cs="仿宋"/>
                <w:szCs w:val="21"/>
              </w:rPr>
            </w:pPr>
            <w:r>
              <w:rPr>
                <w:rFonts w:hint="eastAsia" w:ascii="仿宋" w:hAnsi="仿宋" w:eastAsia="仿宋" w:cs="仿宋"/>
                <w:szCs w:val="21"/>
              </w:rPr>
              <w:t>资格审查资料</w:t>
            </w:r>
          </w:p>
        </w:tc>
        <w:tc>
          <w:tcPr>
            <w:tcW w:w="6448" w:type="dxa"/>
            <w:gridSpan w:val="2"/>
            <w:tcBorders>
              <w:top w:val="single" w:color="auto" w:sz="4" w:space="0"/>
              <w:left w:val="single" w:color="auto" w:sz="4" w:space="0"/>
              <w:bottom w:val="single" w:color="auto" w:sz="4" w:space="0"/>
            </w:tcBorders>
            <w:vAlign w:val="center"/>
          </w:tcPr>
          <w:p>
            <w:pPr>
              <w:spacing w:line="276" w:lineRule="auto"/>
              <w:ind w:right="105" w:rightChars="50"/>
              <w:jc w:val="left"/>
              <w:rPr>
                <w:rFonts w:ascii="仿宋" w:hAnsi="仿宋" w:eastAsia="仿宋" w:cs="仿宋"/>
                <w:b/>
                <w:bCs/>
                <w:szCs w:val="21"/>
              </w:rPr>
            </w:pPr>
            <w:r>
              <w:rPr>
                <w:rFonts w:hint="eastAsia" w:ascii="仿宋" w:hAnsi="仿宋" w:eastAsia="仿宋" w:cs="仿宋"/>
                <w:b/>
                <w:bCs/>
                <w:szCs w:val="21"/>
              </w:rPr>
              <w:t>第 3.5.1 项细化为：</w:t>
            </w:r>
          </w:p>
          <w:p>
            <w:pPr>
              <w:spacing w:line="276" w:lineRule="auto"/>
              <w:ind w:right="105" w:rightChars="50" w:firstLine="210" w:firstLineChars="100"/>
              <w:jc w:val="left"/>
              <w:rPr>
                <w:rFonts w:ascii="仿宋" w:hAnsi="仿宋" w:eastAsia="仿宋" w:cs="仿宋"/>
                <w:szCs w:val="21"/>
              </w:rPr>
            </w:pPr>
            <w:r>
              <w:rPr>
                <w:rFonts w:hint="eastAsia" w:ascii="仿宋" w:hAnsi="仿宋" w:eastAsia="仿宋" w:cs="仿宋"/>
                <w:szCs w:val="21"/>
              </w:rPr>
              <w:t>3.5.1“投标人基本情况表”应附企业法人营业执照副本（全本）的扫描件</w:t>
            </w:r>
            <w:r>
              <w:rPr>
                <w:rFonts w:hint="eastAsia" w:ascii="仿宋" w:hAnsi="仿宋" w:eastAsia="仿宋" w:cs="仿宋"/>
                <w:b/>
                <w:bCs/>
                <w:szCs w:val="21"/>
              </w:rPr>
              <w:t>（并加盖单位电子公章）、</w:t>
            </w:r>
            <w:r>
              <w:rPr>
                <w:rFonts w:hint="eastAsia" w:ascii="仿宋" w:hAnsi="仿宋" w:eastAsia="仿宋" w:cs="仿宋"/>
                <w:szCs w:val="21"/>
              </w:rPr>
              <w:t>养护资质证书副本（全本）的扫描件</w:t>
            </w:r>
            <w:r>
              <w:rPr>
                <w:rFonts w:hint="eastAsia" w:ascii="仿宋" w:hAnsi="仿宋" w:eastAsia="仿宋" w:cs="仿宋"/>
                <w:b/>
                <w:bCs/>
                <w:szCs w:val="21"/>
              </w:rPr>
              <w:t>（并加盖单位电子公章）</w:t>
            </w:r>
            <w:r>
              <w:rPr>
                <w:rFonts w:hint="eastAsia" w:ascii="仿宋" w:hAnsi="仿宋" w:eastAsia="仿宋" w:cs="仿宋"/>
                <w:szCs w:val="21"/>
              </w:rPr>
              <w:t>、基本账户开户许可证（已试点取消企业基本账户开户许可证核发的地区也可提供基本存款账户信息）的彩色扫描件</w:t>
            </w:r>
            <w:r>
              <w:rPr>
                <w:rFonts w:hint="eastAsia" w:ascii="仿宋" w:hAnsi="仿宋" w:eastAsia="仿宋" w:cs="仿宋"/>
                <w:b/>
                <w:bCs/>
                <w:szCs w:val="21"/>
              </w:rPr>
              <w:t>（并加盖单位电子公章）</w:t>
            </w:r>
            <w:r>
              <w:rPr>
                <w:rFonts w:hint="eastAsia" w:ascii="仿宋" w:hAnsi="仿宋" w:eastAsia="仿宋" w:cs="仿宋"/>
                <w:szCs w:val="21"/>
              </w:rPr>
              <w:t>。</w:t>
            </w:r>
          </w:p>
          <w:p>
            <w:pPr>
              <w:spacing w:line="276" w:lineRule="auto"/>
              <w:ind w:right="105" w:rightChars="50" w:firstLine="211" w:firstLineChars="100"/>
              <w:jc w:val="left"/>
              <w:rPr>
                <w:rFonts w:ascii="仿宋" w:hAnsi="仿宋" w:eastAsia="仿宋" w:cs="仿宋"/>
                <w:b/>
                <w:bCs/>
                <w:szCs w:val="21"/>
              </w:rPr>
            </w:pPr>
            <w:r>
              <w:rPr>
                <w:rFonts w:hint="eastAsia" w:ascii="仿宋" w:hAnsi="仿宋" w:eastAsia="仿宋" w:cs="仿宋"/>
                <w:b/>
                <w:bCs/>
                <w:szCs w:val="21"/>
              </w:rPr>
              <w:t>“拟委任的项目经理、项目总工和安全生产负责人资历表”应附以下资料：</w:t>
            </w:r>
          </w:p>
          <w:p>
            <w:pPr>
              <w:spacing w:line="276" w:lineRule="auto"/>
              <w:ind w:right="105" w:rightChars="50" w:firstLine="210" w:firstLineChars="100"/>
              <w:jc w:val="left"/>
              <w:rPr>
                <w:rFonts w:ascii="仿宋" w:hAnsi="仿宋" w:eastAsia="仿宋" w:cs="仿宋"/>
                <w:szCs w:val="21"/>
              </w:rPr>
            </w:pPr>
            <w:r>
              <w:rPr>
                <w:rFonts w:hint="eastAsia" w:ascii="仿宋" w:hAnsi="仿宋" w:eastAsia="仿宋" w:cs="仿宋"/>
                <w:szCs w:val="21"/>
              </w:rPr>
              <w:t>项目经理、项目总工和安全生产负责人的身份证（正反双面扫描）、职称资格证书（安全负责人不作职称要求）、安全生产考核合格证书以及项目经理的公路工程专业二级及以上建造师注册证书（如有）的清晰复印件或彩色扫描件</w:t>
            </w:r>
            <w:r>
              <w:rPr>
                <w:rFonts w:hint="eastAsia" w:ascii="仿宋" w:hAnsi="仿宋" w:eastAsia="仿宋" w:cs="仿宋"/>
                <w:b/>
                <w:bCs/>
                <w:szCs w:val="21"/>
              </w:rPr>
              <w:t>(并加盖投标人电子公章)</w:t>
            </w:r>
            <w:r>
              <w:rPr>
                <w:rFonts w:hint="eastAsia" w:ascii="仿宋" w:hAnsi="仿宋" w:eastAsia="仿宋" w:cs="仿宋"/>
                <w:szCs w:val="21"/>
              </w:rPr>
              <w:t>。</w:t>
            </w:r>
          </w:p>
          <w:p>
            <w:pPr>
              <w:spacing w:line="276" w:lineRule="auto"/>
              <w:ind w:right="105" w:rightChars="50"/>
              <w:jc w:val="left"/>
              <w:rPr>
                <w:rFonts w:ascii="仿宋" w:hAnsi="仿宋" w:eastAsia="仿宋" w:cs="仿宋"/>
                <w:b/>
                <w:bCs/>
                <w:szCs w:val="21"/>
              </w:rPr>
            </w:pPr>
            <w:r>
              <w:rPr>
                <w:rFonts w:hint="eastAsia" w:ascii="仿宋" w:hAnsi="仿宋" w:eastAsia="仿宋" w:cs="仿宋"/>
                <w:b/>
                <w:bCs/>
                <w:szCs w:val="21"/>
              </w:rPr>
              <w:t>第3.5.5项细化为：</w:t>
            </w:r>
          </w:p>
          <w:p>
            <w:pPr>
              <w:spacing w:line="276" w:lineRule="auto"/>
              <w:ind w:right="105" w:rightChars="50" w:firstLine="210" w:firstLineChars="100"/>
              <w:jc w:val="left"/>
              <w:rPr>
                <w:rFonts w:ascii="仿宋" w:hAnsi="仿宋" w:eastAsia="仿宋" w:cs="仿宋"/>
                <w:szCs w:val="21"/>
              </w:rPr>
            </w:pPr>
            <w:r>
              <w:rPr>
                <w:rFonts w:hint="eastAsia" w:ascii="仿宋" w:hAnsi="仿宋" w:eastAsia="仿宋" w:cs="仿宋"/>
                <w:szCs w:val="21"/>
              </w:rPr>
              <w:t>3.5.5 近1年（2021年1月1日以来）内发生诉讼及仲裁的，中标人应在收到中标通知书签订合同协议书前如实向招标人说明相关情况。</w:t>
            </w:r>
          </w:p>
          <w:p>
            <w:pPr>
              <w:spacing w:line="276" w:lineRule="auto"/>
              <w:ind w:right="105" w:rightChars="50"/>
              <w:jc w:val="left"/>
              <w:rPr>
                <w:rFonts w:ascii="仿宋" w:hAnsi="仿宋" w:eastAsia="仿宋" w:cs="仿宋"/>
                <w:b/>
                <w:bCs/>
                <w:szCs w:val="21"/>
              </w:rPr>
            </w:pPr>
            <w:r>
              <w:rPr>
                <w:rFonts w:hint="eastAsia" w:ascii="仿宋" w:hAnsi="仿宋" w:eastAsia="仿宋" w:cs="仿宋"/>
                <w:b/>
                <w:bCs/>
                <w:szCs w:val="21"/>
              </w:rPr>
              <w:t>第3.5.7项细化为：</w:t>
            </w:r>
          </w:p>
          <w:p>
            <w:pPr>
              <w:spacing w:line="276" w:lineRule="auto"/>
              <w:ind w:right="105" w:rightChars="50" w:firstLine="210" w:firstLineChars="100"/>
              <w:jc w:val="left"/>
              <w:rPr>
                <w:rFonts w:ascii="仿宋" w:hAnsi="仿宋" w:eastAsia="仿宋" w:cs="仿宋"/>
                <w:szCs w:val="21"/>
              </w:rPr>
            </w:pPr>
            <w:r>
              <w:rPr>
                <w:rFonts w:hint="eastAsia" w:ascii="仿宋" w:hAnsi="仿宋" w:eastAsia="仿宋" w:cs="仿宋"/>
                <w:szCs w:val="21"/>
              </w:rPr>
              <w:t>3.5.7投标人在投标文件中填报的项目经理和项目总工不允许换。</w:t>
            </w:r>
          </w:p>
          <w:p>
            <w:pPr>
              <w:spacing w:line="276" w:lineRule="auto"/>
              <w:ind w:right="105" w:rightChars="50"/>
              <w:rPr>
                <w:rFonts w:ascii="仿宋" w:hAnsi="仿宋" w:eastAsia="仿宋" w:cs="仿宋"/>
                <w:b/>
                <w:bCs/>
                <w:szCs w:val="21"/>
              </w:rPr>
            </w:pPr>
            <w:r>
              <w:rPr>
                <w:rFonts w:hint="eastAsia" w:ascii="仿宋" w:hAnsi="仿宋" w:eastAsia="仿宋" w:cs="仿宋"/>
                <w:b/>
                <w:bCs/>
                <w:szCs w:val="21"/>
              </w:rPr>
              <w:t>第3.5.8项细化为：</w:t>
            </w:r>
          </w:p>
          <w:p>
            <w:pPr>
              <w:spacing w:line="276" w:lineRule="auto"/>
              <w:ind w:right="105" w:rightChars="50" w:firstLine="210" w:firstLineChars="100"/>
              <w:rPr>
                <w:rFonts w:ascii="仿宋" w:hAnsi="仿宋" w:eastAsia="仿宋" w:cs="仿宋"/>
                <w:szCs w:val="21"/>
              </w:rPr>
            </w:pPr>
            <w:r>
              <w:rPr>
                <w:rFonts w:hint="eastAsia" w:ascii="仿宋" w:hAnsi="仿宋" w:eastAsia="仿宋" w:cs="仿宋"/>
                <w:szCs w:val="21"/>
              </w:rPr>
              <w:t>3.5.8 招标人有权核查投标人在投标文件中提供的材料，若在评标期间发现投标人提供了虚假资料，招标人有权对投标人的投标文件作否决投标处理；若在评标结果公示期间发现作为中标候选人的投标人提供了虚假资料，招标人有权取消其中标资格；若在合同实施期间发现投标人提供了虚假资料，招标人有权从工程支付款中扣除不超过5%签约合同价的金额作为违约金。同时招标人将投标人以上弄虚作假行为上报省级交通主管部门。</w:t>
            </w:r>
            <w:r>
              <w:rPr>
                <w:rFonts w:hint="eastAsia" w:ascii="仿宋" w:hAnsi="仿宋" w:eastAsia="仿宋" w:cs="仿宋"/>
              </w:rPr>
              <w:t>作为不良记录纳入信用评价管理系统。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99" w:hRule="atLeast"/>
          <w:jc w:val="center"/>
        </w:trPr>
        <w:tc>
          <w:tcPr>
            <w:tcW w:w="1105" w:type="dxa"/>
            <w:gridSpan w:val="2"/>
            <w:tcBorders>
              <w:top w:val="single" w:color="auto" w:sz="4" w:space="0"/>
              <w:bottom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3.7</w:t>
            </w:r>
          </w:p>
        </w:tc>
        <w:tc>
          <w:tcPr>
            <w:tcW w:w="2179" w:type="dxa"/>
            <w:gridSpan w:val="3"/>
            <w:tcBorders>
              <w:top w:val="single" w:color="auto" w:sz="4" w:space="0"/>
              <w:bottom w:val="single" w:color="auto" w:sz="4" w:space="0"/>
              <w:right w:val="single" w:color="auto" w:sz="4" w:space="0"/>
            </w:tcBorders>
            <w:vAlign w:val="center"/>
          </w:tcPr>
          <w:p>
            <w:pPr>
              <w:spacing w:line="300" w:lineRule="exact"/>
              <w:jc w:val="center"/>
              <w:rPr>
                <w:rFonts w:ascii="仿宋" w:hAnsi="仿宋" w:eastAsia="仿宋" w:cs="仿宋"/>
                <w:szCs w:val="21"/>
              </w:rPr>
            </w:pPr>
            <w:r>
              <w:rPr>
                <w:rFonts w:hint="eastAsia" w:ascii="仿宋" w:hAnsi="仿宋" w:eastAsia="仿宋" w:cs="仿宋"/>
                <w:szCs w:val="21"/>
              </w:rPr>
              <w:t>投标文件编制</w:t>
            </w:r>
          </w:p>
        </w:tc>
        <w:tc>
          <w:tcPr>
            <w:tcW w:w="6448" w:type="dxa"/>
            <w:gridSpan w:val="2"/>
            <w:tcBorders>
              <w:top w:val="single" w:color="auto" w:sz="4" w:space="0"/>
              <w:left w:val="single" w:color="auto" w:sz="4" w:space="0"/>
              <w:bottom w:val="single" w:color="auto" w:sz="4" w:space="0"/>
            </w:tcBorders>
            <w:vAlign w:val="center"/>
          </w:tcPr>
          <w:p>
            <w:pPr>
              <w:spacing w:line="276" w:lineRule="auto"/>
              <w:ind w:firstLine="211" w:firstLineChars="100"/>
              <w:jc w:val="left"/>
              <w:rPr>
                <w:rFonts w:ascii="仿宋" w:hAnsi="仿宋" w:eastAsia="仿宋" w:cs="仿宋"/>
                <w:b/>
                <w:bCs/>
                <w:szCs w:val="21"/>
              </w:rPr>
            </w:pPr>
            <w:r>
              <w:rPr>
                <w:rFonts w:hint="eastAsia" w:ascii="仿宋" w:hAnsi="仿宋" w:eastAsia="仿宋" w:cs="仿宋"/>
                <w:b/>
                <w:bCs/>
                <w:szCs w:val="21"/>
              </w:rPr>
              <w:t>第 3.7.3 项细化为：</w:t>
            </w:r>
          </w:p>
          <w:p>
            <w:pPr>
              <w:spacing w:line="276" w:lineRule="auto"/>
              <w:ind w:firstLine="211" w:firstLineChars="100"/>
              <w:jc w:val="left"/>
              <w:rPr>
                <w:rFonts w:ascii="仿宋" w:hAnsi="仿宋" w:eastAsia="仿宋" w:cs="仿宋"/>
                <w:szCs w:val="21"/>
              </w:rPr>
            </w:pPr>
            <w:r>
              <w:rPr>
                <w:rFonts w:hint="eastAsia" w:ascii="仿宋" w:hAnsi="仿宋" w:eastAsia="仿宋" w:cs="仿宋"/>
                <w:b/>
              </w:rPr>
              <w:t>投标人应将下载的招标文件（.hzzbs格式）导入“</w:t>
            </w:r>
            <w:r>
              <w:rPr>
                <w:rFonts w:hint="eastAsia" w:ascii="仿宋" w:hAnsi="仿宋" w:eastAsia="仿宋" w:cs="仿宋"/>
                <w:b/>
                <w:highlight w:val="yellow"/>
              </w:rPr>
              <w:t>擎洲</w:t>
            </w:r>
            <w:r>
              <w:rPr>
                <w:rFonts w:hint="eastAsia" w:ascii="仿宋" w:hAnsi="仿宋" w:eastAsia="仿宋" w:cs="仿宋"/>
                <w:b/>
              </w:rPr>
              <w:t>杭州交通投标编制工具”（登陆杭州市公共资源交易中心下载专区→工程建设→下载交通项目电子招投标工具）后，按招标文件要求的格式和内容制作电子投标文件</w:t>
            </w:r>
            <w:r>
              <w:rPr>
                <w:rFonts w:hint="eastAsia" w:ascii="仿宋" w:hAnsi="仿宋" w:eastAsia="仿宋" w:cs="仿宋"/>
                <w:b/>
                <w:szCs w:val="21"/>
              </w:rPr>
              <w:t>（.HzTbs 格式）</w:t>
            </w:r>
            <w:r>
              <w:rPr>
                <w:rFonts w:hint="eastAsia" w:ascii="仿宋" w:hAnsi="仿宋" w:eastAsia="仿宋" w:cs="仿宋"/>
                <w:b/>
              </w:rPr>
              <w:t>。制作完成后将投标文件所有内容导入投标工具相应节点模块</w:t>
            </w:r>
            <w:r>
              <w:rPr>
                <w:rFonts w:hint="eastAsia" w:ascii="仿宋" w:hAnsi="仿宋" w:eastAsia="仿宋" w:cs="仿宋"/>
              </w:rPr>
              <w:t>。</w:t>
            </w:r>
            <w:r>
              <w:rPr>
                <w:rFonts w:hint="eastAsia" w:ascii="仿宋" w:hAnsi="仿宋" w:eastAsia="仿宋" w:cs="仿宋"/>
                <w:b/>
                <w:bCs/>
                <w:szCs w:val="21"/>
              </w:rPr>
              <w:t>投标函及投标函附录、承诺函、资格审查资料、已标价工程量清单（包括工程量清单说明、投标报价说明、其它说明及工程量清单</w:t>
            </w:r>
            <w:r>
              <w:rPr>
                <w:rFonts w:hint="eastAsia" w:ascii="仿宋" w:hAnsi="仿宋" w:eastAsia="仿宋" w:cs="仿宋"/>
                <w:b/>
              </w:rPr>
              <w:t>各项表格</w:t>
            </w:r>
            <w:r>
              <w:rPr>
                <w:rFonts w:hint="eastAsia" w:ascii="仿宋" w:hAnsi="仿宋" w:eastAsia="仿宋" w:cs="仿宋"/>
                <w:szCs w:val="21"/>
              </w:rPr>
              <w:t>&lt;表4.1、表4.2、表4.3&gt;</w:t>
            </w:r>
            <w:r>
              <w:rPr>
                <w:rFonts w:hint="eastAsia" w:ascii="仿宋" w:hAnsi="仿宋" w:eastAsia="仿宋" w:cs="仿宋"/>
                <w:b/>
                <w:bCs/>
                <w:szCs w:val="21"/>
              </w:rPr>
              <w:t>）</w:t>
            </w:r>
            <w:r>
              <w:rPr>
                <w:rFonts w:hint="eastAsia" w:ascii="仿宋" w:hAnsi="仿宋" w:eastAsia="仿宋" w:cs="仿宋"/>
                <w:szCs w:val="21"/>
              </w:rPr>
              <w:t>的内容</w:t>
            </w:r>
            <w:r>
              <w:rPr>
                <w:rFonts w:hint="eastAsia" w:ascii="仿宋" w:hAnsi="仿宋" w:eastAsia="仿宋" w:cs="仿宋"/>
                <w:b/>
                <w:bCs/>
                <w:szCs w:val="21"/>
              </w:rPr>
              <w:t>，应逐页加盖投标人法定代表人电子章，并逐页加盖投标人单位电子公章。</w:t>
            </w:r>
          </w:p>
          <w:p>
            <w:pPr>
              <w:adjustRightInd w:val="0"/>
              <w:snapToGrid w:val="0"/>
              <w:spacing w:line="360" w:lineRule="exact"/>
              <w:ind w:firstLine="211" w:firstLineChars="100"/>
              <w:rPr>
                <w:rFonts w:ascii="仿宋" w:hAnsi="仿宋" w:eastAsia="仿宋" w:cs="仿宋"/>
                <w:sz w:val="24"/>
              </w:rPr>
            </w:pPr>
            <w:r>
              <w:rPr>
                <w:rFonts w:hint="eastAsia" w:ascii="仿宋" w:hAnsi="仿宋" w:eastAsia="仿宋" w:cs="仿宋"/>
                <w:b/>
                <w:bCs/>
              </w:rPr>
              <w:t>法定代表人身份证明及授权委托书应按规定的书面方式出具，并</w:t>
            </w:r>
            <w:r>
              <w:rPr>
                <w:rFonts w:hint="eastAsia" w:ascii="仿宋" w:hAnsi="仿宋" w:eastAsia="仿宋" w:cs="仿宋"/>
                <w:b/>
              </w:rPr>
              <w:t>加盖投标人的法定代表人电子章，并加盖投标人单位电子公章。</w:t>
            </w:r>
          </w:p>
          <w:p>
            <w:pPr>
              <w:adjustRightInd w:val="0"/>
              <w:snapToGrid w:val="0"/>
              <w:spacing w:line="360" w:lineRule="exact"/>
              <w:ind w:firstLine="420" w:firstLineChars="200"/>
              <w:rPr>
                <w:rFonts w:ascii="仿宋" w:hAnsi="仿宋" w:eastAsia="仿宋" w:cs="仿宋"/>
                <w:b/>
              </w:rPr>
            </w:pPr>
            <w:r>
              <w:rPr>
                <w:rFonts w:hint="eastAsia" w:ascii="仿宋" w:hAnsi="仿宋" w:eastAsia="仿宋" w:cs="仿宋"/>
              </w:rPr>
              <w:t>签字或盖章的其他要求见投标人须知前附表。</w:t>
            </w:r>
          </w:p>
          <w:p>
            <w:pPr>
              <w:adjustRightInd w:val="0"/>
              <w:snapToGrid w:val="0"/>
              <w:spacing w:line="360" w:lineRule="exact"/>
              <w:rPr>
                <w:rFonts w:ascii="仿宋" w:hAnsi="仿宋" w:eastAsia="仿宋" w:cs="仿宋"/>
                <w:b/>
              </w:rPr>
            </w:pPr>
            <w:r>
              <w:rPr>
                <w:rFonts w:hint="eastAsia" w:ascii="仿宋" w:hAnsi="仿宋" w:eastAsia="仿宋" w:cs="仿宋"/>
                <w:b/>
              </w:rPr>
              <w:t>第3.7.4项细化为：</w:t>
            </w:r>
          </w:p>
          <w:p>
            <w:pPr>
              <w:adjustRightInd w:val="0"/>
              <w:snapToGrid w:val="0"/>
              <w:spacing w:line="360" w:lineRule="exact"/>
              <w:ind w:firstLine="210" w:firstLineChars="100"/>
              <w:rPr>
                <w:rFonts w:ascii="仿宋" w:hAnsi="仿宋" w:eastAsia="仿宋" w:cs="仿宋"/>
              </w:rPr>
            </w:pPr>
            <w:r>
              <w:rPr>
                <w:rFonts w:hint="eastAsia" w:ascii="仿宋" w:hAnsi="仿宋" w:eastAsia="仿宋" w:cs="仿宋"/>
              </w:rPr>
              <w:t>3.7.4 投标文件的份数详见投标人须知前附表。</w:t>
            </w:r>
          </w:p>
          <w:p>
            <w:pPr>
              <w:adjustRightInd w:val="0"/>
              <w:snapToGrid w:val="0"/>
              <w:spacing w:line="360" w:lineRule="exact"/>
              <w:rPr>
                <w:rFonts w:ascii="仿宋" w:hAnsi="仿宋" w:eastAsia="仿宋" w:cs="仿宋"/>
                <w:b/>
              </w:rPr>
            </w:pPr>
            <w:r>
              <w:rPr>
                <w:rFonts w:hint="eastAsia" w:ascii="仿宋" w:hAnsi="仿宋" w:eastAsia="仿宋" w:cs="仿宋"/>
                <w:b/>
              </w:rPr>
              <w:t>第3.7.5项细化为：</w:t>
            </w:r>
          </w:p>
          <w:p>
            <w:pPr>
              <w:spacing w:line="276" w:lineRule="auto"/>
              <w:ind w:firstLine="210" w:firstLineChars="100"/>
              <w:jc w:val="left"/>
              <w:rPr>
                <w:rFonts w:ascii="仿宋" w:hAnsi="仿宋" w:eastAsia="仿宋" w:cs="仿宋"/>
                <w:szCs w:val="21"/>
              </w:rPr>
            </w:pPr>
            <w:r>
              <w:rPr>
                <w:rFonts w:hint="eastAsia" w:ascii="仿宋" w:hAnsi="仿宋" w:eastAsia="仿宋" w:cs="仿宋"/>
              </w:rPr>
              <w:t>3.7.5 本次招标无需递交纸质投标文件，即无需进行投标文件的装订。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71" w:hRule="atLeast"/>
          <w:jc w:val="center"/>
        </w:trPr>
        <w:tc>
          <w:tcPr>
            <w:tcW w:w="1105" w:type="dxa"/>
            <w:gridSpan w:val="2"/>
            <w:tcBorders>
              <w:top w:val="single" w:color="auto" w:sz="4" w:space="0"/>
              <w:bottom w:val="single" w:color="auto" w:sz="4" w:space="0"/>
            </w:tcBorders>
            <w:vAlign w:val="center"/>
          </w:tcPr>
          <w:p>
            <w:pPr>
              <w:spacing w:line="300" w:lineRule="exact"/>
              <w:jc w:val="center"/>
              <w:rPr>
                <w:rFonts w:ascii="仿宋" w:hAnsi="仿宋" w:eastAsia="仿宋" w:cs="仿宋"/>
                <w:szCs w:val="21"/>
              </w:rPr>
            </w:pPr>
            <w:r>
              <w:rPr>
                <w:rFonts w:hint="eastAsia" w:ascii="仿宋" w:hAnsi="仿宋" w:eastAsia="仿宋" w:cs="仿宋"/>
                <w:szCs w:val="21"/>
              </w:rPr>
              <w:t>4.1</w:t>
            </w:r>
          </w:p>
        </w:tc>
        <w:tc>
          <w:tcPr>
            <w:tcW w:w="2179" w:type="dxa"/>
            <w:gridSpan w:val="3"/>
            <w:tcBorders>
              <w:top w:val="single" w:color="auto" w:sz="4" w:space="0"/>
              <w:bottom w:val="single" w:color="auto" w:sz="4" w:space="0"/>
              <w:right w:val="single" w:color="auto" w:sz="4" w:space="0"/>
            </w:tcBorders>
            <w:vAlign w:val="center"/>
          </w:tcPr>
          <w:p>
            <w:pPr>
              <w:spacing w:line="300" w:lineRule="exact"/>
              <w:jc w:val="center"/>
              <w:rPr>
                <w:rFonts w:ascii="仿宋" w:hAnsi="仿宋" w:eastAsia="仿宋" w:cs="仿宋"/>
                <w:szCs w:val="21"/>
              </w:rPr>
            </w:pPr>
            <w:r>
              <w:rPr>
                <w:rFonts w:hint="eastAsia" w:ascii="仿宋" w:hAnsi="仿宋" w:eastAsia="仿宋" w:cs="仿宋"/>
                <w:szCs w:val="21"/>
              </w:rPr>
              <w:t>投标文件的密封和标识</w:t>
            </w:r>
          </w:p>
        </w:tc>
        <w:tc>
          <w:tcPr>
            <w:tcW w:w="6448" w:type="dxa"/>
            <w:gridSpan w:val="2"/>
            <w:tcBorders>
              <w:top w:val="single" w:color="auto" w:sz="4" w:space="0"/>
              <w:left w:val="single" w:color="auto" w:sz="4" w:space="0"/>
              <w:bottom w:val="single" w:color="auto" w:sz="4" w:space="0"/>
            </w:tcBorders>
            <w:vAlign w:val="center"/>
          </w:tcPr>
          <w:p>
            <w:pPr>
              <w:spacing w:line="276" w:lineRule="auto"/>
              <w:jc w:val="left"/>
              <w:rPr>
                <w:rFonts w:ascii="仿宋" w:hAnsi="仿宋" w:eastAsia="仿宋" w:cs="仿宋"/>
                <w:b/>
                <w:bCs/>
                <w:szCs w:val="21"/>
              </w:rPr>
            </w:pPr>
            <w:r>
              <w:rPr>
                <w:rFonts w:hint="eastAsia" w:ascii="仿宋" w:hAnsi="仿宋" w:eastAsia="仿宋" w:cs="仿宋"/>
                <w:b/>
                <w:bCs/>
                <w:szCs w:val="21"/>
              </w:rPr>
              <w:t>第4.1条细化为：</w:t>
            </w:r>
          </w:p>
          <w:p>
            <w:pPr>
              <w:spacing w:line="276" w:lineRule="auto"/>
              <w:ind w:firstLine="211" w:firstLineChars="100"/>
              <w:jc w:val="left"/>
              <w:rPr>
                <w:rFonts w:ascii="仿宋" w:hAnsi="仿宋" w:eastAsia="仿宋" w:cs="仿宋"/>
                <w:szCs w:val="21"/>
              </w:rPr>
            </w:pPr>
            <w:r>
              <w:rPr>
                <w:rFonts w:hint="eastAsia" w:ascii="仿宋" w:hAnsi="仿宋" w:eastAsia="仿宋" w:cs="仿宋"/>
                <w:b/>
                <w:bCs/>
                <w:szCs w:val="21"/>
              </w:rPr>
              <w:t>本次采用电子投标，投标文件无需密封和标识。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67" w:hRule="atLeast"/>
          <w:jc w:val="center"/>
        </w:trPr>
        <w:tc>
          <w:tcPr>
            <w:tcW w:w="1105" w:type="dxa"/>
            <w:gridSpan w:val="2"/>
            <w:tcBorders>
              <w:top w:val="single" w:color="auto" w:sz="4" w:space="0"/>
              <w:bottom w:val="single" w:color="auto" w:sz="4" w:space="0"/>
            </w:tcBorders>
            <w:vAlign w:val="center"/>
          </w:tcPr>
          <w:p>
            <w:pPr>
              <w:jc w:val="center"/>
              <w:rPr>
                <w:rFonts w:ascii="仿宋" w:hAnsi="仿宋" w:eastAsia="仿宋" w:cs="仿宋"/>
                <w:szCs w:val="21"/>
              </w:rPr>
            </w:pPr>
            <w:r>
              <w:rPr>
                <w:rFonts w:hint="eastAsia" w:ascii="仿宋" w:hAnsi="仿宋" w:eastAsia="仿宋" w:cs="仿宋"/>
                <w:bCs/>
              </w:rPr>
              <w:t>4.2</w:t>
            </w:r>
          </w:p>
        </w:tc>
        <w:tc>
          <w:tcPr>
            <w:tcW w:w="2179" w:type="dxa"/>
            <w:gridSpan w:val="3"/>
            <w:tcBorders>
              <w:top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rPr>
              <w:t>投标文件的递交</w:t>
            </w:r>
          </w:p>
        </w:tc>
        <w:tc>
          <w:tcPr>
            <w:tcW w:w="6448" w:type="dxa"/>
            <w:gridSpan w:val="2"/>
            <w:tcBorders>
              <w:top w:val="single" w:color="auto" w:sz="4" w:space="0"/>
              <w:left w:val="single" w:color="auto" w:sz="4" w:space="0"/>
              <w:bottom w:val="single" w:color="auto" w:sz="4" w:space="0"/>
            </w:tcBorders>
            <w:vAlign w:val="center"/>
          </w:tcPr>
          <w:p>
            <w:pPr>
              <w:adjustRightInd w:val="0"/>
              <w:snapToGrid w:val="0"/>
              <w:spacing w:line="320" w:lineRule="exact"/>
              <w:rPr>
                <w:rFonts w:ascii="仿宋" w:hAnsi="仿宋" w:eastAsia="仿宋" w:cs="仿宋"/>
                <w:b/>
              </w:rPr>
            </w:pPr>
            <w:r>
              <w:rPr>
                <w:rFonts w:hint="eastAsia" w:ascii="仿宋" w:hAnsi="仿宋" w:eastAsia="仿宋" w:cs="仿宋"/>
                <w:b/>
              </w:rPr>
              <w:t>第4.2条细化为：</w:t>
            </w:r>
          </w:p>
          <w:p>
            <w:pPr>
              <w:adjustRightInd w:val="0"/>
              <w:snapToGrid w:val="0"/>
              <w:spacing w:line="320" w:lineRule="exact"/>
              <w:ind w:firstLine="420" w:firstLineChars="200"/>
              <w:rPr>
                <w:rFonts w:ascii="仿宋" w:hAnsi="仿宋" w:eastAsia="仿宋" w:cs="仿宋"/>
              </w:rPr>
            </w:pPr>
            <w:r>
              <w:rPr>
                <w:rFonts w:hint="eastAsia" w:ascii="仿宋" w:hAnsi="仿宋" w:eastAsia="仿宋" w:cs="仿宋"/>
              </w:rPr>
              <w:t>4.2.1 投标人应在本章第2.2.2项规定的投标截止时间前将电子投标文件上传至“交易平台”。</w:t>
            </w:r>
          </w:p>
          <w:p>
            <w:pPr>
              <w:adjustRightInd w:val="0"/>
              <w:snapToGrid w:val="0"/>
              <w:spacing w:line="320" w:lineRule="exact"/>
              <w:ind w:firstLine="420" w:firstLineChars="200"/>
              <w:rPr>
                <w:rFonts w:ascii="仿宋" w:hAnsi="仿宋" w:eastAsia="仿宋" w:cs="仿宋"/>
              </w:rPr>
            </w:pPr>
            <w:r>
              <w:rPr>
                <w:rFonts w:hint="eastAsia" w:ascii="仿宋" w:hAnsi="仿宋" w:eastAsia="仿宋" w:cs="仿宋"/>
              </w:rPr>
              <w:t>4.2.2投标人递交投标文件的地点：见投标人须知前附表。</w:t>
            </w:r>
          </w:p>
          <w:p>
            <w:pPr>
              <w:adjustRightInd w:val="0"/>
              <w:snapToGrid w:val="0"/>
              <w:spacing w:line="320" w:lineRule="exact"/>
              <w:ind w:firstLine="420" w:firstLineChars="200"/>
              <w:rPr>
                <w:rFonts w:ascii="仿宋" w:hAnsi="仿宋" w:eastAsia="仿宋" w:cs="仿宋"/>
              </w:rPr>
            </w:pPr>
            <w:r>
              <w:rPr>
                <w:rFonts w:hint="eastAsia" w:ascii="仿宋" w:hAnsi="仿宋" w:eastAsia="仿宋" w:cs="仿宋"/>
              </w:rPr>
              <w:t>4.2.3 除投标人须知前附表另有规定外，投标人所递交投标文件不予退还。</w:t>
            </w:r>
          </w:p>
          <w:p>
            <w:pPr>
              <w:adjustRightInd w:val="0"/>
              <w:snapToGrid w:val="0"/>
              <w:spacing w:line="320" w:lineRule="exact"/>
              <w:ind w:firstLine="420" w:firstLineChars="200"/>
              <w:rPr>
                <w:rFonts w:ascii="仿宋" w:hAnsi="仿宋" w:eastAsia="仿宋" w:cs="仿宋"/>
              </w:rPr>
            </w:pPr>
            <w:r>
              <w:rPr>
                <w:rFonts w:hint="eastAsia" w:ascii="仿宋" w:hAnsi="仿宋" w:eastAsia="仿宋" w:cs="仿宋"/>
              </w:rPr>
              <w:t>4.2.4 投标人电子投标文件上传“交易平台”后，由“交易平台”出具签收凭证。</w:t>
            </w:r>
          </w:p>
          <w:p>
            <w:pPr>
              <w:adjustRightInd w:val="0"/>
              <w:snapToGrid w:val="0"/>
              <w:spacing w:line="320" w:lineRule="exact"/>
              <w:ind w:firstLine="420" w:firstLineChars="200"/>
              <w:rPr>
                <w:rFonts w:ascii="仿宋" w:hAnsi="仿宋" w:eastAsia="仿宋" w:cs="仿宋"/>
              </w:rPr>
            </w:pPr>
            <w:r>
              <w:rPr>
                <w:rFonts w:hint="eastAsia" w:ascii="仿宋" w:hAnsi="仿宋" w:eastAsia="仿宋" w:cs="仿宋"/>
              </w:rPr>
              <w:t>4.2.5电子投标文件未在投标截止时间前完成上传的，招标人将不予受理。</w:t>
            </w:r>
          </w:p>
          <w:p>
            <w:pPr>
              <w:adjustRightInd w:val="0"/>
              <w:snapToGrid w:val="0"/>
              <w:spacing w:line="320" w:lineRule="exact"/>
              <w:ind w:firstLine="420" w:firstLineChars="200"/>
              <w:rPr>
                <w:rFonts w:ascii="仿宋" w:hAnsi="仿宋" w:eastAsia="仿宋" w:cs="仿宋"/>
                <w:szCs w:val="21"/>
              </w:rPr>
            </w:pPr>
            <w:r>
              <w:rPr>
                <w:rFonts w:hint="eastAsia" w:ascii="仿宋" w:hAnsi="仿宋" w:eastAsia="仿宋" w:cs="仿宋"/>
              </w:rPr>
              <w:t>4.2.6在特殊情况下，招标人如果决定延后投标截止时间，应在投标人须知前附表规定的时间前，在杭州市公共资源交易网以“补充文件”的形式通知所有投标人延后投标截止时间。在此情况下，招标人和投标人的权利和义务相应延后至新的投标截止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26" w:hRule="atLeast"/>
          <w:jc w:val="center"/>
        </w:trPr>
        <w:tc>
          <w:tcPr>
            <w:tcW w:w="1105" w:type="dxa"/>
            <w:gridSpan w:val="2"/>
            <w:tcBorders>
              <w:top w:val="single" w:color="auto" w:sz="4" w:space="0"/>
              <w:bottom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4.3</w:t>
            </w:r>
          </w:p>
        </w:tc>
        <w:tc>
          <w:tcPr>
            <w:tcW w:w="2179" w:type="dxa"/>
            <w:gridSpan w:val="3"/>
            <w:tcBorders>
              <w:top w:val="single" w:color="auto" w:sz="4" w:space="0"/>
              <w:bottom w:val="single" w:color="auto" w:sz="4" w:space="0"/>
              <w:right w:val="single" w:color="auto" w:sz="4" w:space="0"/>
            </w:tcBorders>
            <w:vAlign w:val="center"/>
          </w:tcPr>
          <w:p>
            <w:pPr>
              <w:spacing w:line="300" w:lineRule="exact"/>
              <w:jc w:val="center"/>
              <w:rPr>
                <w:rFonts w:ascii="仿宋" w:hAnsi="仿宋" w:eastAsia="仿宋" w:cs="仿宋"/>
                <w:szCs w:val="21"/>
              </w:rPr>
            </w:pPr>
            <w:r>
              <w:rPr>
                <w:rFonts w:hint="eastAsia" w:ascii="仿宋" w:hAnsi="仿宋" w:eastAsia="仿宋" w:cs="仿宋"/>
                <w:szCs w:val="21"/>
              </w:rPr>
              <w:t>投标文件的修改与撤回</w:t>
            </w:r>
          </w:p>
        </w:tc>
        <w:tc>
          <w:tcPr>
            <w:tcW w:w="6448" w:type="dxa"/>
            <w:gridSpan w:val="2"/>
            <w:tcBorders>
              <w:top w:val="single" w:color="auto" w:sz="4" w:space="0"/>
              <w:left w:val="single" w:color="auto" w:sz="4" w:space="0"/>
              <w:bottom w:val="single" w:color="auto" w:sz="4" w:space="0"/>
            </w:tcBorders>
            <w:vAlign w:val="center"/>
          </w:tcPr>
          <w:p>
            <w:pPr>
              <w:spacing w:line="400" w:lineRule="exact"/>
              <w:rPr>
                <w:rFonts w:ascii="仿宋" w:hAnsi="仿宋" w:eastAsia="仿宋" w:cs="仿宋"/>
                <w:b/>
              </w:rPr>
            </w:pPr>
            <w:r>
              <w:rPr>
                <w:rFonts w:hint="eastAsia" w:ascii="仿宋" w:hAnsi="仿宋" w:eastAsia="仿宋" w:cs="仿宋"/>
                <w:b/>
              </w:rPr>
              <w:t>第4.3条细化为：</w:t>
            </w:r>
          </w:p>
          <w:p>
            <w:pPr>
              <w:adjustRightInd w:val="0"/>
              <w:snapToGrid w:val="0"/>
              <w:spacing w:line="320" w:lineRule="exact"/>
              <w:ind w:firstLine="210" w:firstLineChars="100"/>
              <w:rPr>
                <w:rFonts w:ascii="仿宋" w:hAnsi="仿宋" w:eastAsia="仿宋" w:cs="仿宋"/>
              </w:rPr>
            </w:pPr>
            <w:r>
              <w:rPr>
                <w:rFonts w:hint="eastAsia" w:ascii="仿宋" w:hAnsi="仿宋" w:eastAsia="仿宋" w:cs="仿宋"/>
              </w:rPr>
              <w:t>4.3.1 在本章第2.2.2项规定的投标截止时间前，投标人可以撤回已上传至“交易平台”的投标文件，且无需通知招标人。</w:t>
            </w:r>
          </w:p>
          <w:p>
            <w:pPr>
              <w:spacing w:line="276" w:lineRule="auto"/>
              <w:ind w:firstLine="210" w:firstLineChars="100"/>
              <w:jc w:val="left"/>
              <w:rPr>
                <w:rFonts w:ascii="仿宋" w:hAnsi="仿宋" w:eastAsia="仿宋" w:cs="仿宋"/>
                <w:szCs w:val="21"/>
              </w:rPr>
            </w:pPr>
            <w:r>
              <w:rPr>
                <w:rFonts w:hint="eastAsia" w:ascii="仿宋" w:hAnsi="仿宋" w:eastAsia="仿宋" w:cs="仿宋"/>
              </w:rPr>
              <w:t>4.3.2  投标人撤回修改后的投标文件，需在投标截止时间前重新上传至“交易平台”，或不参加投标，且无需另行通知招标人。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26" w:hRule="atLeast"/>
          <w:jc w:val="center"/>
        </w:trPr>
        <w:tc>
          <w:tcPr>
            <w:tcW w:w="1105" w:type="dxa"/>
            <w:gridSpan w:val="2"/>
            <w:tcBorders>
              <w:top w:val="single" w:color="auto" w:sz="4" w:space="0"/>
              <w:bottom w:val="single" w:color="auto" w:sz="4" w:space="0"/>
            </w:tcBorders>
            <w:vAlign w:val="center"/>
          </w:tcPr>
          <w:p>
            <w:pPr>
              <w:jc w:val="center"/>
              <w:rPr>
                <w:rFonts w:ascii="仿宋" w:hAnsi="仿宋" w:eastAsia="仿宋" w:cs="仿宋"/>
                <w:szCs w:val="21"/>
              </w:rPr>
            </w:pPr>
            <w:r>
              <w:rPr>
                <w:rFonts w:hint="eastAsia" w:ascii="仿宋" w:hAnsi="仿宋" w:eastAsia="仿宋" w:cs="仿宋"/>
                <w:b/>
              </w:rPr>
              <w:t>5.1</w:t>
            </w:r>
          </w:p>
        </w:tc>
        <w:tc>
          <w:tcPr>
            <w:tcW w:w="2179" w:type="dxa"/>
            <w:gridSpan w:val="3"/>
            <w:tcBorders>
              <w:top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rPr>
              <w:t>开标时间和地点</w:t>
            </w:r>
          </w:p>
        </w:tc>
        <w:tc>
          <w:tcPr>
            <w:tcW w:w="6448" w:type="dxa"/>
            <w:gridSpan w:val="2"/>
            <w:tcBorders>
              <w:top w:val="single" w:color="auto" w:sz="4" w:space="0"/>
              <w:left w:val="single" w:color="auto" w:sz="4" w:space="0"/>
              <w:bottom w:val="single" w:color="auto" w:sz="4" w:space="0"/>
            </w:tcBorders>
            <w:vAlign w:val="center"/>
          </w:tcPr>
          <w:p>
            <w:pPr>
              <w:spacing w:line="400" w:lineRule="exact"/>
              <w:rPr>
                <w:rFonts w:ascii="仿宋" w:hAnsi="仿宋" w:eastAsia="仿宋" w:cs="仿宋"/>
                <w:b/>
              </w:rPr>
            </w:pPr>
            <w:r>
              <w:rPr>
                <w:rFonts w:hint="eastAsia" w:ascii="仿宋" w:hAnsi="仿宋" w:eastAsia="仿宋" w:cs="仿宋"/>
                <w:b/>
              </w:rPr>
              <w:t xml:space="preserve">第5.1款细化为： </w:t>
            </w:r>
          </w:p>
          <w:p>
            <w:pPr>
              <w:spacing w:line="276" w:lineRule="auto"/>
              <w:ind w:right="105" w:rightChars="50" w:firstLine="210" w:firstLineChars="100"/>
              <w:jc w:val="left"/>
              <w:rPr>
                <w:rFonts w:ascii="仿宋" w:hAnsi="仿宋" w:eastAsia="仿宋" w:cs="仿宋"/>
                <w:szCs w:val="21"/>
              </w:rPr>
            </w:pPr>
            <w:r>
              <w:rPr>
                <w:rFonts w:hint="eastAsia" w:ascii="仿宋" w:hAnsi="仿宋" w:eastAsia="仿宋" w:cs="仿宋"/>
                <w:szCs w:val="21"/>
              </w:rPr>
              <w:t>招标人在投标人须知前附表规定的时间和地点对收到的投标文件公开开标。</w:t>
            </w:r>
          </w:p>
          <w:p>
            <w:pPr>
              <w:spacing w:line="276" w:lineRule="auto"/>
              <w:ind w:right="105" w:rightChars="50" w:firstLine="210" w:firstLineChars="100"/>
              <w:jc w:val="left"/>
              <w:rPr>
                <w:rFonts w:ascii="仿宋" w:hAnsi="仿宋" w:eastAsia="仿宋" w:cs="仿宋"/>
                <w:szCs w:val="21"/>
              </w:rPr>
            </w:pPr>
            <w:r>
              <w:rPr>
                <w:rFonts w:hint="eastAsia" w:ascii="仿宋" w:hAnsi="仿宋" w:eastAsia="仿宋" w:cs="仿宋"/>
                <w:szCs w:val="21"/>
              </w:rPr>
              <w:t>开标结果将在杭州市公共资源交易网同步公布。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26" w:hRule="atLeast"/>
          <w:jc w:val="center"/>
        </w:trPr>
        <w:tc>
          <w:tcPr>
            <w:tcW w:w="1105" w:type="dxa"/>
            <w:gridSpan w:val="2"/>
            <w:tcBorders>
              <w:top w:val="single" w:color="auto" w:sz="4" w:space="0"/>
              <w:bottom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5.2</w:t>
            </w:r>
          </w:p>
        </w:tc>
        <w:tc>
          <w:tcPr>
            <w:tcW w:w="2179" w:type="dxa"/>
            <w:gridSpan w:val="3"/>
            <w:tcBorders>
              <w:top w:val="single" w:color="auto" w:sz="4" w:space="0"/>
              <w:bottom w:val="single" w:color="auto" w:sz="4" w:space="0"/>
              <w:right w:val="single" w:color="auto" w:sz="4" w:space="0"/>
            </w:tcBorders>
            <w:vAlign w:val="center"/>
          </w:tcPr>
          <w:p>
            <w:pPr>
              <w:spacing w:line="300" w:lineRule="exact"/>
              <w:jc w:val="center"/>
              <w:rPr>
                <w:rFonts w:ascii="仿宋" w:hAnsi="仿宋" w:eastAsia="仿宋" w:cs="仿宋"/>
                <w:szCs w:val="21"/>
              </w:rPr>
            </w:pPr>
            <w:r>
              <w:rPr>
                <w:rFonts w:hint="eastAsia" w:ascii="仿宋" w:hAnsi="仿宋" w:eastAsia="仿宋" w:cs="仿宋"/>
                <w:szCs w:val="21"/>
              </w:rPr>
              <w:t>开标程序</w:t>
            </w:r>
          </w:p>
        </w:tc>
        <w:tc>
          <w:tcPr>
            <w:tcW w:w="6448" w:type="dxa"/>
            <w:gridSpan w:val="2"/>
            <w:tcBorders>
              <w:top w:val="single" w:color="auto" w:sz="4" w:space="0"/>
              <w:left w:val="single" w:color="auto" w:sz="4" w:space="0"/>
              <w:bottom w:val="single" w:color="auto" w:sz="4" w:space="0"/>
            </w:tcBorders>
            <w:vAlign w:val="center"/>
          </w:tcPr>
          <w:p>
            <w:pPr>
              <w:spacing w:line="360" w:lineRule="exact"/>
              <w:rPr>
                <w:rFonts w:ascii="仿宋" w:hAnsi="仿宋" w:eastAsia="仿宋" w:cs="仿宋"/>
                <w:szCs w:val="21"/>
              </w:rPr>
            </w:pPr>
            <w:r>
              <w:rPr>
                <w:rFonts w:hint="eastAsia" w:ascii="仿宋" w:hAnsi="仿宋" w:eastAsia="仿宋"/>
                <w:b/>
              </w:rPr>
              <w:t>第5.2条细化为：</w:t>
            </w:r>
          </w:p>
          <w:p>
            <w:pPr>
              <w:spacing w:line="276" w:lineRule="auto"/>
              <w:ind w:right="105" w:rightChars="50" w:firstLine="210" w:firstLineChars="100"/>
              <w:jc w:val="left"/>
              <w:rPr>
                <w:rFonts w:ascii="仿宋" w:hAnsi="仿宋" w:eastAsia="仿宋" w:cs="仿宋"/>
                <w:szCs w:val="21"/>
              </w:rPr>
            </w:pPr>
            <w:r>
              <w:rPr>
                <w:rFonts w:hint="eastAsia" w:ascii="仿宋" w:hAnsi="仿宋" w:eastAsia="仿宋" w:cs="仿宋"/>
                <w:szCs w:val="21"/>
              </w:rPr>
              <w:t>5.2.1 开标由交易中心工作人员、招标人及招标代理机构人员至开标室进行。</w:t>
            </w:r>
          </w:p>
          <w:p>
            <w:pPr>
              <w:spacing w:line="276" w:lineRule="auto"/>
              <w:ind w:right="105" w:rightChars="50" w:firstLine="210" w:firstLineChars="100"/>
              <w:jc w:val="left"/>
              <w:rPr>
                <w:rFonts w:ascii="仿宋" w:hAnsi="仿宋" w:eastAsia="仿宋" w:cs="仿宋"/>
                <w:szCs w:val="21"/>
              </w:rPr>
            </w:pPr>
            <w:r>
              <w:rPr>
                <w:rFonts w:hint="eastAsia" w:ascii="仿宋" w:hAnsi="仿宋" w:eastAsia="仿宋" w:cs="仿宋"/>
                <w:szCs w:val="21"/>
              </w:rPr>
              <w:t>5.2.2招标人按下列程序对投标文件进行开标：</w:t>
            </w:r>
          </w:p>
          <w:p>
            <w:pPr>
              <w:spacing w:line="276" w:lineRule="auto"/>
              <w:ind w:right="105" w:rightChars="50" w:firstLine="210" w:firstLineChars="100"/>
              <w:jc w:val="left"/>
              <w:rPr>
                <w:rFonts w:ascii="仿宋" w:hAnsi="仿宋" w:eastAsia="仿宋" w:cs="仿宋"/>
                <w:szCs w:val="21"/>
              </w:rPr>
            </w:pPr>
            <w:r>
              <w:rPr>
                <w:rFonts w:hint="eastAsia" w:ascii="仿宋" w:hAnsi="仿宋" w:eastAsia="仿宋" w:cs="仿宋"/>
                <w:szCs w:val="21"/>
              </w:rPr>
              <w:t>（1）至投标截止时间，招标人宣布开始开标，宣布开标纪律、项目名称、招标人代表、监标人等有关人员姓名。</w:t>
            </w:r>
          </w:p>
          <w:p>
            <w:pPr>
              <w:spacing w:line="276" w:lineRule="auto"/>
              <w:ind w:right="105" w:rightChars="50" w:firstLine="210" w:firstLineChars="100"/>
              <w:jc w:val="left"/>
              <w:rPr>
                <w:rFonts w:ascii="仿宋" w:hAnsi="仿宋" w:eastAsia="仿宋" w:cs="仿宋"/>
                <w:szCs w:val="21"/>
              </w:rPr>
            </w:pPr>
            <w:r>
              <w:rPr>
                <w:rFonts w:hint="eastAsia" w:ascii="仿宋" w:hAnsi="仿宋" w:eastAsia="仿宋" w:cs="仿宋"/>
                <w:szCs w:val="21"/>
              </w:rPr>
              <w:t>（2）招标人解密</w:t>
            </w:r>
            <w:r>
              <w:rPr>
                <w:rFonts w:ascii="仿宋" w:hAnsi="仿宋" w:eastAsia="仿宋" w:cs="仿宋"/>
                <w:szCs w:val="21"/>
              </w:rPr>
              <w:t>：</w:t>
            </w:r>
            <w:r>
              <w:rPr>
                <w:rFonts w:hint="eastAsia" w:ascii="仿宋" w:hAnsi="仿宋" w:eastAsia="仿宋" w:cs="仿宋"/>
                <w:szCs w:val="21"/>
              </w:rPr>
              <w:t>招标人使用生成招标文件的CA数字证书解密投标文件第一个信封。如招标人成功解密的投标文件为1或2家时，则宣布本次招标失败。</w:t>
            </w:r>
          </w:p>
          <w:p>
            <w:pPr>
              <w:spacing w:line="276" w:lineRule="auto"/>
              <w:ind w:right="105" w:rightChars="50" w:firstLine="210" w:firstLineChars="100"/>
              <w:jc w:val="left"/>
              <w:rPr>
                <w:rFonts w:ascii="仿宋" w:hAnsi="仿宋" w:eastAsia="仿宋" w:cs="仿宋"/>
                <w:szCs w:val="21"/>
              </w:rPr>
            </w:pPr>
            <w:r>
              <w:rPr>
                <w:rFonts w:hint="eastAsia" w:ascii="仿宋" w:hAnsi="仿宋" w:eastAsia="仿宋" w:cs="仿宋"/>
                <w:szCs w:val="21"/>
              </w:rPr>
              <w:t>（3）招标解密完成后，开标系统公布投标人名单</w:t>
            </w:r>
            <w:r>
              <w:rPr>
                <w:rFonts w:ascii="仿宋" w:hAnsi="仿宋" w:eastAsia="仿宋" w:cs="仿宋"/>
                <w:szCs w:val="21"/>
              </w:rPr>
              <w:t>、</w:t>
            </w:r>
            <w:r>
              <w:rPr>
                <w:rFonts w:hint="eastAsia" w:ascii="仿宋" w:hAnsi="仿宋" w:eastAsia="仿宋" w:cs="仿宋"/>
                <w:szCs w:val="21"/>
              </w:rPr>
              <w:t>质量目标、工期及其他内容。</w:t>
            </w:r>
          </w:p>
          <w:p>
            <w:pPr>
              <w:spacing w:line="276" w:lineRule="auto"/>
              <w:ind w:right="105" w:rightChars="50" w:firstLine="210" w:firstLineChars="100"/>
              <w:jc w:val="left"/>
            </w:pPr>
            <w:r>
              <w:rPr>
                <w:rFonts w:hint="eastAsia" w:ascii="仿宋" w:hAnsi="仿宋" w:eastAsia="仿宋" w:cs="仿宋"/>
                <w:szCs w:val="21"/>
              </w:rPr>
              <w:t>（4）招标人宣布开标结束。</w:t>
            </w:r>
          </w:p>
          <w:p>
            <w:pPr>
              <w:spacing w:line="276" w:lineRule="auto"/>
              <w:ind w:right="105" w:rightChars="50" w:firstLine="210" w:firstLineChars="100"/>
              <w:jc w:val="left"/>
            </w:pPr>
            <w:r>
              <w:rPr>
                <w:rFonts w:ascii="仿宋" w:hAnsi="仿宋" w:eastAsia="仿宋" w:cs="仿宋"/>
                <w:szCs w:val="21"/>
              </w:rPr>
              <w:t>（</w:t>
            </w:r>
            <w:r>
              <w:rPr>
                <w:rFonts w:hint="eastAsia" w:ascii="仿宋" w:hAnsi="仿宋" w:eastAsia="仿宋" w:cs="仿宋"/>
                <w:szCs w:val="21"/>
              </w:rPr>
              <w:t>5</w:t>
            </w:r>
            <w:r>
              <w:rPr>
                <w:rFonts w:ascii="仿宋" w:hAnsi="仿宋" w:eastAsia="仿宋" w:cs="仿宋"/>
                <w:szCs w:val="21"/>
              </w:rPr>
              <w:t>）开标现场一次性随机抽取投标基准价的调整系数、复合系数和下浮系数。</w:t>
            </w:r>
          </w:p>
          <w:p>
            <w:pPr>
              <w:numPr>
                <w:ilvl w:val="255"/>
                <w:numId w:val="0"/>
              </w:numPr>
              <w:spacing w:line="276" w:lineRule="auto"/>
              <w:ind w:right="105" w:rightChars="50" w:firstLine="210" w:firstLineChars="100"/>
              <w:jc w:val="left"/>
              <w:rPr>
                <w:rFonts w:ascii="仿宋" w:hAnsi="仿宋" w:eastAsia="仿宋" w:cs="仿宋"/>
                <w:szCs w:val="21"/>
              </w:rPr>
            </w:pPr>
            <w:r>
              <w:rPr>
                <w:rFonts w:ascii="仿宋" w:hAnsi="仿宋" w:eastAsia="仿宋" w:cs="仿宋"/>
                <w:szCs w:val="21"/>
              </w:rPr>
              <w:t>（</w:t>
            </w:r>
            <w:r>
              <w:rPr>
                <w:rFonts w:hint="eastAsia" w:ascii="仿宋" w:hAnsi="仿宋" w:eastAsia="仿宋" w:cs="仿宋"/>
                <w:szCs w:val="21"/>
              </w:rPr>
              <w:t>6</w:t>
            </w:r>
            <w:r>
              <w:rPr>
                <w:rFonts w:ascii="仿宋" w:hAnsi="仿宋" w:eastAsia="仿宋" w:cs="仿宋"/>
                <w:szCs w:val="21"/>
              </w:rPr>
              <w:t>）</w:t>
            </w:r>
            <w:r>
              <w:rPr>
                <w:rFonts w:hint="eastAsia" w:ascii="仿宋" w:hAnsi="仿宋" w:eastAsia="仿宋" w:cs="仿宋"/>
                <w:szCs w:val="21"/>
              </w:rPr>
              <w:t>投标人代表、招标人代表、监标人、记录人等有关人员在开标记录上签字确认；</w:t>
            </w:r>
          </w:p>
          <w:p>
            <w:pPr>
              <w:spacing w:line="276" w:lineRule="auto"/>
              <w:ind w:right="105" w:rightChars="50" w:firstLine="210" w:firstLineChars="100"/>
              <w:jc w:val="left"/>
              <w:rPr>
                <w:rFonts w:ascii="仿宋" w:hAnsi="仿宋" w:eastAsia="仿宋" w:cs="仿宋"/>
                <w:szCs w:val="21"/>
              </w:rPr>
            </w:pPr>
            <w:r>
              <w:rPr>
                <w:rFonts w:hint="eastAsia" w:ascii="仿宋" w:hAnsi="仿宋" w:eastAsia="仿宋" w:cs="仿宋"/>
                <w:szCs w:val="21"/>
              </w:rPr>
              <w:t>5.2.3 开标特别说明事项</w:t>
            </w:r>
          </w:p>
          <w:p>
            <w:pPr>
              <w:spacing w:line="276" w:lineRule="auto"/>
              <w:ind w:right="105" w:rightChars="50" w:firstLine="210" w:firstLineChars="100"/>
              <w:jc w:val="left"/>
              <w:rPr>
                <w:rFonts w:ascii="仿宋" w:hAnsi="仿宋" w:eastAsia="仿宋" w:cs="仿宋"/>
                <w:szCs w:val="21"/>
              </w:rPr>
            </w:pPr>
            <w:r>
              <w:rPr>
                <w:rFonts w:hint="eastAsia" w:ascii="仿宋" w:hAnsi="仿宋" w:eastAsia="仿宋" w:cs="仿宋"/>
                <w:szCs w:val="21"/>
              </w:rPr>
              <w:t>（1）因投标人原因造成其电子投标文件未解密的，视为撤销其投标文件；因投标人之外的原因造成电子投标文件未解密的，视为撤回其投标文件；</w:t>
            </w:r>
          </w:p>
          <w:p>
            <w:pPr>
              <w:spacing w:line="276" w:lineRule="auto"/>
              <w:ind w:right="105" w:rightChars="50" w:firstLine="210" w:firstLineChars="100"/>
              <w:jc w:val="left"/>
              <w:rPr>
                <w:rFonts w:ascii="仿宋" w:hAnsi="仿宋" w:eastAsia="仿宋" w:cs="仿宋"/>
                <w:szCs w:val="21"/>
              </w:rPr>
            </w:pPr>
            <w:r>
              <w:rPr>
                <w:rFonts w:hint="eastAsia" w:ascii="仿宋" w:hAnsi="仿宋" w:eastAsia="仿宋" w:cs="仿宋"/>
                <w:szCs w:val="21"/>
              </w:rPr>
              <w:t>（2）正常解密的投标文件在3家（含）以上时，部分投标人的电子投标文件无法解密的，其他投标文件的开标可以继续进行；</w:t>
            </w:r>
          </w:p>
          <w:p>
            <w:pPr>
              <w:spacing w:line="276" w:lineRule="auto"/>
              <w:ind w:right="105" w:rightChars="50" w:firstLine="210"/>
              <w:jc w:val="left"/>
            </w:pPr>
            <w:r>
              <w:rPr>
                <w:rFonts w:hint="eastAsia" w:ascii="仿宋" w:hAnsi="仿宋" w:eastAsia="仿宋" w:cs="仿宋"/>
                <w:szCs w:val="21"/>
              </w:rPr>
              <w:t>（3）因系统原因、电力故障或网络故障等不可抗力因素造成所有投标人的电子投标文件均无法解密时，经行业主管部门确认后延后开标时间，或商定其他补救措施。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23" w:hRule="atLeast"/>
          <w:jc w:val="center"/>
        </w:trPr>
        <w:tc>
          <w:tcPr>
            <w:tcW w:w="1105" w:type="dxa"/>
            <w:gridSpan w:val="2"/>
            <w:tcBorders>
              <w:top w:val="single" w:color="auto" w:sz="4" w:space="0"/>
              <w:bottom w:val="single" w:color="auto" w:sz="12"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7.1</w:t>
            </w:r>
          </w:p>
        </w:tc>
        <w:tc>
          <w:tcPr>
            <w:tcW w:w="2179" w:type="dxa"/>
            <w:gridSpan w:val="3"/>
            <w:tcBorders>
              <w:top w:val="single" w:color="auto" w:sz="4" w:space="0"/>
              <w:bottom w:val="single" w:color="auto" w:sz="12" w:space="0"/>
              <w:right w:val="single" w:color="auto" w:sz="4" w:space="0"/>
            </w:tcBorders>
            <w:vAlign w:val="center"/>
          </w:tcPr>
          <w:p>
            <w:pPr>
              <w:spacing w:line="300" w:lineRule="exact"/>
              <w:jc w:val="center"/>
              <w:rPr>
                <w:rFonts w:ascii="仿宋" w:hAnsi="仿宋" w:eastAsia="仿宋" w:cs="仿宋"/>
                <w:szCs w:val="21"/>
              </w:rPr>
            </w:pPr>
            <w:r>
              <w:rPr>
                <w:rFonts w:hint="eastAsia" w:ascii="仿宋" w:hAnsi="仿宋" w:eastAsia="仿宋" w:cs="仿宋"/>
                <w:szCs w:val="21"/>
              </w:rPr>
              <w:t>定标方式</w:t>
            </w:r>
          </w:p>
        </w:tc>
        <w:tc>
          <w:tcPr>
            <w:tcW w:w="6448" w:type="dxa"/>
            <w:gridSpan w:val="2"/>
            <w:tcBorders>
              <w:top w:val="single" w:color="auto" w:sz="4" w:space="0"/>
              <w:left w:val="single" w:color="auto" w:sz="4" w:space="0"/>
              <w:bottom w:val="single" w:color="auto" w:sz="12" w:space="0"/>
            </w:tcBorders>
            <w:vAlign w:val="center"/>
          </w:tcPr>
          <w:p>
            <w:pPr>
              <w:spacing w:line="276" w:lineRule="auto"/>
              <w:ind w:right="105" w:rightChars="50"/>
              <w:jc w:val="left"/>
              <w:rPr>
                <w:rFonts w:ascii="仿宋" w:hAnsi="仿宋" w:eastAsia="仿宋" w:cs="仿宋"/>
                <w:b/>
                <w:bCs/>
                <w:szCs w:val="21"/>
              </w:rPr>
            </w:pPr>
            <w:r>
              <w:rPr>
                <w:rFonts w:hint="eastAsia" w:ascii="仿宋" w:hAnsi="仿宋" w:eastAsia="仿宋" w:cs="仿宋"/>
                <w:b/>
                <w:bCs/>
                <w:szCs w:val="21"/>
              </w:rPr>
              <w:t>第7.1款补充以下内容：</w:t>
            </w:r>
          </w:p>
          <w:p>
            <w:pPr>
              <w:spacing w:line="276" w:lineRule="auto"/>
              <w:ind w:right="105" w:rightChars="50" w:firstLine="210" w:firstLineChars="100"/>
              <w:jc w:val="left"/>
              <w:rPr>
                <w:rFonts w:ascii="仿宋" w:hAnsi="仿宋" w:eastAsia="仿宋" w:cs="仿宋"/>
                <w:szCs w:val="21"/>
              </w:rPr>
            </w:pPr>
            <w:r>
              <w:rPr>
                <w:rFonts w:hint="eastAsia" w:ascii="仿宋" w:hAnsi="仿宋" w:eastAsia="仿宋" w:cs="仿宋"/>
                <w:szCs w:val="21"/>
              </w:rPr>
              <w:t>报经养护工程项目主管部门备案后，招标人将此合同授予投标文件通过资格审查、初步评审、详细评审，并且综合得分最高的投标人。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21" w:hRule="atLeast"/>
          <w:jc w:val="center"/>
        </w:trPr>
        <w:tc>
          <w:tcPr>
            <w:tcW w:w="1105" w:type="dxa"/>
            <w:gridSpan w:val="2"/>
            <w:tcBorders>
              <w:top w:val="single" w:color="auto" w:sz="4" w:space="0"/>
              <w:bottom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7.2</w:t>
            </w:r>
          </w:p>
        </w:tc>
        <w:tc>
          <w:tcPr>
            <w:tcW w:w="2179" w:type="dxa"/>
            <w:gridSpan w:val="3"/>
            <w:tcBorders>
              <w:top w:val="single" w:color="auto" w:sz="4" w:space="0"/>
              <w:bottom w:val="single" w:color="auto" w:sz="4" w:space="0"/>
              <w:right w:val="single" w:color="auto" w:sz="4" w:space="0"/>
            </w:tcBorders>
            <w:vAlign w:val="center"/>
          </w:tcPr>
          <w:p>
            <w:pPr>
              <w:spacing w:line="300" w:lineRule="exact"/>
              <w:jc w:val="center"/>
              <w:rPr>
                <w:rFonts w:ascii="仿宋" w:hAnsi="仿宋" w:eastAsia="仿宋" w:cs="仿宋"/>
                <w:szCs w:val="21"/>
              </w:rPr>
            </w:pPr>
            <w:r>
              <w:rPr>
                <w:rFonts w:hint="eastAsia" w:ascii="仿宋" w:hAnsi="仿宋" w:eastAsia="仿宋" w:cs="仿宋"/>
                <w:szCs w:val="21"/>
              </w:rPr>
              <w:t>中标通知</w:t>
            </w:r>
          </w:p>
        </w:tc>
        <w:tc>
          <w:tcPr>
            <w:tcW w:w="6448" w:type="dxa"/>
            <w:gridSpan w:val="2"/>
            <w:tcBorders>
              <w:top w:val="single" w:color="auto" w:sz="4" w:space="0"/>
              <w:left w:val="single" w:color="auto" w:sz="4" w:space="0"/>
              <w:bottom w:val="single" w:color="auto" w:sz="4" w:space="0"/>
            </w:tcBorders>
            <w:vAlign w:val="center"/>
          </w:tcPr>
          <w:p>
            <w:pPr>
              <w:spacing w:line="276" w:lineRule="auto"/>
              <w:ind w:right="105" w:rightChars="50"/>
              <w:jc w:val="left"/>
              <w:rPr>
                <w:rFonts w:ascii="仿宋" w:hAnsi="仿宋" w:eastAsia="仿宋" w:cs="仿宋"/>
                <w:b/>
                <w:bCs/>
                <w:szCs w:val="21"/>
              </w:rPr>
            </w:pPr>
            <w:r>
              <w:rPr>
                <w:rFonts w:hint="eastAsia" w:ascii="仿宋" w:hAnsi="仿宋" w:eastAsia="仿宋" w:cs="仿宋"/>
                <w:b/>
                <w:bCs/>
                <w:szCs w:val="21"/>
              </w:rPr>
              <w:t>第7.2款补充以下内容：</w:t>
            </w:r>
          </w:p>
          <w:p>
            <w:pPr>
              <w:spacing w:line="276" w:lineRule="auto"/>
              <w:ind w:right="105" w:rightChars="50" w:firstLine="210" w:firstLineChars="100"/>
              <w:rPr>
                <w:rFonts w:ascii="仿宋" w:hAnsi="仿宋" w:eastAsia="仿宋" w:cs="仿宋"/>
                <w:szCs w:val="21"/>
              </w:rPr>
            </w:pPr>
            <w:r>
              <w:rPr>
                <w:rFonts w:hint="eastAsia" w:ascii="仿宋" w:hAnsi="仿宋" w:eastAsia="仿宋" w:cs="仿宋"/>
                <w:szCs w:val="21"/>
              </w:rPr>
              <w:t>在本章第 3.3 款规定的投标有效期内，中标通知书报经养护工程项目主管部门备案后，招标人以网上发布或邮寄或书面送达的形式向中标人发出中标通知书，同时以上述形式将中标结果及未中标原因通知未中标的投标人。</w:t>
            </w:r>
          </w:p>
          <w:p>
            <w:pPr>
              <w:spacing w:line="276" w:lineRule="auto"/>
              <w:ind w:right="105" w:rightChars="50" w:firstLine="210" w:firstLineChars="100"/>
              <w:rPr>
                <w:rFonts w:ascii="仿宋" w:hAnsi="仿宋" w:eastAsia="仿宋" w:cs="仿宋"/>
                <w:szCs w:val="21"/>
              </w:rPr>
            </w:pPr>
            <w:r>
              <w:rPr>
                <w:rFonts w:hint="eastAsia" w:ascii="仿宋" w:hAnsi="仿宋" w:eastAsia="仿宋" w:cs="仿宋"/>
                <w:szCs w:val="21"/>
              </w:rPr>
              <w:t>中标人在收到中标通知书后7个工作日内，应与发包人签订合同协议书、廉政合同和安全生产合同，并按7.3.1款要求提交履约担保。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92" w:hRule="atLeast"/>
          <w:jc w:val="center"/>
        </w:trPr>
        <w:tc>
          <w:tcPr>
            <w:tcW w:w="1105" w:type="dxa"/>
            <w:gridSpan w:val="2"/>
            <w:tcBorders>
              <w:top w:val="single" w:color="auto" w:sz="4" w:space="0"/>
              <w:bottom w:val="single" w:color="auto" w:sz="4" w:space="0"/>
            </w:tcBorders>
            <w:vAlign w:val="center"/>
          </w:tcPr>
          <w:p>
            <w:pPr>
              <w:pStyle w:val="45"/>
              <w:ind w:left="207" w:right="207"/>
              <w:jc w:val="center"/>
              <w:rPr>
                <w:rFonts w:ascii="仿宋" w:hAnsi="仿宋" w:eastAsia="仿宋" w:cs="仿宋"/>
                <w:szCs w:val="21"/>
                <w:highlight w:val="none"/>
              </w:rPr>
            </w:pPr>
            <w:r>
              <w:rPr>
                <w:rFonts w:hint="eastAsia" w:ascii="仿宋" w:hAnsi="仿宋" w:eastAsia="仿宋" w:cs="仿宋"/>
                <w:highlight w:val="none"/>
              </w:rPr>
              <w:t>7.3</w:t>
            </w:r>
          </w:p>
        </w:tc>
        <w:tc>
          <w:tcPr>
            <w:tcW w:w="2179" w:type="dxa"/>
            <w:gridSpan w:val="3"/>
            <w:tcBorders>
              <w:top w:val="single" w:color="auto" w:sz="4" w:space="0"/>
              <w:bottom w:val="single" w:color="auto" w:sz="4" w:space="0"/>
              <w:right w:val="single" w:color="auto" w:sz="4" w:space="0"/>
            </w:tcBorders>
            <w:vAlign w:val="center"/>
          </w:tcPr>
          <w:p>
            <w:pPr>
              <w:pStyle w:val="45"/>
              <w:ind w:left="104"/>
              <w:jc w:val="center"/>
              <w:rPr>
                <w:rFonts w:ascii="仿宋" w:hAnsi="仿宋" w:eastAsia="仿宋" w:cs="仿宋"/>
                <w:szCs w:val="21"/>
                <w:highlight w:val="none"/>
              </w:rPr>
            </w:pPr>
            <w:r>
              <w:rPr>
                <w:rFonts w:hint="eastAsia" w:ascii="仿宋" w:hAnsi="仿宋" w:eastAsia="仿宋" w:cs="仿宋"/>
                <w:highlight w:val="none"/>
              </w:rPr>
              <w:t>履约担保</w:t>
            </w:r>
          </w:p>
        </w:tc>
        <w:tc>
          <w:tcPr>
            <w:tcW w:w="6448" w:type="dxa"/>
            <w:gridSpan w:val="2"/>
            <w:tcBorders>
              <w:top w:val="single" w:color="auto" w:sz="4" w:space="0"/>
              <w:left w:val="single" w:color="auto" w:sz="4" w:space="0"/>
              <w:bottom w:val="single" w:color="auto" w:sz="4" w:space="0"/>
            </w:tcBorders>
            <w:vAlign w:val="center"/>
          </w:tcPr>
          <w:p>
            <w:pPr>
              <w:spacing w:line="276" w:lineRule="auto"/>
              <w:ind w:right="105" w:rightChars="50" w:firstLine="210"/>
              <w:jc w:val="left"/>
              <w:rPr>
                <w:rFonts w:hint="eastAsia" w:ascii="仿宋" w:hAnsi="仿宋" w:eastAsia="仿宋" w:cs="仿宋"/>
                <w:b/>
                <w:bCs/>
                <w:color w:val="0000FF"/>
                <w:lang w:val="en-US" w:eastAsia="zh-CN"/>
              </w:rPr>
            </w:pPr>
            <w:r>
              <w:rPr>
                <w:rFonts w:hint="eastAsia"/>
                <w:lang w:eastAsia="en-US"/>
              </w:rPr>
              <w:t>7.3.1 在签订合同协议书、廉政合同、安全生产合同前，中标人应按投标人须知前附表</w:t>
            </w:r>
            <w:r>
              <w:rPr>
                <w:rFonts w:hint="eastAsia" w:ascii="仿宋" w:hAnsi="仿宋" w:eastAsia="仿宋" w:cs="仿宋"/>
                <w:b/>
                <w:bCs/>
                <w:color w:val="0000FF"/>
                <w:lang w:eastAsia="zh-CN"/>
              </w:rPr>
              <w:t>的</w:t>
            </w:r>
            <w:r>
              <w:rPr>
                <w:rFonts w:hint="eastAsia" w:ascii="仿宋" w:hAnsi="仿宋" w:eastAsia="仿宋" w:cs="仿宋"/>
                <w:b/>
                <w:bCs/>
                <w:color w:val="0000FF"/>
                <w:lang w:eastAsia="en-US"/>
              </w:rPr>
              <w:t>规定和招标文件</w:t>
            </w:r>
            <w:r>
              <w:rPr>
                <w:rFonts w:hint="eastAsia" w:ascii="仿宋" w:hAnsi="仿宋" w:eastAsia="仿宋" w:cs="仿宋"/>
                <w:b/>
                <w:bCs/>
                <w:color w:val="0000FF"/>
                <w:lang w:eastAsia="zh-CN"/>
              </w:rPr>
              <w:t>的</w:t>
            </w:r>
            <w:r>
              <w:rPr>
                <w:rFonts w:hint="eastAsia" w:ascii="仿宋" w:hAnsi="仿宋" w:eastAsia="仿宋" w:cs="仿宋"/>
                <w:b/>
                <w:bCs/>
                <w:color w:val="0000FF"/>
              </w:rPr>
              <w:t>合同附件</w:t>
            </w:r>
            <w:r>
              <w:rPr>
                <w:rFonts w:hint="eastAsia" w:ascii="仿宋" w:hAnsi="仿宋" w:eastAsia="仿宋" w:cs="仿宋"/>
                <w:b/>
                <w:bCs/>
                <w:color w:val="0000FF"/>
                <w:lang w:eastAsia="zh-CN"/>
              </w:rPr>
              <w:t>履约担保</w:t>
            </w:r>
            <w:r>
              <w:rPr>
                <w:rFonts w:hint="eastAsia" w:ascii="仿宋" w:hAnsi="仿宋" w:eastAsia="仿宋" w:cs="仿宋"/>
                <w:b/>
                <w:bCs/>
                <w:color w:val="0000FF"/>
              </w:rPr>
              <w:t>承诺书</w:t>
            </w:r>
            <w:r>
              <w:rPr>
                <w:rFonts w:hint="eastAsia" w:ascii="仿宋" w:hAnsi="仿宋" w:eastAsia="仿宋" w:cs="仿宋"/>
                <w:b/>
                <w:bCs/>
                <w:color w:val="0000FF"/>
                <w:lang w:eastAsia="en-US"/>
              </w:rPr>
              <w:t>格式向招标人提交履约担保</w:t>
            </w:r>
            <w:r>
              <w:rPr>
                <w:rFonts w:hint="eastAsia" w:ascii="仿宋" w:hAnsi="仿宋" w:eastAsia="仿宋" w:cs="仿宋"/>
                <w:b/>
                <w:bCs/>
                <w:color w:val="0000FF"/>
                <w:lang w:eastAsia="zh-CN"/>
              </w:rPr>
              <w:t>，</w:t>
            </w:r>
            <w:r>
              <w:rPr>
                <w:rFonts w:hint="eastAsia" w:ascii="仿宋" w:hAnsi="仿宋" w:eastAsia="仿宋" w:cs="仿宋"/>
                <w:b/>
                <w:bCs/>
                <w:color w:val="0000FF"/>
              </w:rPr>
              <w:t>提交的承诺书须经招标人确认。</w:t>
            </w:r>
            <w:r>
              <w:rPr>
                <w:rFonts w:hint="eastAsia" w:ascii="仿宋" w:hAnsi="仿宋" w:eastAsia="仿宋" w:cs="仿宋"/>
                <w:b/>
                <w:bCs/>
                <w:color w:val="0000FF"/>
                <w:lang w:val="en-US" w:eastAsia="zh-CN"/>
              </w:rPr>
              <w:t>其合同履约担保行为与信用等级挂钩。</w:t>
            </w:r>
          </w:p>
          <w:p>
            <w:pPr>
              <w:pStyle w:val="2"/>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92" w:hRule="atLeast"/>
          <w:jc w:val="center"/>
        </w:trPr>
        <w:tc>
          <w:tcPr>
            <w:tcW w:w="1105" w:type="dxa"/>
            <w:gridSpan w:val="2"/>
            <w:tcBorders>
              <w:top w:val="single" w:color="auto" w:sz="4" w:space="0"/>
              <w:bottom w:val="single" w:color="auto" w:sz="4" w:space="0"/>
            </w:tcBorders>
          </w:tcPr>
          <w:p>
            <w:pPr>
              <w:pStyle w:val="45"/>
              <w:rPr>
                <w:rFonts w:ascii="仿宋" w:hAnsi="仿宋" w:eastAsia="仿宋" w:cs="仿宋"/>
                <w:sz w:val="20"/>
              </w:rPr>
            </w:pPr>
          </w:p>
          <w:p>
            <w:pPr>
              <w:pStyle w:val="45"/>
              <w:spacing w:before="7"/>
              <w:rPr>
                <w:rFonts w:ascii="仿宋" w:hAnsi="仿宋" w:eastAsia="仿宋" w:cs="仿宋"/>
                <w:sz w:val="19"/>
              </w:rPr>
            </w:pPr>
          </w:p>
          <w:p>
            <w:pPr>
              <w:pStyle w:val="45"/>
              <w:ind w:left="207" w:right="207"/>
              <w:jc w:val="center"/>
              <w:rPr>
                <w:rFonts w:ascii="仿宋" w:hAnsi="仿宋" w:eastAsia="仿宋" w:cs="仿宋"/>
                <w:szCs w:val="21"/>
              </w:rPr>
            </w:pPr>
            <w:r>
              <w:rPr>
                <w:rFonts w:hint="eastAsia" w:ascii="仿宋" w:hAnsi="仿宋" w:eastAsia="仿宋" w:cs="仿宋"/>
              </w:rPr>
              <w:t>7.4</w:t>
            </w:r>
          </w:p>
        </w:tc>
        <w:tc>
          <w:tcPr>
            <w:tcW w:w="2179" w:type="dxa"/>
            <w:gridSpan w:val="3"/>
            <w:tcBorders>
              <w:top w:val="single" w:color="auto" w:sz="4" w:space="0"/>
              <w:bottom w:val="single" w:color="auto" w:sz="4" w:space="0"/>
              <w:right w:val="single" w:color="auto" w:sz="4" w:space="0"/>
            </w:tcBorders>
          </w:tcPr>
          <w:p>
            <w:pPr>
              <w:pStyle w:val="45"/>
              <w:rPr>
                <w:rFonts w:ascii="仿宋" w:hAnsi="仿宋" w:eastAsia="仿宋" w:cs="仿宋"/>
                <w:sz w:val="20"/>
              </w:rPr>
            </w:pPr>
          </w:p>
          <w:p>
            <w:pPr>
              <w:pStyle w:val="45"/>
              <w:spacing w:before="7"/>
              <w:rPr>
                <w:rFonts w:ascii="仿宋" w:hAnsi="仿宋" w:eastAsia="仿宋" w:cs="仿宋"/>
                <w:sz w:val="19"/>
              </w:rPr>
            </w:pPr>
          </w:p>
          <w:p>
            <w:pPr>
              <w:pStyle w:val="45"/>
              <w:ind w:left="104"/>
              <w:jc w:val="center"/>
              <w:rPr>
                <w:rFonts w:ascii="仿宋" w:hAnsi="仿宋" w:eastAsia="仿宋" w:cs="仿宋"/>
                <w:szCs w:val="21"/>
              </w:rPr>
            </w:pPr>
            <w:r>
              <w:rPr>
                <w:rFonts w:hint="eastAsia" w:ascii="仿宋" w:hAnsi="仿宋" w:eastAsia="仿宋" w:cs="仿宋"/>
              </w:rPr>
              <w:t>签订合同</w:t>
            </w:r>
          </w:p>
        </w:tc>
        <w:tc>
          <w:tcPr>
            <w:tcW w:w="6448" w:type="dxa"/>
            <w:gridSpan w:val="2"/>
            <w:tcBorders>
              <w:top w:val="single" w:color="auto" w:sz="4" w:space="0"/>
              <w:left w:val="single" w:color="auto" w:sz="4" w:space="0"/>
              <w:bottom w:val="single" w:color="auto" w:sz="4" w:space="0"/>
            </w:tcBorders>
            <w:vAlign w:val="center"/>
          </w:tcPr>
          <w:p>
            <w:pPr>
              <w:spacing w:line="276" w:lineRule="auto"/>
              <w:ind w:right="105" w:rightChars="50" w:firstLine="211" w:firstLineChars="100"/>
              <w:rPr>
                <w:rFonts w:ascii="仿宋" w:hAnsi="仿宋" w:eastAsia="仿宋" w:cs="仿宋"/>
                <w:b/>
                <w:bCs/>
                <w:szCs w:val="21"/>
              </w:rPr>
            </w:pPr>
            <w:r>
              <w:rPr>
                <w:rFonts w:hint="eastAsia" w:ascii="仿宋" w:hAnsi="仿宋" w:eastAsia="仿宋" w:cs="仿宋"/>
                <w:b/>
                <w:bCs/>
                <w:szCs w:val="21"/>
              </w:rPr>
              <w:t>第 7.4.4 项细化为：</w:t>
            </w:r>
          </w:p>
          <w:p>
            <w:pPr>
              <w:spacing w:line="276" w:lineRule="auto"/>
              <w:ind w:right="105" w:rightChars="50" w:firstLine="210" w:firstLineChars="100"/>
              <w:rPr>
                <w:rFonts w:ascii="仿宋" w:hAnsi="仿宋" w:eastAsia="仿宋" w:cs="仿宋"/>
                <w:bCs/>
                <w:szCs w:val="21"/>
              </w:rPr>
            </w:pPr>
            <w:r>
              <w:rPr>
                <w:rFonts w:hint="eastAsia" w:ascii="仿宋" w:hAnsi="仿宋" w:eastAsia="仿宋" w:cs="仿宋"/>
                <w:szCs w:val="21"/>
              </w:rPr>
              <w:t>合同协议书经双方法定代表人或其授权的代理人签署并加盖单位公章后生效。发包人和中标人在签订合同协议书的同时需按照本招标文件规定的格式和要求签订廉政合同、安全生产合同，明确双方在廉政建设、安全生产方面的权利和义务以及应承担的违约责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92" w:hRule="atLeast"/>
          <w:jc w:val="center"/>
        </w:trPr>
        <w:tc>
          <w:tcPr>
            <w:tcW w:w="1105" w:type="dxa"/>
            <w:gridSpan w:val="2"/>
            <w:tcBorders>
              <w:top w:val="single" w:color="auto" w:sz="4" w:space="0"/>
              <w:bottom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10.2</w:t>
            </w:r>
          </w:p>
        </w:tc>
        <w:tc>
          <w:tcPr>
            <w:tcW w:w="2179" w:type="dxa"/>
            <w:gridSpan w:val="3"/>
            <w:tcBorders>
              <w:top w:val="single" w:color="auto" w:sz="4" w:space="0"/>
              <w:bottom w:val="single" w:color="auto" w:sz="4" w:space="0"/>
              <w:right w:val="single" w:color="auto" w:sz="4" w:space="0"/>
            </w:tcBorders>
            <w:vAlign w:val="center"/>
          </w:tcPr>
          <w:p>
            <w:pPr>
              <w:spacing w:line="300" w:lineRule="exact"/>
              <w:jc w:val="center"/>
              <w:rPr>
                <w:rFonts w:ascii="仿宋" w:hAnsi="仿宋" w:eastAsia="仿宋" w:cs="仿宋"/>
                <w:szCs w:val="21"/>
              </w:rPr>
            </w:pPr>
            <w:r>
              <w:rPr>
                <w:rFonts w:hint="eastAsia" w:ascii="仿宋" w:hAnsi="仿宋" w:eastAsia="仿宋" w:cs="仿宋"/>
                <w:szCs w:val="21"/>
              </w:rPr>
              <w:t>评标结果公示</w:t>
            </w:r>
          </w:p>
        </w:tc>
        <w:tc>
          <w:tcPr>
            <w:tcW w:w="6448" w:type="dxa"/>
            <w:gridSpan w:val="2"/>
            <w:tcBorders>
              <w:top w:val="single" w:color="auto" w:sz="4" w:space="0"/>
              <w:left w:val="single" w:color="auto" w:sz="4" w:space="0"/>
              <w:bottom w:val="single" w:color="auto" w:sz="4" w:space="0"/>
            </w:tcBorders>
            <w:vAlign w:val="center"/>
          </w:tcPr>
          <w:p>
            <w:pPr>
              <w:spacing w:line="276" w:lineRule="auto"/>
              <w:ind w:right="105" w:rightChars="50"/>
              <w:rPr>
                <w:rFonts w:ascii="仿宋" w:hAnsi="仿宋" w:eastAsia="仿宋" w:cs="仿宋"/>
                <w:b/>
                <w:bCs/>
                <w:szCs w:val="21"/>
              </w:rPr>
            </w:pPr>
            <w:r>
              <w:rPr>
                <w:rFonts w:hint="eastAsia" w:ascii="仿宋" w:hAnsi="仿宋" w:eastAsia="仿宋" w:cs="仿宋"/>
                <w:b/>
                <w:bCs/>
                <w:szCs w:val="21"/>
              </w:rPr>
              <w:t>补充10.2款：</w:t>
            </w:r>
          </w:p>
          <w:p>
            <w:pPr>
              <w:spacing w:line="276" w:lineRule="auto"/>
              <w:ind w:right="105" w:rightChars="50" w:firstLine="210" w:firstLineChars="100"/>
              <w:rPr>
                <w:rFonts w:ascii="仿宋" w:hAnsi="仿宋" w:eastAsia="仿宋" w:cs="仿宋"/>
                <w:szCs w:val="21"/>
              </w:rPr>
            </w:pPr>
            <w:r>
              <w:rPr>
                <w:rFonts w:hint="eastAsia" w:ascii="仿宋" w:hAnsi="仿宋" w:eastAsia="仿宋" w:cs="仿宋"/>
                <w:bCs/>
                <w:szCs w:val="21"/>
              </w:rPr>
              <w:t>评标结束后，将评标结果在杭州市公共资源交易网（https://hzctc.hangzhou.gov.cn/）</w:t>
            </w:r>
            <w:r>
              <w:rPr>
                <w:rFonts w:hint="eastAsia" w:ascii="仿宋" w:hAnsi="仿宋" w:eastAsia="仿宋" w:cs="仿宋"/>
                <w:bCs/>
                <w:szCs w:val="21"/>
                <w:highlight w:val="yellow"/>
              </w:rPr>
              <w:t>和杭州交通信息网（</w:t>
            </w:r>
            <w:r>
              <w:rPr>
                <w:rFonts w:ascii="仿宋" w:hAnsi="仿宋" w:eastAsia="仿宋" w:cs="仿宋"/>
                <w:bCs/>
                <w:szCs w:val="21"/>
                <w:highlight w:val="yellow"/>
              </w:rPr>
              <w:t>http://tb.hangzhou.gov.cn</w:t>
            </w:r>
            <w:r>
              <w:rPr>
                <w:rFonts w:hint="eastAsia" w:ascii="仿宋" w:hAnsi="仿宋" w:eastAsia="仿宋" w:cs="仿宋"/>
                <w:bCs/>
                <w:szCs w:val="21"/>
                <w:highlight w:val="yellow"/>
              </w:rPr>
              <w:t>）</w:t>
            </w:r>
            <w:r>
              <w:rPr>
                <w:rFonts w:hint="eastAsia" w:ascii="仿宋" w:hAnsi="仿宋" w:eastAsia="仿宋" w:cs="仿宋"/>
                <w:bCs/>
                <w:szCs w:val="21"/>
              </w:rPr>
              <w:t>公示三个工作日，公示包括推荐中标候选人1名及其最终报价、综合得分及否决投标的原因和依据等。如果发现有弄虚作假的行为，取消中标资格，并建议政府主管部门予以通报。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92" w:hRule="atLeast"/>
          <w:jc w:val="center"/>
        </w:trPr>
        <w:tc>
          <w:tcPr>
            <w:tcW w:w="1105" w:type="dxa"/>
            <w:gridSpan w:val="2"/>
            <w:tcBorders>
              <w:top w:val="single" w:color="auto" w:sz="4" w:space="0"/>
              <w:bottom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10.3</w:t>
            </w:r>
          </w:p>
        </w:tc>
        <w:tc>
          <w:tcPr>
            <w:tcW w:w="2179" w:type="dxa"/>
            <w:gridSpan w:val="3"/>
            <w:tcBorders>
              <w:top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行贿查询</w:t>
            </w:r>
          </w:p>
        </w:tc>
        <w:tc>
          <w:tcPr>
            <w:tcW w:w="6448" w:type="dxa"/>
            <w:gridSpan w:val="2"/>
            <w:tcBorders>
              <w:top w:val="single" w:color="auto" w:sz="4" w:space="0"/>
              <w:left w:val="single" w:color="auto" w:sz="4" w:space="0"/>
              <w:bottom w:val="single" w:color="auto" w:sz="4" w:space="0"/>
            </w:tcBorders>
            <w:vAlign w:val="center"/>
          </w:tcPr>
          <w:p>
            <w:pPr>
              <w:spacing w:line="276" w:lineRule="auto"/>
              <w:ind w:right="105" w:rightChars="50"/>
              <w:rPr>
                <w:rFonts w:ascii="仿宋" w:hAnsi="仿宋" w:eastAsia="仿宋" w:cs="仿宋"/>
                <w:b/>
                <w:bCs/>
                <w:szCs w:val="21"/>
              </w:rPr>
            </w:pPr>
            <w:r>
              <w:rPr>
                <w:rFonts w:hint="eastAsia" w:ascii="仿宋" w:hAnsi="仿宋" w:eastAsia="仿宋" w:cs="仿宋"/>
                <w:b/>
                <w:bCs/>
                <w:szCs w:val="21"/>
              </w:rPr>
              <w:t>补充第 10.3 款</w:t>
            </w:r>
          </w:p>
          <w:p>
            <w:pPr>
              <w:spacing w:line="276" w:lineRule="auto"/>
              <w:ind w:right="105" w:rightChars="50" w:firstLine="210" w:firstLineChars="100"/>
              <w:rPr>
                <w:rFonts w:ascii="仿宋" w:hAnsi="仿宋" w:eastAsia="仿宋" w:cs="仿宋"/>
                <w:bCs/>
                <w:szCs w:val="21"/>
              </w:rPr>
            </w:pPr>
            <w:r>
              <w:rPr>
                <w:rFonts w:hint="eastAsia" w:ascii="仿宋" w:hAnsi="仿宋" w:eastAsia="仿宋" w:cs="仿宋"/>
                <w:szCs w:val="21"/>
              </w:rPr>
              <w:t>对公示的推荐中标候选人及拟委任的项目经理，招标人将通过中国裁判文书网（</w:t>
            </w:r>
            <w:r>
              <w:fldChar w:fldCharType="begin"/>
            </w:r>
            <w:r>
              <w:instrText xml:space="preserve"> HYPERLINK "http://wenshu.court.gov.cn/" \h </w:instrText>
            </w:r>
            <w:r>
              <w:fldChar w:fldCharType="separate"/>
            </w:r>
            <w:r>
              <w:rPr>
                <w:rFonts w:hint="eastAsia" w:ascii="仿宋" w:hAnsi="仿宋" w:eastAsia="仿宋" w:cs="仿宋"/>
                <w:szCs w:val="21"/>
              </w:rPr>
              <w:t>http://wenshu.court.gov.cn/</w:t>
            </w:r>
            <w:r>
              <w:rPr>
                <w:rFonts w:hint="eastAsia" w:ascii="仿宋" w:hAnsi="仿宋" w:eastAsia="仿宋" w:cs="仿宋"/>
                <w:szCs w:val="21"/>
              </w:rPr>
              <w:fldChar w:fldCharType="end"/>
            </w:r>
            <w:r>
              <w:rPr>
                <w:rFonts w:hint="eastAsia" w:ascii="仿宋" w:hAnsi="仿宋" w:eastAsia="仿宋" w:cs="仿宋"/>
                <w:szCs w:val="21"/>
              </w:rPr>
              <w:t>）进行行贿犯罪档案查询，查实推荐中标候选人或拟委任的项目经理自</w:t>
            </w:r>
            <w:r>
              <w:rPr>
                <w:rFonts w:hint="eastAsia" w:ascii="仿宋" w:hAnsi="仿宋" w:eastAsia="仿宋" w:cs="仿宋"/>
                <w:bCs/>
                <w:iCs/>
                <w:szCs w:val="21"/>
                <w:u w:val="single"/>
              </w:rPr>
              <w:t>2019年01月01日</w:t>
            </w:r>
            <w:r>
              <w:rPr>
                <w:rFonts w:hint="eastAsia" w:ascii="仿宋" w:hAnsi="仿宋" w:eastAsia="仿宋" w:cs="仿宋"/>
                <w:szCs w:val="21"/>
              </w:rPr>
              <w:t>以来有行贿犯罪行为的，则取消该中标候选人的中标资格。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92" w:hRule="atLeast"/>
          <w:jc w:val="center"/>
        </w:trPr>
        <w:tc>
          <w:tcPr>
            <w:tcW w:w="1105" w:type="dxa"/>
            <w:gridSpan w:val="2"/>
            <w:tcBorders>
              <w:top w:val="single" w:color="auto" w:sz="4" w:space="0"/>
              <w:bottom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10.4</w:t>
            </w:r>
          </w:p>
        </w:tc>
        <w:tc>
          <w:tcPr>
            <w:tcW w:w="2179" w:type="dxa"/>
            <w:gridSpan w:val="3"/>
            <w:tcBorders>
              <w:top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招标投标方式</w:t>
            </w:r>
          </w:p>
        </w:tc>
        <w:tc>
          <w:tcPr>
            <w:tcW w:w="6448" w:type="dxa"/>
            <w:gridSpan w:val="2"/>
            <w:tcBorders>
              <w:top w:val="single" w:color="auto" w:sz="4" w:space="0"/>
              <w:left w:val="single" w:color="auto" w:sz="4" w:space="0"/>
              <w:bottom w:val="single" w:color="auto" w:sz="4" w:space="0"/>
            </w:tcBorders>
            <w:vAlign w:val="center"/>
          </w:tcPr>
          <w:p>
            <w:pPr>
              <w:spacing w:line="276" w:lineRule="auto"/>
              <w:ind w:right="105" w:rightChars="50" w:firstLine="210" w:firstLineChars="100"/>
              <w:rPr>
                <w:rFonts w:ascii="仿宋" w:hAnsi="仿宋" w:eastAsia="仿宋" w:cs="仿宋"/>
                <w:bCs/>
                <w:szCs w:val="21"/>
              </w:rPr>
            </w:pPr>
            <w:r>
              <w:rPr>
                <w:rFonts w:hint="eastAsia" w:ascii="仿宋" w:hAnsi="仿宋" w:eastAsia="仿宋" w:cs="仿宋"/>
                <w:szCs w:val="21"/>
              </w:rPr>
              <w:t>本项目采用全流程电子招投标</w:t>
            </w:r>
          </w:p>
        </w:tc>
      </w:tr>
    </w:tbl>
    <w:p>
      <w:bookmarkStart w:id="131" w:name="_Toc282778882"/>
      <w:bookmarkStart w:id="132" w:name="_Toc237255060"/>
      <w:bookmarkStart w:id="133" w:name="_Toc282779391"/>
      <w:bookmarkStart w:id="134" w:name="_Toc288491407"/>
      <w:bookmarkStart w:id="135" w:name="_Toc235846284"/>
      <w:bookmarkStart w:id="136" w:name="_Toc287853231"/>
      <w:bookmarkStart w:id="137" w:name="_Toc238550048"/>
      <w:bookmarkStart w:id="138" w:name="_Toc233429678"/>
      <w:bookmarkStart w:id="139" w:name="_Toc288546531"/>
      <w:bookmarkStart w:id="140" w:name="_Toc233435895"/>
      <w:bookmarkStart w:id="141" w:name="_Toc283794079"/>
      <w:bookmarkStart w:id="142" w:name="_Toc237744601"/>
      <w:bookmarkStart w:id="143" w:name="_Toc282787322"/>
      <w:bookmarkStart w:id="144" w:name="_Toc233423168"/>
    </w:p>
    <w:p>
      <w:pPr>
        <w:pStyle w:val="2"/>
        <w:ind w:firstLine="0" w:firstLineChars="0"/>
      </w:pPr>
      <w:bookmarkStart w:id="145" w:name="_Toc8472"/>
      <w:bookmarkStart w:id="146" w:name="_Toc5362"/>
      <w:bookmarkStart w:id="147" w:name="_Toc9445"/>
      <w:bookmarkStart w:id="148" w:name="_Toc14759"/>
      <w:bookmarkStart w:id="149" w:name="_Toc9022"/>
      <w:bookmarkStart w:id="150" w:name="_Toc7776"/>
      <w:bookmarkStart w:id="151" w:name="_Toc24087"/>
      <w:bookmarkStart w:id="152" w:name="_Toc31058"/>
      <w:bookmarkStart w:id="153" w:name="_Toc31607"/>
      <w:bookmarkStart w:id="154" w:name="_Toc25219"/>
      <w:bookmarkStart w:id="155" w:name="_Toc6431"/>
      <w:bookmarkStart w:id="156" w:name="_Toc243"/>
      <w:bookmarkStart w:id="157" w:name="_Toc29942"/>
    </w:p>
    <w:p>
      <w:pPr>
        <w:pStyle w:val="2"/>
        <w:ind w:firstLine="0" w:firstLineChars="0"/>
        <w:rPr>
          <w:b/>
          <w:bCs/>
          <w:sz w:val="28"/>
          <w:szCs w:val="28"/>
        </w:rPr>
      </w:pPr>
    </w:p>
    <w:p>
      <w:pPr>
        <w:pStyle w:val="2"/>
        <w:ind w:firstLine="0" w:firstLineChars="0"/>
        <w:rPr>
          <w:b/>
          <w:bCs/>
          <w:sz w:val="28"/>
          <w:szCs w:val="28"/>
        </w:rPr>
      </w:pPr>
    </w:p>
    <w:p>
      <w:pPr>
        <w:pStyle w:val="2"/>
        <w:ind w:firstLine="0" w:firstLineChars="0"/>
        <w:rPr>
          <w:b/>
          <w:bCs/>
          <w:sz w:val="28"/>
          <w:szCs w:val="28"/>
        </w:rPr>
      </w:pPr>
    </w:p>
    <w:p>
      <w:pPr>
        <w:pStyle w:val="18"/>
      </w:pPr>
    </w:p>
    <w:p>
      <w:pPr>
        <w:rPr>
          <w:b/>
          <w:bCs/>
          <w:sz w:val="28"/>
          <w:szCs w:val="28"/>
        </w:rPr>
      </w:pPr>
      <w:r>
        <w:rPr>
          <w:rFonts w:hint="eastAsia"/>
          <w:b/>
          <w:bCs/>
          <w:sz w:val="28"/>
          <w:szCs w:val="28"/>
        </w:rPr>
        <w:br w:type="page"/>
      </w:r>
    </w:p>
    <w:p>
      <w:pPr>
        <w:keepNext/>
        <w:keepLines/>
        <w:spacing w:after="100"/>
        <w:jc w:val="center"/>
        <w:rPr>
          <w:b/>
          <w:bCs/>
          <w:sz w:val="28"/>
          <w:szCs w:val="28"/>
        </w:rPr>
      </w:pPr>
      <w:r>
        <w:rPr>
          <w:rFonts w:hint="eastAsia"/>
          <w:b/>
          <w:bCs/>
          <w:sz w:val="28"/>
          <w:szCs w:val="28"/>
        </w:rPr>
        <w:t>附录1  资格审查条件（资质最低条件）</w:t>
      </w:r>
      <w:bookmarkEnd w:id="145"/>
      <w:bookmarkEnd w:id="146"/>
      <w:bookmarkEnd w:id="147"/>
      <w:bookmarkEnd w:id="148"/>
      <w:bookmarkEnd w:id="149"/>
      <w:bookmarkEnd w:id="150"/>
      <w:bookmarkEnd w:id="151"/>
      <w:bookmarkEnd w:id="152"/>
      <w:bookmarkEnd w:id="153"/>
    </w:p>
    <w:p>
      <w:pPr>
        <w:keepNext/>
        <w:keepLines/>
        <w:spacing w:after="100"/>
        <w:ind w:firstLine="1687" w:firstLineChars="600"/>
        <w:rPr>
          <w:b/>
          <w:bCs/>
          <w:sz w:val="28"/>
          <w:szCs w:val="28"/>
        </w:rPr>
      </w:pPr>
    </w:p>
    <w:p/>
    <w:tbl>
      <w:tblPr>
        <w:tblStyle w:val="20"/>
        <w:tblW w:w="9099"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11"/>
        <w:gridCol w:w="728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32" w:hRule="atLeast"/>
        </w:trPr>
        <w:tc>
          <w:tcPr>
            <w:tcW w:w="1811" w:type="dxa"/>
            <w:tcBorders>
              <w:right w:val="single" w:color="auto" w:sz="4" w:space="0"/>
            </w:tcBorders>
            <w:vAlign w:val="center"/>
          </w:tcPr>
          <w:p>
            <w:pPr>
              <w:spacing w:beforeLines="50" w:afterLines="50"/>
              <w:jc w:val="center"/>
            </w:pPr>
            <w:r>
              <w:rPr>
                <w:rFonts w:hint="eastAsia"/>
              </w:rPr>
              <w:t>工程名称</w:t>
            </w:r>
          </w:p>
        </w:tc>
        <w:tc>
          <w:tcPr>
            <w:tcW w:w="7288" w:type="dxa"/>
            <w:tcBorders>
              <w:left w:val="single" w:color="auto" w:sz="4" w:space="0"/>
            </w:tcBorders>
            <w:vAlign w:val="center"/>
          </w:tcPr>
          <w:p>
            <w:pPr>
              <w:spacing w:beforeLines="50" w:afterLines="50"/>
              <w:jc w:val="center"/>
            </w:pPr>
            <w:r>
              <w:rPr>
                <w:rFonts w:hint="eastAsia"/>
              </w:rPr>
              <w:t>公路养护工程从业单位资质等级要求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45" w:hRule="atLeast"/>
        </w:trPr>
        <w:tc>
          <w:tcPr>
            <w:tcW w:w="1811" w:type="dxa"/>
            <w:tcBorders>
              <w:right w:val="single" w:color="auto" w:sz="4" w:space="0"/>
            </w:tcBorders>
            <w:vAlign w:val="center"/>
          </w:tcPr>
          <w:p>
            <w:pPr>
              <w:jc w:val="center"/>
              <w:rPr>
                <w:rFonts w:ascii="宋体" w:hAnsi="宋体"/>
                <w:szCs w:val="21"/>
              </w:rPr>
            </w:pPr>
            <w:r>
              <w:rPr>
                <w:rFonts w:hint="eastAsia" w:ascii="宋体" w:hAnsi="宋体"/>
                <w:szCs w:val="21"/>
              </w:rPr>
              <w:t>本合同段</w:t>
            </w:r>
          </w:p>
        </w:tc>
        <w:tc>
          <w:tcPr>
            <w:tcW w:w="7288" w:type="dxa"/>
            <w:tcBorders>
              <w:left w:val="single" w:color="auto" w:sz="4" w:space="0"/>
            </w:tcBorders>
            <w:vAlign w:val="center"/>
          </w:tcPr>
          <w:p>
            <w:pPr>
              <w:spacing w:line="360" w:lineRule="auto"/>
              <w:jc w:val="left"/>
              <w:rPr>
                <w:rFonts w:ascii="宋体" w:hAnsi="宋体"/>
                <w:szCs w:val="21"/>
              </w:rPr>
            </w:pPr>
          </w:p>
          <w:p>
            <w:pPr>
              <w:numPr>
                <w:ilvl w:val="255"/>
                <w:numId w:val="0"/>
              </w:numPr>
              <w:spacing w:line="360" w:lineRule="auto"/>
              <w:jc w:val="left"/>
              <w:rPr>
                <w:rFonts w:ascii="宋体" w:hAnsi="宋体"/>
                <w:szCs w:val="21"/>
              </w:rPr>
            </w:pPr>
            <w:r>
              <w:rPr>
                <w:rFonts w:hint="eastAsia" w:ascii="宋体" w:hAnsi="宋体"/>
                <w:szCs w:val="21"/>
              </w:rPr>
              <w:t>投标人须同时具备</w:t>
            </w:r>
            <w:r>
              <w:rPr>
                <w:rFonts w:hint="eastAsia" w:ascii="宋体" w:hAnsi="宋体"/>
                <w:b/>
                <w:bCs/>
                <w:szCs w:val="21"/>
                <w:u w:val="single"/>
              </w:rPr>
              <w:t>公路养护工程施工二类甲级</w:t>
            </w:r>
            <w:r>
              <w:rPr>
                <w:rFonts w:hint="eastAsia" w:ascii="宋体" w:hAnsi="宋体"/>
                <w:szCs w:val="21"/>
              </w:rPr>
              <w:t>的企业资质，并在人员、设备、资金等方面具有相应的施工能力。</w:t>
            </w:r>
          </w:p>
        </w:tc>
      </w:tr>
    </w:tbl>
    <w:p>
      <w:pPr>
        <w:spacing w:line="264" w:lineRule="auto"/>
        <w:rPr>
          <w:rFonts w:ascii="宋体" w:hAnsi="宋体"/>
          <w:szCs w:val="21"/>
        </w:rPr>
      </w:pPr>
      <w:bookmarkStart w:id="158" w:name="_Toc25007"/>
      <w:bookmarkStart w:id="159" w:name="_Toc18432"/>
      <w:bookmarkStart w:id="160" w:name="_Toc15783"/>
    </w:p>
    <w:p>
      <w:pPr>
        <w:spacing w:line="264" w:lineRule="auto"/>
        <w:rPr>
          <w:rFonts w:hAnsi="宋体"/>
        </w:rPr>
      </w:pPr>
      <w:r>
        <w:rPr>
          <w:rFonts w:hint="eastAsia" w:ascii="宋体" w:hAnsi="宋体"/>
          <w:szCs w:val="21"/>
        </w:rPr>
        <w:t>注：投标人</w:t>
      </w:r>
      <w:r>
        <w:rPr>
          <w:rFonts w:hint="eastAsia" w:hAnsi="宋体"/>
        </w:rPr>
        <w:t>必须提供</w:t>
      </w:r>
      <w:r>
        <w:rPr>
          <w:rFonts w:hAnsi="宋体"/>
        </w:rPr>
        <w:t>有效</w:t>
      </w:r>
      <w:r>
        <w:rPr>
          <w:rFonts w:hint="eastAsia" w:hAnsi="宋体"/>
        </w:rPr>
        <w:t>期内的资质证明文件</w:t>
      </w:r>
      <w:r>
        <w:rPr>
          <w:rFonts w:hAnsi="宋体"/>
        </w:rPr>
        <w:t>清晰可辨的复印件</w:t>
      </w:r>
      <w:r>
        <w:rPr>
          <w:rFonts w:hint="eastAsia" w:hAnsi="宋体"/>
        </w:rPr>
        <w:t>或彩色打印件</w:t>
      </w:r>
      <w:r>
        <w:rPr>
          <w:rFonts w:hAnsi="宋体"/>
        </w:rPr>
        <w:t>：</w:t>
      </w:r>
    </w:p>
    <w:bookmarkEnd w:id="158"/>
    <w:bookmarkEnd w:id="159"/>
    <w:bookmarkEnd w:id="160"/>
    <w:p>
      <w:pPr>
        <w:pStyle w:val="18"/>
        <w:rPr>
          <w:sz w:val="28"/>
          <w:szCs w:val="28"/>
        </w:rPr>
      </w:pPr>
      <w:bookmarkStart w:id="161" w:name="_Toc203"/>
      <w:bookmarkStart w:id="162" w:name="_Toc10766"/>
      <w:bookmarkStart w:id="163" w:name="_Toc3457"/>
      <w:bookmarkStart w:id="164" w:name="_Toc1265"/>
      <w:bookmarkStart w:id="165" w:name="_Toc717"/>
      <w:bookmarkStart w:id="166" w:name="_Toc9197"/>
      <w:bookmarkStart w:id="167" w:name="_Toc11303"/>
      <w:bookmarkStart w:id="168" w:name="_Toc27179"/>
      <w:bookmarkStart w:id="169" w:name="_Toc29515"/>
    </w:p>
    <w:p/>
    <w:p>
      <w:pPr>
        <w:keepNext/>
        <w:keepLines/>
        <w:spacing w:beforeLines="100" w:after="100"/>
        <w:ind w:firstLine="2249" w:firstLineChars="800"/>
        <w:rPr>
          <w:b/>
          <w:bCs/>
          <w:sz w:val="28"/>
          <w:szCs w:val="28"/>
        </w:rPr>
      </w:pPr>
      <w:r>
        <w:rPr>
          <w:rFonts w:hint="eastAsia"/>
          <w:b/>
          <w:bCs/>
          <w:sz w:val="28"/>
          <w:szCs w:val="28"/>
        </w:rPr>
        <w:t>附录2  资格审查条件（财务最低要求）</w:t>
      </w:r>
      <w:bookmarkEnd w:id="161"/>
      <w:bookmarkEnd w:id="162"/>
      <w:bookmarkEnd w:id="163"/>
      <w:bookmarkEnd w:id="164"/>
      <w:bookmarkEnd w:id="165"/>
      <w:bookmarkEnd w:id="166"/>
      <w:bookmarkEnd w:id="167"/>
      <w:bookmarkEnd w:id="168"/>
      <w:bookmarkEnd w:id="169"/>
    </w:p>
    <w:p>
      <w:pPr>
        <w:keepNext/>
        <w:keepLines/>
        <w:spacing w:beforeLines="100" w:after="100"/>
        <w:jc w:val="center"/>
      </w:pPr>
    </w:p>
    <w:tbl>
      <w:tblPr>
        <w:tblStyle w:val="20"/>
        <w:tblW w:w="9019"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74"/>
        <w:gridCol w:w="724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54" w:hRule="atLeast"/>
        </w:trPr>
        <w:tc>
          <w:tcPr>
            <w:tcW w:w="1774" w:type="dxa"/>
            <w:tcBorders>
              <w:right w:val="single" w:color="auto" w:sz="4" w:space="0"/>
            </w:tcBorders>
            <w:vAlign w:val="center"/>
          </w:tcPr>
          <w:p>
            <w:pPr>
              <w:spacing w:beforeLines="50" w:afterLines="50"/>
              <w:jc w:val="center"/>
            </w:pPr>
            <w:r>
              <w:rPr>
                <w:rFonts w:hint="eastAsia"/>
              </w:rPr>
              <w:t>工程名称</w:t>
            </w:r>
          </w:p>
        </w:tc>
        <w:tc>
          <w:tcPr>
            <w:tcW w:w="7245" w:type="dxa"/>
            <w:tcBorders>
              <w:left w:val="single" w:color="auto" w:sz="4" w:space="0"/>
            </w:tcBorders>
            <w:vAlign w:val="center"/>
          </w:tcPr>
          <w:p>
            <w:pPr>
              <w:spacing w:beforeLines="50" w:afterLines="50"/>
              <w:jc w:val="center"/>
            </w:pPr>
            <w:r>
              <w:rPr>
                <w:rFonts w:hint="eastAsia"/>
              </w:rPr>
              <w:t>财 务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99" w:hRule="atLeast"/>
        </w:trPr>
        <w:tc>
          <w:tcPr>
            <w:tcW w:w="1774" w:type="dxa"/>
            <w:tcBorders>
              <w:right w:val="single" w:color="auto" w:sz="4" w:space="0"/>
            </w:tcBorders>
            <w:vAlign w:val="center"/>
          </w:tcPr>
          <w:p>
            <w:pPr>
              <w:jc w:val="center"/>
              <w:rPr>
                <w:rFonts w:ascii="宋体" w:hAnsi="宋体"/>
                <w:szCs w:val="21"/>
              </w:rPr>
            </w:pPr>
            <w:r>
              <w:rPr>
                <w:rFonts w:hint="eastAsia" w:ascii="宋体" w:hAnsi="宋体"/>
                <w:szCs w:val="21"/>
              </w:rPr>
              <w:t>一标段</w:t>
            </w:r>
          </w:p>
        </w:tc>
        <w:tc>
          <w:tcPr>
            <w:tcW w:w="7245" w:type="dxa"/>
            <w:tcBorders>
              <w:left w:val="single" w:color="auto" w:sz="4" w:space="0"/>
            </w:tcBorders>
            <w:vAlign w:val="center"/>
          </w:tcPr>
          <w:p>
            <w:pPr>
              <w:spacing w:line="360" w:lineRule="auto"/>
              <w:ind w:firstLine="420" w:firstLineChars="200"/>
              <w:rPr>
                <w:rFonts w:ascii="宋体" w:hAnsi="宋体"/>
                <w:szCs w:val="21"/>
              </w:rPr>
            </w:pPr>
            <w:r>
              <w:rPr>
                <w:rFonts w:hint="eastAsia" w:ascii="宋体" w:hAnsi="宋体"/>
                <w:szCs w:val="21"/>
              </w:rPr>
              <w:t>本项目要求提供不少于</w:t>
            </w:r>
            <w:r>
              <w:rPr>
                <w:rFonts w:hint="eastAsia" w:ascii="宋体" w:hAnsi="宋体"/>
                <w:b/>
                <w:bCs/>
                <w:color w:val="0000FF"/>
                <w:szCs w:val="21"/>
                <w:highlight w:val="yellow"/>
                <w:u w:val="single"/>
              </w:rPr>
              <w:t>3</w:t>
            </w:r>
            <w:r>
              <w:rPr>
                <w:rFonts w:ascii="宋体" w:hAnsi="宋体"/>
                <w:b/>
                <w:bCs/>
                <w:iCs/>
                <w:color w:val="0000FF"/>
                <w:szCs w:val="21"/>
                <w:highlight w:val="yellow"/>
                <w:u w:val="single"/>
              </w:rPr>
              <w:t>00</w:t>
            </w:r>
            <w:r>
              <w:rPr>
                <w:rFonts w:hint="eastAsia" w:ascii="宋体" w:hAnsi="宋体"/>
                <w:b/>
                <w:bCs/>
                <w:iCs/>
                <w:color w:val="0000FF"/>
                <w:szCs w:val="21"/>
                <w:highlight w:val="yellow"/>
                <w:u w:val="single"/>
              </w:rPr>
              <w:t>万元人民币</w:t>
            </w:r>
            <w:r>
              <w:rPr>
                <w:rFonts w:hint="eastAsia" w:ascii="宋体" w:hAnsi="宋体"/>
                <w:szCs w:val="21"/>
              </w:rPr>
              <w:t>的营运资金。（由投标人自行决定采用</w:t>
            </w:r>
            <w:r>
              <w:rPr>
                <w:rFonts w:hint="eastAsia" w:ascii="宋体" w:hAnsi="宋体"/>
                <w:b/>
                <w:bCs/>
                <w:szCs w:val="21"/>
              </w:rPr>
              <w:t>银行信贷证明</w:t>
            </w:r>
            <w:r>
              <w:rPr>
                <w:rFonts w:hint="eastAsia" w:ascii="宋体" w:hAnsi="宋体"/>
                <w:szCs w:val="21"/>
              </w:rPr>
              <w:t>或</w:t>
            </w:r>
            <w:r>
              <w:rPr>
                <w:rFonts w:hint="eastAsia" w:ascii="宋体" w:hAnsi="宋体"/>
                <w:b/>
                <w:bCs/>
                <w:szCs w:val="21"/>
              </w:rPr>
              <w:t>财务能力承诺书</w:t>
            </w:r>
            <w:r>
              <w:rPr>
                <w:rFonts w:hint="eastAsia" w:ascii="宋体" w:hAnsi="宋体"/>
                <w:szCs w:val="21"/>
              </w:rPr>
              <w:t>）。</w:t>
            </w:r>
          </w:p>
          <w:p>
            <w:pPr>
              <w:spacing w:line="360" w:lineRule="auto"/>
              <w:ind w:firstLine="420" w:firstLineChars="200"/>
              <w:rPr>
                <w:rFonts w:ascii="宋体" w:hAnsi="宋体"/>
                <w:b/>
                <w:szCs w:val="21"/>
              </w:rPr>
            </w:pPr>
            <w:r>
              <w:rPr>
                <w:rFonts w:hint="eastAsia" w:ascii="宋体" w:hAnsi="宋体"/>
                <w:szCs w:val="21"/>
              </w:rPr>
              <w:t>若采用银行信贷证明，开具银行信贷证明的银行级别：国有或股份制商业银行县（区、市）级及以上银行。</w:t>
            </w:r>
          </w:p>
        </w:tc>
      </w:tr>
    </w:tbl>
    <w:p>
      <w:pPr>
        <w:keepNext/>
        <w:keepLines/>
        <w:spacing w:beforeLines="100" w:after="100"/>
        <w:ind w:firstLine="1968" w:firstLineChars="700"/>
        <w:rPr>
          <w:b/>
          <w:bCs/>
          <w:sz w:val="28"/>
          <w:szCs w:val="28"/>
        </w:rPr>
      </w:pPr>
      <w:bookmarkStart w:id="170" w:name="_Toc3671"/>
      <w:bookmarkStart w:id="171" w:name="_Toc2655"/>
      <w:bookmarkStart w:id="172" w:name="_Toc29589"/>
      <w:bookmarkStart w:id="173" w:name="_Toc27337"/>
      <w:bookmarkStart w:id="174" w:name="_Toc17657"/>
      <w:bookmarkStart w:id="175" w:name="_Toc10760"/>
      <w:bookmarkStart w:id="176" w:name="_Toc3073"/>
      <w:bookmarkStart w:id="177" w:name="_Toc19737"/>
      <w:bookmarkStart w:id="178" w:name="_Toc15141"/>
    </w:p>
    <w:p>
      <w:pPr>
        <w:pStyle w:val="18"/>
        <w:rPr>
          <w:sz w:val="28"/>
          <w:szCs w:val="28"/>
        </w:rPr>
      </w:pPr>
    </w:p>
    <w:p>
      <w:pPr>
        <w:rPr>
          <w:b/>
          <w:bCs/>
          <w:sz w:val="28"/>
          <w:szCs w:val="28"/>
        </w:rPr>
      </w:pPr>
    </w:p>
    <w:p/>
    <w:p>
      <w:pPr>
        <w:keepNext/>
        <w:keepLines/>
        <w:spacing w:beforeLines="100" w:after="100"/>
        <w:ind w:firstLine="2249" w:firstLineChars="800"/>
        <w:rPr>
          <w:b/>
          <w:bCs/>
          <w:sz w:val="28"/>
          <w:szCs w:val="28"/>
        </w:rPr>
      </w:pPr>
      <w:r>
        <w:rPr>
          <w:rFonts w:hint="eastAsia"/>
          <w:b/>
          <w:bCs/>
          <w:sz w:val="28"/>
          <w:szCs w:val="28"/>
        </w:rPr>
        <w:t>附录3  资格审查条件（业绩最低要求）</w:t>
      </w:r>
      <w:bookmarkEnd w:id="170"/>
      <w:bookmarkEnd w:id="171"/>
      <w:bookmarkEnd w:id="172"/>
      <w:bookmarkEnd w:id="173"/>
      <w:bookmarkEnd w:id="174"/>
      <w:bookmarkEnd w:id="175"/>
      <w:bookmarkEnd w:id="176"/>
      <w:bookmarkEnd w:id="177"/>
      <w:bookmarkEnd w:id="178"/>
    </w:p>
    <w:p>
      <w:pPr>
        <w:keepNext/>
        <w:keepLines/>
        <w:spacing w:beforeLines="100" w:after="100"/>
        <w:rPr>
          <w:b/>
          <w:bCs/>
          <w:sz w:val="28"/>
          <w:szCs w:val="28"/>
        </w:rPr>
      </w:pPr>
    </w:p>
    <w:tbl>
      <w:tblPr>
        <w:tblStyle w:val="20"/>
        <w:tblW w:w="9159"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02"/>
        <w:gridCol w:w="73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40" w:hRule="atLeast"/>
        </w:trPr>
        <w:tc>
          <w:tcPr>
            <w:tcW w:w="1802" w:type="dxa"/>
            <w:tcBorders>
              <w:bottom w:val="single" w:color="auto" w:sz="4" w:space="0"/>
              <w:right w:val="single" w:color="auto" w:sz="4" w:space="0"/>
            </w:tcBorders>
            <w:vAlign w:val="center"/>
          </w:tcPr>
          <w:p>
            <w:pPr>
              <w:spacing w:beforeLines="50" w:afterLines="50"/>
              <w:jc w:val="center"/>
            </w:pPr>
            <w:r>
              <w:rPr>
                <w:rFonts w:hint="eastAsia"/>
              </w:rPr>
              <w:t>工程名称</w:t>
            </w:r>
          </w:p>
        </w:tc>
        <w:tc>
          <w:tcPr>
            <w:tcW w:w="7357" w:type="dxa"/>
            <w:tcBorders>
              <w:left w:val="single" w:color="auto" w:sz="4" w:space="0"/>
              <w:bottom w:val="single" w:color="auto" w:sz="4" w:space="0"/>
            </w:tcBorders>
            <w:vAlign w:val="center"/>
          </w:tcPr>
          <w:p>
            <w:pPr>
              <w:spacing w:beforeLines="50" w:afterLines="50"/>
              <w:jc w:val="center"/>
            </w:pPr>
            <w:r>
              <w:rPr>
                <w:rFonts w:hint="eastAsia"/>
              </w:rPr>
              <w:t>业 绩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8" w:hRule="atLeast"/>
        </w:trPr>
        <w:tc>
          <w:tcPr>
            <w:tcW w:w="18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r>
              <w:rPr>
                <w:rFonts w:hint="eastAsia" w:ascii="宋体" w:hAnsi="宋体"/>
                <w:szCs w:val="21"/>
              </w:rPr>
              <w:t>一标段</w:t>
            </w:r>
          </w:p>
        </w:tc>
        <w:tc>
          <w:tcPr>
            <w:tcW w:w="7357" w:type="dxa"/>
            <w:tcBorders>
              <w:top w:val="single" w:color="auto" w:sz="4" w:space="0"/>
              <w:left w:val="single" w:color="auto" w:sz="4" w:space="0"/>
              <w:bottom w:val="single" w:color="auto" w:sz="4" w:space="0"/>
              <w:right w:val="single" w:color="auto" w:sz="4" w:space="0"/>
            </w:tcBorders>
            <w:vAlign w:val="center"/>
          </w:tcPr>
          <w:p>
            <w:pPr>
              <w:pStyle w:val="2"/>
              <w:ind w:firstLine="0" w:firstLineChars="0"/>
              <w:jc w:val="center"/>
            </w:pPr>
            <w:r>
              <w:rPr>
                <w:rFonts w:hint="eastAsia"/>
              </w:rPr>
              <w:t>本工程不适用</w:t>
            </w:r>
          </w:p>
        </w:tc>
      </w:tr>
    </w:tbl>
    <w:p>
      <w:pPr>
        <w:spacing w:line="264" w:lineRule="auto"/>
        <w:ind w:left="105" w:leftChars="50" w:right="105" w:rightChars="50" w:firstLine="210" w:firstLineChars="100"/>
        <w:rPr>
          <w:rFonts w:hAnsi="宋体"/>
        </w:rPr>
      </w:pPr>
      <w:bookmarkStart w:id="179" w:name="_Toc22495"/>
      <w:bookmarkStart w:id="180" w:name="_Toc6813"/>
      <w:bookmarkStart w:id="181" w:name="_Toc24016"/>
    </w:p>
    <w:p>
      <w:pPr>
        <w:spacing w:line="264" w:lineRule="auto"/>
        <w:ind w:right="105" w:rightChars="50"/>
        <w:rPr>
          <w:rFonts w:hAnsi="宋体"/>
        </w:rPr>
      </w:pPr>
    </w:p>
    <w:p>
      <w:pPr>
        <w:keepNext/>
        <w:keepLines/>
        <w:spacing w:beforeLines="100" w:after="100"/>
        <w:rPr>
          <w:b/>
          <w:bCs/>
          <w:sz w:val="28"/>
          <w:szCs w:val="28"/>
        </w:rPr>
      </w:pPr>
      <w:bookmarkStart w:id="182" w:name="_Toc28388"/>
      <w:bookmarkStart w:id="183" w:name="_Toc5001"/>
      <w:bookmarkStart w:id="184" w:name="_Toc20055"/>
      <w:bookmarkStart w:id="185" w:name="_Toc18919"/>
      <w:bookmarkStart w:id="186" w:name="_Toc25168"/>
      <w:bookmarkStart w:id="187" w:name="_Toc21556"/>
    </w:p>
    <w:p>
      <w:pPr>
        <w:keepNext/>
        <w:keepLines/>
        <w:spacing w:beforeLines="100" w:after="100"/>
        <w:ind w:firstLine="1968" w:firstLineChars="700"/>
        <w:rPr>
          <w:b/>
          <w:bCs/>
          <w:sz w:val="28"/>
          <w:szCs w:val="28"/>
        </w:rPr>
      </w:pPr>
      <w:r>
        <w:rPr>
          <w:rFonts w:hint="eastAsia"/>
          <w:b/>
          <w:bCs/>
          <w:sz w:val="28"/>
          <w:szCs w:val="28"/>
        </w:rPr>
        <w:t>附录4  资格审查条件（信誉最低要求）</w:t>
      </w:r>
      <w:bookmarkEnd w:id="179"/>
      <w:bookmarkEnd w:id="180"/>
      <w:bookmarkEnd w:id="181"/>
      <w:bookmarkEnd w:id="182"/>
      <w:bookmarkEnd w:id="183"/>
      <w:bookmarkEnd w:id="184"/>
      <w:bookmarkEnd w:id="185"/>
      <w:bookmarkEnd w:id="186"/>
      <w:bookmarkEnd w:id="187"/>
    </w:p>
    <w:p>
      <w:pPr>
        <w:keepNext/>
        <w:keepLines/>
        <w:spacing w:beforeLines="100" w:after="100"/>
        <w:ind w:firstLine="2249" w:firstLineChars="800"/>
        <w:rPr>
          <w:b/>
          <w:bCs/>
          <w:sz w:val="28"/>
          <w:szCs w:val="28"/>
        </w:rPr>
      </w:pPr>
    </w:p>
    <w:tbl>
      <w:tblPr>
        <w:tblStyle w:val="20"/>
        <w:tblW w:w="9119"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94"/>
        <w:gridCol w:w="732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8" w:hRule="atLeast"/>
        </w:trPr>
        <w:tc>
          <w:tcPr>
            <w:tcW w:w="1794" w:type="dxa"/>
            <w:tcBorders>
              <w:right w:val="single" w:color="auto" w:sz="4" w:space="0"/>
            </w:tcBorders>
            <w:vAlign w:val="center"/>
          </w:tcPr>
          <w:p>
            <w:pPr>
              <w:spacing w:beforeLines="50" w:afterLines="50"/>
              <w:jc w:val="center"/>
            </w:pPr>
            <w:r>
              <w:rPr>
                <w:rFonts w:hint="eastAsia"/>
              </w:rPr>
              <w:t>工程名称</w:t>
            </w:r>
          </w:p>
        </w:tc>
        <w:tc>
          <w:tcPr>
            <w:tcW w:w="7325" w:type="dxa"/>
            <w:tcBorders>
              <w:left w:val="single" w:color="auto" w:sz="4" w:space="0"/>
            </w:tcBorders>
            <w:vAlign w:val="center"/>
          </w:tcPr>
          <w:p>
            <w:pPr>
              <w:spacing w:beforeLines="50" w:afterLines="50"/>
              <w:jc w:val="center"/>
            </w:pPr>
            <w:r>
              <w:rPr>
                <w:rFonts w:hint="eastAsia"/>
              </w:rPr>
              <w:t>信 誉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68" w:hRule="atLeast"/>
        </w:trPr>
        <w:tc>
          <w:tcPr>
            <w:tcW w:w="1794" w:type="dxa"/>
            <w:tcBorders>
              <w:right w:val="single" w:color="auto" w:sz="4" w:space="0"/>
            </w:tcBorders>
            <w:vAlign w:val="center"/>
          </w:tcPr>
          <w:p>
            <w:pPr>
              <w:jc w:val="center"/>
              <w:rPr>
                <w:rFonts w:ascii="宋体" w:hAnsi="宋体"/>
                <w:szCs w:val="21"/>
              </w:rPr>
            </w:pPr>
            <w:r>
              <w:rPr>
                <w:rFonts w:hint="eastAsia" w:ascii="宋体" w:hAnsi="宋体"/>
                <w:szCs w:val="21"/>
              </w:rPr>
              <w:t>本合同段</w:t>
            </w:r>
          </w:p>
        </w:tc>
        <w:tc>
          <w:tcPr>
            <w:tcW w:w="7325" w:type="dxa"/>
            <w:tcBorders>
              <w:left w:val="single" w:color="auto" w:sz="4" w:space="0"/>
            </w:tcBorders>
            <w:vAlign w:val="center"/>
          </w:tcPr>
          <w:p/>
          <w:p>
            <w:pPr>
              <w:spacing w:line="360" w:lineRule="auto"/>
              <w:rPr>
                <w:rFonts w:ascii="宋体" w:hAnsi="宋体"/>
                <w:szCs w:val="21"/>
              </w:rPr>
            </w:pPr>
            <w:r>
              <w:rPr>
                <w:rFonts w:hint="eastAsia" w:ascii="宋体" w:hAnsi="宋体"/>
                <w:szCs w:val="21"/>
              </w:rPr>
              <w:t>1、无投标人须知第 1.4.3 、1.4.4项的情形；</w:t>
            </w:r>
          </w:p>
          <w:p>
            <w:pPr>
              <w:spacing w:line="360" w:lineRule="auto"/>
              <w:rPr>
                <w:rFonts w:ascii="宋体" w:hAnsi="宋体"/>
                <w:szCs w:val="21"/>
              </w:rPr>
            </w:pPr>
            <w:r>
              <w:rPr>
                <w:rFonts w:hint="eastAsia" w:ascii="宋体" w:hAnsi="宋体"/>
                <w:szCs w:val="21"/>
              </w:rPr>
              <w:t>2. 自 2019年1月1日以来，投标人无行贿犯罪行为以（中国裁判文书网</w:t>
            </w:r>
          </w:p>
          <w:p>
            <w:r>
              <w:rPr>
                <w:rFonts w:hint="eastAsia" w:ascii="宋体" w:hAnsi="宋体"/>
                <w:szCs w:val="21"/>
              </w:rPr>
              <w:t>（http://wenshu.court.gov.cn/）查询结果为准） ；</w:t>
            </w:r>
          </w:p>
          <w:p>
            <w:pPr>
              <w:spacing w:line="360" w:lineRule="auto"/>
              <w:rPr>
                <w:rFonts w:ascii="宋体" w:hAnsi="宋体"/>
                <w:szCs w:val="21"/>
              </w:rPr>
            </w:pPr>
          </w:p>
        </w:tc>
      </w:tr>
    </w:tbl>
    <w:p>
      <w:pPr>
        <w:widowControl/>
        <w:jc w:val="left"/>
      </w:pPr>
      <w:bookmarkStart w:id="188" w:name="_Toc3653"/>
      <w:bookmarkStart w:id="189" w:name="_Toc27219"/>
      <w:bookmarkStart w:id="190" w:name="_Toc26450"/>
      <w:bookmarkStart w:id="191" w:name="_Toc647"/>
      <w:bookmarkStart w:id="192" w:name="_Toc32708"/>
      <w:bookmarkStart w:id="193" w:name="_Toc27035"/>
      <w:bookmarkStart w:id="194" w:name="_Toc8103"/>
      <w:bookmarkStart w:id="195" w:name="_Toc9717"/>
      <w:bookmarkStart w:id="196" w:name="_Toc8919"/>
    </w:p>
    <w:p>
      <w:pPr>
        <w:widowControl/>
        <w:jc w:val="left"/>
      </w:pPr>
      <w:r>
        <w:rPr>
          <w:rFonts w:hint="eastAsia"/>
        </w:rPr>
        <w:t>注：投标人无行贿犯罪行为的认定：以中国裁判文书网（http://wenshu.court.gov.cn/）网站页面显示结果为准，投标人无需提供。</w:t>
      </w:r>
    </w:p>
    <w:p>
      <w:pPr>
        <w:widowControl/>
        <w:jc w:val="left"/>
      </w:pPr>
    </w:p>
    <w:p>
      <w:pPr>
        <w:pStyle w:val="18"/>
      </w:pPr>
    </w:p>
    <w:p/>
    <w:p>
      <w:pPr>
        <w:pStyle w:val="2"/>
        <w:ind w:firstLine="240"/>
      </w:pPr>
    </w:p>
    <w:p>
      <w:pPr>
        <w:pStyle w:val="2"/>
        <w:ind w:firstLine="240"/>
      </w:pPr>
    </w:p>
    <w:p>
      <w:pPr>
        <w:pStyle w:val="2"/>
        <w:ind w:firstLine="240"/>
      </w:pPr>
    </w:p>
    <w:p>
      <w:pPr>
        <w:pStyle w:val="2"/>
        <w:ind w:firstLine="240"/>
      </w:pPr>
    </w:p>
    <w:p>
      <w:pPr>
        <w:pStyle w:val="2"/>
        <w:ind w:firstLine="240"/>
      </w:pPr>
    </w:p>
    <w:p>
      <w:pPr>
        <w:keepNext/>
        <w:keepLines/>
        <w:spacing w:beforeLines="100" w:after="100"/>
        <w:ind w:firstLine="2811" w:firstLineChars="1000"/>
        <w:rPr>
          <w:b/>
          <w:bCs/>
          <w:sz w:val="28"/>
          <w:szCs w:val="28"/>
        </w:rPr>
      </w:pPr>
      <w:r>
        <w:rPr>
          <w:rFonts w:hint="eastAsia"/>
          <w:b/>
          <w:bCs/>
          <w:sz w:val="28"/>
          <w:szCs w:val="28"/>
        </w:rPr>
        <w:t>附录5  资格审查条件</w:t>
      </w:r>
    </w:p>
    <w:p>
      <w:pPr>
        <w:keepNext/>
        <w:keepLines/>
        <w:spacing w:beforeLines="100" w:after="100"/>
        <w:ind w:firstLine="1405" w:firstLineChars="500"/>
        <w:jc w:val="center"/>
        <w:rPr>
          <w:b/>
          <w:bCs/>
          <w:sz w:val="28"/>
          <w:szCs w:val="28"/>
        </w:rPr>
      </w:pPr>
      <w:r>
        <w:rPr>
          <w:rFonts w:hint="eastAsia"/>
          <w:b/>
          <w:bCs/>
          <w:sz w:val="28"/>
          <w:szCs w:val="28"/>
        </w:rPr>
        <w:t>（项目经理、项目总工</w:t>
      </w:r>
      <w:r>
        <w:rPr>
          <w:b/>
          <w:bCs/>
          <w:sz w:val="28"/>
          <w:szCs w:val="28"/>
        </w:rPr>
        <w:t>、</w:t>
      </w:r>
      <w:r>
        <w:rPr>
          <w:rFonts w:hint="eastAsia"/>
          <w:b/>
          <w:bCs/>
          <w:sz w:val="28"/>
          <w:szCs w:val="28"/>
        </w:rPr>
        <w:t>安全生产负责人</w:t>
      </w:r>
      <w:r>
        <w:rPr>
          <w:b/>
          <w:bCs/>
          <w:sz w:val="28"/>
          <w:szCs w:val="28"/>
        </w:rPr>
        <w:t>的</w:t>
      </w:r>
      <w:r>
        <w:rPr>
          <w:rFonts w:hint="eastAsia"/>
          <w:b/>
          <w:bCs/>
          <w:sz w:val="28"/>
          <w:szCs w:val="28"/>
        </w:rPr>
        <w:t>最低要求）</w:t>
      </w:r>
      <w:bookmarkEnd w:id="188"/>
      <w:bookmarkEnd w:id="189"/>
      <w:bookmarkEnd w:id="190"/>
      <w:bookmarkEnd w:id="191"/>
      <w:bookmarkEnd w:id="192"/>
      <w:bookmarkEnd w:id="193"/>
      <w:bookmarkEnd w:id="194"/>
      <w:bookmarkEnd w:id="195"/>
      <w:bookmarkEnd w:id="196"/>
    </w:p>
    <w:p>
      <w:pPr>
        <w:keepNext/>
        <w:keepLines/>
        <w:spacing w:beforeLines="100" w:after="100"/>
        <w:ind w:firstLine="1050" w:firstLineChars="500"/>
        <w:jc w:val="center"/>
      </w:pPr>
    </w:p>
    <w:tbl>
      <w:tblPr>
        <w:tblStyle w:val="20"/>
        <w:tblW w:w="891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98"/>
        <w:gridCol w:w="779"/>
        <w:gridCol w:w="634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798" w:type="dxa"/>
            <w:tcBorders>
              <w:tl2br w:val="nil"/>
              <w:tr2bl w:val="nil"/>
            </w:tcBorders>
            <w:vAlign w:val="center"/>
          </w:tcPr>
          <w:p>
            <w:pPr>
              <w:spacing w:beforeLines="50" w:afterLines="50"/>
              <w:jc w:val="center"/>
              <w:rPr>
                <w:rFonts w:ascii="宋体" w:hAnsi="宋体"/>
                <w:szCs w:val="21"/>
              </w:rPr>
            </w:pPr>
            <w:r>
              <w:rPr>
                <w:rFonts w:hint="eastAsia" w:ascii="宋体" w:hAnsi="宋体"/>
                <w:szCs w:val="21"/>
              </w:rPr>
              <w:t>人 员</w:t>
            </w:r>
          </w:p>
        </w:tc>
        <w:tc>
          <w:tcPr>
            <w:tcW w:w="779" w:type="dxa"/>
            <w:tcBorders>
              <w:tl2br w:val="nil"/>
              <w:tr2bl w:val="nil"/>
            </w:tcBorders>
            <w:vAlign w:val="center"/>
          </w:tcPr>
          <w:p>
            <w:pPr>
              <w:spacing w:beforeLines="50" w:afterLines="50"/>
              <w:jc w:val="center"/>
              <w:rPr>
                <w:rFonts w:ascii="宋体" w:hAnsi="宋体"/>
                <w:szCs w:val="21"/>
              </w:rPr>
            </w:pPr>
            <w:r>
              <w:rPr>
                <w:rFonts w:hint="eastAsia" w:ascii="宋体" w:hAnsi="宋体"/>
                <w:szCs w:val="21"/>
              </w:rPr>
              <w:t>数量</w:t>
            </w:r>
          </w:p>
        </w:tc>
        <w:tc>
          <w:tcPr>
            <w:tcW w:w="6342" w:type="dxa"/>
            <w:tcBorders>
              <w:tl2br w:val="nil"/>
              <w:tr2bl w:val="nil"/>
            </w:tcBorders>
            <w:vAlign w:val="center"/>
          </w:tcPr>
          <w:p>
            <w:pPr>
              <w:spacing w:beforeLines="50" w:afterLines="50"/>
              <w:jc w:val="center"/>
              <w:rPr>
                <w:rFonts w:ascii="宋体" w:hAnsi="宋体"/>
                <w:szCs w:val="21"/>
              </w:rPr>
            </w:pPr>
            <w:r>
              <w:rPr>
                <w:rFonts w:hint="eastAsia" w:ascii="宋体" w:hAnsi="宋体"/>
                <w:szCs w:val="21"/>
              </w:rPr>
              <w:t>资 格 要 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07" w:hRule="atLeast"/>
          <w:jc w:val="center"/>
        </w:trPr>
        <w:tc>
          <w:tcPr>
            <w:tcW w:w="1798" w:type="dxa"/>
            <w:tcBorders>
              <w:tl2br w:val="nil"/>
              <w:tr2bl w:val="nil"/>
            </w:tcBorders>
            <w:vAlign w:val="center"/>
          </w:tcPr>
          <w:p>
            <w:pPr>
              <w:spacing w:line="400" w:lineRule="exact"/>
              <w:jc w:val="center"/>
              <w:rPr>
                <w:rFonts w:ascii="宋体" w:hAnsi="宋体"/>
                <w:szCs w:val="21"/>
              </w:rPr>
            </w:pPr>
            <w:r>
              <w:rPr>
                <w:rFonts w:hint="eastAsia" w:ascii="宋体" w:hAnsi="宋体"/>
                <w:szCs w:val="21"/>
              </w:rPr>
              <w:t>项目经理</w:t>
            </w:r>
          </w:p>
        </w:tc>
        <w:tc>
          <w:tcPr>
            <w:tcW w:w="779" w:type="dxa"/>
            <w:tcBorders>
              <w:tl2br w:val="nil"/>
              <w:tr2bl w:val="nil"/>
            </w:tcBorders>
            <w:vAlign w:val="center"/>
          </w:tcPr>
          <w:p>
            <w:pPr>
              <w:spacing w:line="400" w:lineRule="exact"/>
              <w:jc w:val="center"/>
              <w:rPr>
                <w:rFonts w:ascii="宋体" w:hAnsi="宋体"/>
                <w:szCs w:val="21"/>
              </w:rPr>
            </w:pPr>
            <w:r>
              <w:rPr>
                <w:rFonts w:hint="eastAsia" w:ascii="宋体" w:hAnsi="宋体"/>
                <w:szCs w:val="21"/>
              </w:rPr>
              <w:t>1</w:t>
            </w:r>
          </w:p>
        </w:tc>
        <w:tc>
          <w:tcPr>
            <w:tcW w:w="6342" w:type="dxa"/>
            <w:tcBorders>
              <w:tl2br w:val="nil"/>
              <w:tr2bl w:val="nil"/>
            </w:tcBorders>
            <w:vAlign w:val="center"/>
          </w:tcPr>
          <w:p>
            <w:pPr>
              <w:pStyle w:val="45"/>
              <w:spacing w:before="46" w:line="440" w:lineRule="exact"/>
              <w:rPr>
                <w:szCs w:val="21"/>
              </w:rPr>
            </w:pPr>
            <w:r>
              <w:rPr>
                <w:rFonts w:hint="eastAsia"/>
                <w:szCs w:val="21"/>
              </w:rPr>
              <w:t>1、具有</w:t>
            </w:r>
            <w:r>
              <w:rPr>
                <w:rFonts w:hint="eastAsia"/>
                <w:b/>
                <w:bCs/>
                <w:i/>
                <w:iCs/>
                <w:color w:val="0000FF"/>
                <w:szCs w:val="21"/>
                <w:u w:val="single"/>
              </w:rPr>
              <w:t>公路工程相关专业中级及以上技术职称</w:t>
            </w:r>
            <w:r>
              <w:rPr>
                <w:rFonts w:hint="eastAsia"/>
                <w:b/>
                <w:bCs/>
                <w:szCs w:val="21"/>
              </w:rPr>
              <w:t>或持有</w:t>
            </w:r>
            <w:r>
              <w:rPr>
                <w:rFonts w:hint="eastAsia"/>
                <w:b/>
                <w:bCs/>
                <w:i/>
                <w:iCs/>
                <w:color w:val="0000FF"/>
                <w:szCs w:val="21"/>
                <w:u w:val="single"/>
              </w:rPr>
              <w:t>公路工程</w:t>
            </w:r>
            <w:r>
              <w:rPr>
                <w:rFonts w:hint="eastAsia"/>
                <w:szCs w:val="21"/>
              </w:rPr>
              <w:t>专业</w:t>
            </w:r>
            <w:r>
              <w:rPr>
                <w:rFonts w:hint="eastAsia"/>
                <w:b/>
                <w:bCs/>
                <w:i/>
                <w:iCs/>
                <w:color w:val="0000FF"/>
                <w:szCs w:val="21"/>
                <w:u w:val="single"/>
              </w:rPr>
              <w:t>二级及以上</w:t>
            </w:r>
            <w:r>
              <w:rPr>
                <w:rFonts w:hint="eastAsia"/>
                <w:szCs w:val="21"/>
              </w:rPr>
              <w:t>注册建造师证书，具有在有效期内的公路水运施工企业安全生产考核合格证书（B类）。年龄 60 周岁及以下。</w:t>
            </w:r>
          </w:p>
          <w:p>
            <w:pPr>
              <w:pStyle w:val="45"/>
              <w:spacing w:line="440" w:lineRule="exact"/>
              <w:rPr>
                <w:szCs w:val="21"/>
              </w:rPr>
            </w:pPr>
            <w:r>
              <w:rPr>
                <w:rFonts w:hint="eastAsia"/>
                <w:szCs w:val="21"/>
              </w:rPr>
              <w:t>2、自 2019年 1月 1 日以来，拟委任项目经理无行贿犯罪行为。</w:t>
            </w:r>
          </w:p>
          <w:p>
            <w:pPr>
              <w:pStyle w:val="45"/>
              <w:spacing w:before="46" w:line="440" w:lineRule="exact"/>
              <w:rPr>
                <w:rFonts w:cs="Times New Roman"/>
                <w:szCs w:val="21"/>
                <w:highlight w:val="yellow"/>
              </w:rPr>
            </w:pPr>
            <w:r>
              <w:rPr>
                <w:rFonts w:hint="eastAsia"/>
                <w:szCs w:val="21"/>
              </w:rPr>
              <w:t>3、拟委任项目经理未在（或未曾在）其他在建项目上任项目经理。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76" w:hRule="atLeast"/>
          <w:jc w:val="center"/>
        </w:trPr>
        <w:tc>
          <w:tcPr>
            <w:tcW w:w="1798" w:type="dxa"/>
            <w:tcBorders>
              <w:tl2br w:val="nil"/>
              <w:tr2bl w:val="nil"/>
            </w:tcBorders>
            <w:vAlign w:val="center"/>
          </w:tcPr>
          <w:p>
            <w:pPr>
              <w:spacing w:line="400" w:lineRule="exact"/>
              <w:jc w:val="center"/>
              <w:rPr>
                <w:rFonts w:ascii="宋体" w:hAnsi="宋体"/>
                <w:szCs w:val="21"/>
              </w:rPr>
            </w:pPr>
            <w:r>
              <w:rPr>
                <w:rFonts w:hint="eastAsia" w:ascii="宋体" w:hAnsi="宋体"/>
                <w:szCs w:val="21"/>
              </w:rPr>
              <w:t>项目总工</w:t>
            </w:r>
          </w:p>
        </w:tc>
        <w:tc>
          <w:tcPr>
            <w:tcW w:w="779" w:type="dxa"/>
            <w:tcBorders>
              <w:tl2br w:val="nil"/>
              <w:tr2bl w:val="nil"/>
            </w:tcBorders>
            <w:vAlign w:val="center"/>
          </w:tcPr>
          <w:p>
            <w:pPr>
              <w:spacing w:line="400" w:lineRule="exact"/>
              <w:jc w:val="center"/>
              <w:rPr>
                <w:rFonts w:ascii="宋体" w:hAnsi="宋体"/>
                <w:szCs w:val="21"/>
              </w:rPr>
            </w:pPr>
            <w:r>
              <w:rPr>
                <w:rFonts w:hint="eastAsia" w:ascii="宋体" w:hAnsi="宋体"/>
                <w:szCs w:val="21"/>
              </w:rPr>
              <w:t>1</w:t>
            </w:r>
          </w:p>
        </w:tc>
        <w:tc>
          <w:tcPr>
            <w:tcW w:w="6342" w:type="dxa"/>
            <w:tcBorders>
              <w:tl2br w:val="nil"/>
              <w:tr2bl w:val="nil"/>
            </w:tcBorders>
            <w:vAlign w:val="center"/>
          </w:tcPr>
          <w:p>
            <w:pPr>
              <w:pStyle w:val="45"/>
              <w:spacing w:before="46" w:line="440" w:lineRule="exact"/>
              <w:ind w:firstLine="210" w:firstLineChars="100"/>
              <w:rPr>
                <w:rFonts w:cs="Times New Roman"/>
                <w:szCs w:val="21"/>
                <w:highlight w:val="yellow"/>
              </w:rPr>
            </w:pPr>
            <w:r>
              <w:rPr>
                <w:rFonts w:hint="eastAsia"/>
                <w:szCs w:val="21"/>
              </w:rPr>
              <w:t>具有</w:t>
            </w:r>
            <w:r>
              <w:rPr>
                <w:rFonts w:hint="eastAsia"/>
                <w:b/>
                <w:bCs/>
                <w:i/>
                <w:iCs/>
                <w:color w:val="0000FF"/>
                <w:szCs w:val="21"/>
                <w:u w:val="single"/>
              </w:rPr>
              <w:t>公路工程相关专业</w:t>
            </w:r>
            <w:r>
              <w:rPr>
                <w:rFonts w:hint="eastAsia" w:cs="Times New Roman"/>
                <w:b/>
                <w:bCs/>
                <w:i/>
                <w:iCs/>
                <w:color w:val="0000FF"/>
                <w:szCs w:val="21"/>
                <w:u w:val="single"/>
              </w:rPr>
              <w:t>中级</w:t>
            </w:r>
            <w:r>
              <w:rPr>
                <w:rFonts w:hint="eastAsia"/>
                <w:szCs w:val="21"/>
              </w:rPr>
              <w:t>及以上技术职称，具有在有效期内的公路水运施工企业安全生产考核合格证书（B 类）。年龄 60 周岁及以下。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98" w:hRule="atLeast"/>
          <w:jc w:val="center"/>
        </w:trPr>
        <w:tc>
          <w:tcPr>
            <w:tcW w:w="1798" w:type="dxa"/>
            <w:tcBorders>
              <w:tl2br w:val="nil"/>
              <w:tr2bl w:val="nil"/>
            </w:tcBorders>
            <w:vAlign w:val="center"/>
          </w:tcPr>
          <w:p>
            <w:pPr>
              <w:spacing w:line="400" w:lineRule="exact"/>
              <w:jc w:val="center"/>
              <w:rPr>
                <w:rFonts w:ascii="宋体" w:hAnsi="宋体"/>
                <w:szCs w:val="21"/>
              </w:rPr>
            </w:pPr>
            <w:r>
              <w:rPr>
                <w:rFonts w:hint="eastAsia" w:ascii="宋体" w:hAnsi="宋体"/>
                <w:szCs w:val="21"/>
              </w:rPr>
              <w:t>安全生产负责人</w:t>
            </w:r>
          </w:p>
        </w:tc>
        <w:tc>
          <w:tcPr>
            <w:tcW w:w="779" w:type="dxa"/>
            <w:tcBorders>
              <w:tl2br w:val="nil"/>
              <w:tr2bl w:val="nil"/>
            </w:tcBorders>
            <w:vAlign w:val="center"/>
          </w:tcPr>
          <w:p>
            <w:pPr>
              <w:spacing w:line="400" w:lineRule="exact"/>
              <w:jc w:val="center"/>
              <w:rPr>
                <w:rFonts w:ascii="宋体" w:hAnsi="宋体"/>
                <w:szCs w:val="21"/>
              </w:rPr>
            </w:pPr>
            <w:r>
              <w:rPr>
                <w:rFonts w:hint="eastAsia" w:ascii="宋体" w:hAnsi="宋体"/>
                <w:szCs w:val="21"/>
              </w:rPr>
              <w:t>1</w:t>
            </w:r>
          </w:p>
        </w:tc>
        <w:tc>
          <w:tcPr>
            <w:tcW w:w="6342" w:type="dxa"/>
            <w:tcBorders>
              <w:tl2br w:val="nil"/>
              <w:tr2bl w:val="nil"/>
            </w:tcBorders>
            <w:vAlign w:val="center"/>
          </w:tcPr>
          <w:p>
            <w:pPr>
              <w:spacing w:line="440" w:lineRule="exact"/>
              <w:ind w:firstLine="210" w:firstLineChars="100"/>
              <w:rPr>
                <w:rFonts w:ascii="宋体" w:hAnsi="宋体"/>
                <w:szCs w:val="21"/>
                <w:highlight w:val="yellow"/>
              </w:rPr>
            </w:pPr>
            <w:r>
              <w:rPr>
                <w:rFonts w:hint="eastAsia" w:ascii="宋体" w:hAnsi="宋体" w:cs="宋体"/>
                <w:szCs w:val="22"/>
              </w:rPr>
              <w:t>具有在有效期内的公路水运施工企业安全生产考核合格证书（C类）</w:t>
            </w:r>
            <w:r>
              <w:rPr>
                <w:rFonts w:hint="eastAsia" w:ascii="宋体" w:hAnsi="宋体"/>
                <w:szCs w:val="21"/>
              </w:rPr>
              <w:t>。年龄 60 周岁及以下。</w:t>
            </w:r>
          </w:p>
        </w:tc>
      </w:tr>
    </w:tbl>
    <w:p>
      <w:pPr>
        <w:spacing w:line="264" w:lineRule="auto"/>
        <w:rPr>
          <w:rFonts w:ascii="宋体" w:hAnsi="宋体"/>
          <w:szCs w:val="21"/>
        </w:rPr>
      </w:pPr>
    </w:p>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54"/>
    <w:bookmarkEnd w:id="155"/>
    <w:bookmarkEnd w:id="156"/>
    <w:bookmarkEnd w:id="157"/>
    <w:p>
      <w:pPr>
        <w:spacing w:line="264" w:lineRule="auto"/>
        <w:rPr>
          <w:rFonts w:hAnsi="宋体"/>
          <w:color w:val="000000" w:themeColor="text1"/>
        </w:rPr>
      </w:pPr>
      <w:bookmarkStart w:id="197" w:name="_Toc233423175"/>
      <w:bookmarkStart w:id="198" w:name="_Toc283794084"/>
      <w:bookmarkStart w:id="199" w:name="_Toc288491412"/>
      <w:bookmarkStart w:id="200" w:name="_Toc282787327"/>
      <w:bookmarkStart w:id="201" w:name="_Toc233435902"/>
      <w:bookmarkStart w:id="202" w:name="_Toc282779396"/>
      <w:bookmarkStart w:id="203" w:name="_Toc282778887"/>
      <w:bookmarkStart w:id="204" w:name="_Toc233429685"/>
      <w:bookmarkStart w:id="205" w:name="_Toc287853236"/>
      <w:bookmarkStart w:id="206" w:name="_Toc235846291"/>
      <w:bookmarkStart w:id="207" w:name="_Toc288546536"/>
      <w:r>
        <w:rPr>
          <w:rFonts w:hint="eastAsia" w:ascii="宋体" w:hAnsi="宋体"/>
          <w:szCs w:val="21"/>
        </w:rPr>
        <w:t>注：主要人员</w:t>
      </w:r>
      <w:r>
        <w:rPr>
          <w:rFonts w:hint="eastAsia" w:hAnsi="宋体"/>
          <w:color w:val="000000" w:themeColor="text1"/>
        </w:rPr>
        <w:t>必须提供以</w:t>
      </w:r>
      <w:r>
        <w:rPr>
          <w:rFonts w:hAnsi="宋体"/>
          <w:color w:val="000000" w:themeColor="text1"/>
        </w:rPr>
        <w:t>下</w:t>
      </w:r>
      <w:r>
        <w:rPr>
          <w:rFonts w:hint="eastAsia" w:hAnsi="宋体"/>
          <w:color w:val="000000" w:themeColor="text1"/>
        </w:rPr>
        <w:t>证明材料</w:t>
      </w:r>
      <w:r>
        <w:rPr>
          <w:rFonts w:hAnsi="宋体"/>
          <w:color w:val="000000" w:themeColor="text1"/>
        </w:rPr>
        <w:t>的清晰可辨的复印件</w:t>
      </w:r>
      <w:r>
        <w:rPr>
          <w:rFonts w:hint="eastAsia" w:hAnsi="宋体"/>
          <w:color w:val="000000" w:themeColor="text1"/>
        </w:rPr>
        <w:t>或彩色打印件</w:t>
      </w:r>
      <w:r>
        <w:rPr>
          <w:rFonts w:hAnsi="宋体"/>
          <w:color w:val="000000" w:themeColor="text1"/>
        </w:rPr>
        <w:t>：</w:t>
      </w:r>
    </w:p>
    <w:p>
      <w:pPr>
        <w:numPr>
          <w:ilvl w:val="0"/>
          <w:numId w:val="5"/>
        </w:numPr>
        <w:spacing w:line="264" w:lineRule="auto"/>
        <w:ind w:right="105" w:rightChars="50" w:firstLine="210" w:firstLineChars="100"/>
        <w:rPr>
          <w:color w:val="000000" w:themeColor="text1"/>
        </w:rPr>
      </w:pPr>
      <w:r>
        <w:rPr>
          <w:rFonts w:hAnsi="宋体"/>
          <w:color w:val="000000" w:themeColor="text1"/>
        </w:rPr>
        <w:t>项目经理：身份证</w:t>
      </w:r>
      <w:r>
        <w:rPr>
          <w:rFonts w:hint="eastAsia" w:hAnsi="宋体"/>
          <w:color w:val="000000" w:themeColor="text1"/>
        </w:rPr>
        <w:t>、</w:t>
      </w:r>
      <w:r>
        <w:rPr>
          <w:rFonts w:hAnsi="宋体"/>
          <w:color w:val="000000" w:themeColor="text1"/>
        </w:rPr>
        <w:t>技术职称</w:t>
      </w:r>
      <w:r>
        <w:rPr>
          <w:rFonts w:hint="eastAsia" w:hAnsi="宋体"/>
          <w:color w:val="000000" w:themeColor="text1"/>
        </w:rPr>
        <w:t>或建造师</w:t>
      </w:r>
      <w:r>
        <w:rPr>
          <w:rFonts w:hAnsi="宋体"/>
          <w:color w:val="000000" w:themeColor="text1"/>
        </w:rPr>
        <w:t>证书、安全生产考核合格证书（</w:t>
      </w:r>
      <w:r>
        <w:rPr>
          <w:color w:val="000000" w:themeColor="text1"/>
        </w:rPr>
        <w:t>B</w:t>
      </w:r>
      <w:r>
        <w:rPr>
          <w:rFonts w:hAnsi="宋体"/>
          <w:color w:val="000000" w:themeColor="text1"/>
        </w:rPr>
        <w:t>证）</w:t>
      </w:r>
      <w:r>
        <w:rPr>
          <w:rFonts w:hint="eastAsia" w:hAnsi="宋体"/>
          <w:color w:val="000000" w:themeColor="text1"/>
        </w:rPr>
        <w:t>。</w:t>
      </w:r>
    </w:p>
    <w:p>
      <w:pPr>
        <w:numPr>
          <w:ilvl w:val="0"/>
          <w:numId w:val="5"/>
        </w:numPr>
        <w:spacing w:line="264" w:lineRule="auto"/>
        <w:ind w:right="105" w:rightChars="50" w:firstLine="210" w:firstLineChars="100"/>
        <w:rPr>
          <w:rFonts w:hAnsi="宋体"/>
          <w:color w:val="000000" w:themeColor="text1"/>
        </w:rPr>
      </w:pPr>
      <w:r>
        <w:rPr>
          <w:rFonts w:hint="eastAsia" w:hAnsi="宋体"/>
          <w:color w:val="000000" w:themeColor="text1"/>
        </w:rPr>
        <w:t>项目总工</w:t>
      </w:r>
      <w:r>
        <w:rPr>
          <w:rFonts w:hAnsi="宋体"/>
          <w:color w:val="000000" w:themeColor="text1"/>
        </w:rPr>
        <w:t>：身份证</w:t>
      </w:r>
      <w:r>
        <w:rPr>
          <w:rFonts w:hint="eastAsia" w:hAnsi="宋体"/>
          <w:color w:val="000000" w:themeColor="text1"/>
        </w:rPr>
        <w:t>、</w:t>
      </w:r>
      <w:r>
        <w:rPr>
          <w:rFonts w:hAnsi="宋体"/>
          <w:color w:val="000000" w:themeColor="text1"/>
        </w:rPr>
        <w:t>技术职称证书、安全生产考核合格证书（</w:t>
      </w:r>
      <w:r>
        <w:rPr>
          <w:color w:val="000000" w:themeColor="text1"/>
        </w:rPr>
        <w:t>B</w:t>
      </w:r>
      <w:r>
        <w:rPr>
          <w:rFonts w:hAnsi="宋体"/>
          <w:color w:val="000000" w:themeColor="text1"/>
        </w:rPr>
        <w:t>证）</w:t>
      </w:r>
      <w:r>
        <w:rPr>
          <w:rFonts w:hint="eastAsia" w:hAnsi="宋体"/>
          <w:color w:val="000000" w:themeColor="text1"/>
        </w:rPr>
        <w:t>。</w:t>
      </w:r>
    </w:p>
    <w:p>
      <w:pPr>
        <w:numPr>
          <w:ilvl w:val="0"/>
          <w:numId w:val="5"/>
        </w:numPr>
        <w:spacing w:line="264" w:lineRule="auto"/>
        <w:ind w:right="105" w:rightChars="50" w:firstLine="210" w:firstLineChars="100"/>
        <w:rPr>
          <w:rFonts w:hAnsi="宋体"/>
          <w:color w:val="000000" w:themeColor="text1"/>
        </w:rPr>
      </w:pPr>
      <w:r>
        <w:rPr>
          <w:rFonts w:hint="eastAsia" w:hAnsi="宋体"/>
          <w:color w:val="000000" w:themeColor="text1"/>
        </w:rPr>
        <w:t>安全生产负责人：</w:t>
      </w:r>
      <w:r>
        <w:rPr>
          <w:rFonts w:hAnsi="宋体"/>
          <w:color w:val="000000" w:themeColor="text1"/>
        </w:rPr>
        <w:t>身份证</w:t>
      </w:r>
      <w:r>
        <w:rPr>
          <w:rFonts w:hint="eastAsia" w:hAnsi="宋体"/>
          <w:color w:val="000000" w:themeColor="text1"/>
        </w:rPr>
        <w:t>、</w:t>
      </w:r>
      <w:r>
        <w:rPr>
          <w:rFonts w:hAnsi="宋体"/>
          <w:color w:val="000000" w:themeColor="text1"/>
        </w:rPr>
        <w:t>安全生产考核合格证书（</w:t>
      </w:r>
      <w:r>
        <w:rPr>
          <w:rFonts w:hint="eastAsia"/>
          <w:color w:val="000000" w:themeColor="text1"/>
        </w:rPr>
        <w:t>C</w:t>
      </w:r>
      <w:r>
        <w:rPr>
          <w:rFonts w:hAnsi="宋体"/>
          <w:color w:val="000000" w:themeColor="text1"/>
        </w:rPr>
        <w:t>证）</w:t>
      </w:r>
    </w:p>
    <w:p>
      <w:pPr>
        <w:numPr>
          <w:ilvl w:val="0"/>
          <w:numId w:val="5"/>
        </w:numPr>
        <w:spacing w:line="264" w:lineRule="auto"/>
        <w:ind w:right="105" w:rightChars="50" w:firstLine="210" w:firstLineChars="100"/>
        <w:rPr>
          <w:color w:val="000000" w:themeColor="text1"/>
        </w:rPr>
      </w:pPr>
      <w:r>
        <w:rPr>
          <w:color w:val="000000" w:themeColor="text1"/>
        </w:rPr>
        <w:t>拟委任的项目经理无行贿犯罪行为的认定以中国裁判文书网（http://wenshu.court.gov.cn/）</w:t>
      </w:r>
    </w:p>
    <w:p>
      <w:pPr>
        <w:spacing w:line="264" w:lineRule="auto"/>
        <w:ind w:right="105" w:rightChars="50" w:firstLine="210" w:firstLineChars="100"/>
        <w:rPr>
          <w:color w:val="000000" w:themeColor="text1"/>
        </w:rPr>
      </w:pPr>
      <w:r>
        <w:rPr>
          <w:color w:val="000000" w:themeColor="text1"/>
        </w:rPr>
        <w:t>查询结果为准，投标人无需提供。</w:t>
      </w:r>
    </w:p>
    <w:p/>
    <w:p>
      <w:pPr>
        <w:pStyle w:val="2"/>
        <w:ind w:firstLine="240"/>
      </w:pPr>
    </w:p>
    <w:p>
      <w:pPr>
        <w:pStyle w:val="2"/>
        <w:ind w:firstLine="240"/>
      </w:pPr>
    </w:p>
    <w:p>
      <w:pPr>
        <w:pStyle w:val="2"/>
        <w:ind w:firstLine="240"/>
      </w:pPr>
    </w:p>
    <w:p>
      <w:pPr>
        <w:pStyle w:val="5"/>
        <w:spacing w:before="0" w:after="0" w:line="240" w:lineRule="auto"/>
        <w:rPr>
          <w:rFonts w:ascii="Times New Roman" w:hAnsi="Times New Roman" w:eastAsia="宋体" w:cs="宋体"/>
          <w:b w:val="0"/>
          <w:bCs w:val="0"/>
          <w:spacing w:val="0"/>
          <w:sz w:val="24"/>
          <w:szCs w:val="24"/>
        </w:rPr>
      </w:pPr>
      <w:bookmarkStart w:id="208" w:name="_Toc29659"/>
      <w:bookmarkStart w:id="209" w:name="_Toc21033"/>
      <w:bookmarkStart w:id="210" w:name="_Toc3076"/>
      <w:bookmarkStart w:id="211" w:name="_Toc25255"/>
      <w:bookmarkStart w:id="212" w:name="_Toc8829"/>
      <w:bookmarkStart w:id="213" w:name="_Toc24571"/>
      <w:bookmarkStart w:id="214" w:name="_Toc5324"/>
      <w:bookmarkStart w:id="215" w:name="_Toc16161"/>
      <w:bookmarkStart w:id="216" w:name="_Toc5366"/>
      <w:bookmarkStart w:id="217" w:name="_Toc9764"/>
      <w:bookmarkStart w:id="218" w:name="_Toc32061"/>
      <w:bookmarkStart w:id="219" w:name="_Toc20051"/>
      <w:bookmarkStart w:id="220" w:name="_Toc5937"/>
      <w:bookmarkStart w:id="221" w:name="_Toc23272"/>
      <w:bookmarkStart w:id="222" w:name="_Toc9403"/>
      <w:bookmarkStart w:id="223" w:name="_Toc30119"/>
      <w:bookmarkStart w:id="224" w:name="_Toc20305"/>
      <w:bookmarkStart w:id="225" w:name="_Toc237"/>
    </w:p>
    <w:p/>
    <w:p>
      <w:pPr>
        <w:pStyle w:val="5"/>
        <w:spacing w:before="0" w:after="0" w:line="240" w:lineRule="auto"/>
        <w:rPr>
          <w:bCs w:val="0"/>
          <w:sz w:val="30"/>
          <w:szCs w:val="30"/>
        </w:rPr>
      </w:pPr>
      <w:r>
        <w:rPr>
          <w:rFonts w:ascii="Times New Roman" w:hAnsi="Times New Roman"/>
          <w:bCs w:val="0"/>
          <w:sz w:val="30"/>
          <w:szCs w:val="30"/>
        </w:rPr>
        <w:t>1</w:t>
      </w:r>
      <w:r>
        <w:rPr>
          <w:rFonts w:hint="eastAsia"/>
          <w:bCs w:val="0"/>
          <w:sz w:val="30"/>
          <w:szCs w:val="30"/>
        </w:rPr>
        <w:t>．总则</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6"/>
        <w:keepNext w:val="0"/>
        <w:keepLines w:val="0"/>
        <w:widowControl/>
        <w:spacing w:before="10" w:afterLines="50" w:line="420" w:lineRule="exact"/>
        <w:rPr>
          <w:rFonts w:eastAsia="黑体"/>
          <w:sz w:val="21"/>
          <w:szCs w:val="21"/>
        </w:rPr>
      </w:pPr>
      <w:bookmarkStart w:id="226" w:name="_Toc282778888"/>
      <w:bookmarkStart w:id="227" w:name="_Toc15391"/>
      <w:bookmarkStart w:id="228" w:name="_Toc22180"/>
      <w:bookmarkStart w:id="229" w:name="_Toc233214745"/>
      <w:bookmarkStart w:id="230" w:name="_Toc8266"/>
      <w:bookmarkStart w:id="231" w:name="_Toc22286"/>
      <w:bookmarkStart w:id="232" w:name="_Toc14684"/>
      <w:bookmarkStart w:id="233" w:name="_Toc235846292"/>
      <w:bookmarkStart w:id="234" w:name="_Toc15701"/>
      <w:bookmarkStart w:id="235" w:name="_Toc9896"/>
      <w:bookmarkStart w:id="236" w:name="_Toc233290291"/>
      <w:bookmarkStart w:id="237" w:name="_Toc6879"/>
      <w:bookmarkStart w:id="238" w:name="_Toc233429686"/>
      <w:bookmarkStart w:id="239" w:name="_Toc3877"/>
      <w:bookmarkStart w:id="240" w:name="_Toc25084"/>
      <w:bookmarkStart w:id="241" w:name="_Toc288491413"/>
      <w:bookmarkStart w:id="242" w:name="_Toc233423176"/>
      <w:bookmarkStart w:id="243" w:name="_Toc23998"/>
      <w:bookmarkStart w:id="244" w:name="_Toc11295"/>
      <w:bookmarkStart w:id="245" w:name="_Toc26565"/>
      <w:bookmarkStart w:id="246" w:name="_Toc6023"/>
      <w:bookmarkStart w:id="247" w:name="_Toc8246"/>
      <w:bookmarkStart w:id="248" w:name="_Toc288546537"/>
      <w:bookmarkStart w:id="249" w:name="_Toc283794085"/>
      <w:bookmarkStart w:id="250" w:name="_Toc287853237"/>
      <w:bookmarkStart w:id="251" w:name="_Toc20397"/>
      <w:bookmarkStart w:id="252" w:name="_Toc282787328"/>
      <w:bookmarkStart w:id="253" w:name="_Toc233435903"/>
      <w:bookmarkStart w:id="254" w:name="_Toc282779397"/>
      <w:bookmarkStart w:id="255" w:name="_Toc29418"/>
      <w:bookmarkStart w:id="256" w:name="_Toc3482"/>
      <w:r>
        <w:rPr>
          <w:rFonts w:eastAsia="黑体"/>
          <w:sz w:val="21"/>
          <w:szCs w:val="21"/>
        </w:rPr>
        <w:t>1.1  项目概况</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spacing w:line="420" w:lineRule="exact"/>
        <w:ind w:firstLine="420" w:firstLineChars="200"/>
        <w:rPr>
          <w:szCs w:val="21"/>
        </w:rPr>
      </w:pPr>
      <w:bookmarkStart w:id="257" w:name="_Toc233435904"/>
      <w:bookmarkStart w:id="258" w:name="_Toc233290292"/>
      <w:bookmarkStart w:id="259" w:name="_Toc233429687"/>
      <w:bookmarkStart w:id="260" w:name="_Toc233423177"/>
      <w:bookmarkStart w:id="261" w:name="_Toc235846293"/>
      <w:bookmarkStart w:id="262" w:name="_Toc233214746"/>
      <w:r>
        <w:rPr>
          <w:rFonts w:hint="eastAsia"/>
          <w:szCs w:val="21"/>
        </w:rPr>
        <w:t>1.1.1  根据《中华人民共和国招标投标法》等有关法律、法规和规章的规定，本招标项目已具备招标条件，现对本标段施工进行招标。</w:t>
      </w:r>
    </w:p>
    <w:p>
      <w:pPr>
        <w:spacing w:line="420" w:lineRule="exact"/>
        <w:ind w:firstLine="420" w:firstLineChars="200"/>
        <w:rPr>
          <w:szCs w:val="21"/>
        </w:rPr>
      </w:pPr>
      <w:r>
        <w:rPr>
          <w:rFonts w:hint="eastAsia"/>
          <w:szCs w:val="21"/>
        </w:rPr>
        <w:t>1.1.2  本招标项目招标人：见投标人须知前附表。</w:t>
      </w:r>
    </w:p>
    <w:p>
      <w:pPr>
        <w:spacing w:line="420" w:lineRule="exact"/>
        <w:ind w:firstLine="420" w:firstLineChars="200"/>
        <w:rPr>
          <w:szCs w:val="21"/>
        </w:rPr>
      </w:pPr>
      <w:r>
        <w:rPr>
          <w:rFonts w:hint="eastAsia"/>
          <w:szCs w:val="21"/>
        </w:rPr>
        <w:t>1.1.3  本标段招标代理机构：见投标人须知前附表。</w:t>
      </w:r>
    </w:p>
    <w:p>
      <w:pPr>
        <w:spacing w:line="420" w:lineRule="exact"/>
        <w:ind w:firstLine="420" w:firstLineChars="200"/>
        <w:rPr>
          <w:szCs w:val="21"/>
        </w:rPr>
      </w:pPr>
      <w:r>
        <w:rPr>
          <w:rFonts w:hint="eastAsia"/>
          <w:szCs w:val="21"/>
        </w:rPr>
        <w:t>1.1.4  本招标项目名称：见投标人须知前附表。</w:t>
      </w:r>
    </w:p>
    <w:p>
      <w:pPr>
        <w:spacing w:line="420" w:lineRule="exact"/>
        <w:ind w:firstLine="420" w:firstLineChars="200"/>
        <w:rPr>
          <w:szCs w:val="21"/>
        </w:rPr>
      </w:pPr>
      <w:r>
        <w:rPr>
          <w:rFonts w:hint="eastAsia"/>
          <w:szCs w:val="21"/>
        </w:rPr>
        <w:t>1.1.5  本标段地点：见投标人须知前附表。</w:t>
      </w:r>
    </w:p>
    <w:p>
      <w:pPr>
        <w:pStyle w:val="6"/>
        <w:spacing w:before="10" w:afterLines="50" w:line="420" w:lineRule="exact"/>
        <w:rPr>
          <w:rFonts w:eastAsia="黑体"/>
          <w:sz w:val="21"/>
          <w:szCs w:val="21"/>
        </w:rPr>
      </w:pPr>
      <w:bookmarkStart w:id="263" w:name="_Toc19564"/>
      <w:bookmarkStart w:id="264" w:name="_Toc282778889"/>
      <w:bookmarkStart w:id="265" w:name="_Toc9114"/>
      <w:bookmarkStart w:id="266" w:name="_Toc288491414"/>
      <w:bookmarkStart w:id="267" w:name="_Toc20918"/>
      <w:bookmarkStart w:id="268" w:name="_Toc25747"/>
      <w:bookmarkStart w:id="269" w:name="_Toc283794086"/>
      <w:bookmarkStart w:id="270" w:name="_Toc14423"/>
      <w:bookmarkStart w:id="271" w:name="_Toc287853238"/>
      <w:bookmarkStart w:id="272" w:name="_Toc18752"/>
      <w:bookmarkStart w:id="273" w:name="_Toc1260"/>
      <w:bookmarkStart w:id="274" w:name="_Toc16344"/>
      <w:bookmarkStart w:id="275" w:name="_Toc10919"/>
      <w:bookmarkStart w:id="276" w:name="_Toc282779398"/>
      <w:bookmarkStart w:id="277" w:name="_Toc21525"/>
      <w:bookmarkStart w:id="278" w:name="_Toc7233"/>
      <w:bookmarkStart w:id="279" w:name="_Toc27040"/>
      <w:bookmarkStart w:id="280" w:name="_Toc288546538"/>
      <w:bookmarkStart w:id="281" w:name="_Toc250"/>
      <w:bookmarkStart w:id="282" w:name="_Toc5474"/>
      <w:bookmarkStart w:id="283" w:name="_Toc282787329"/>
      <w:bookmarkStart w:id="284" w:name="_Toc6207"/>
      <w:bookmarkStart w:id="285" w:name="_Toc10450"/>
      <w:bookmarkStart w:id="286" w:name="_Toc9407"/>
      <w:bookmarkStart w:id="287" w:name="_Toc17225"/>
      <w:r>
        <w:rPr>
          <w:rFonts w:eastAsia="黑体"/>
          <w:sz w:val="21"/>
          <w:szCs w:val="21"/>
        </w:rPr>
        <w:t xml:space="preserve">1.2 </w:t>
      </w:r>
      <w:r>
        <w:rPr>
          <w:rFonts w:hint="eastAsia" w:eastAsia="黑体"/>
          <w:sz w:val="21"/>
          <w:szCs w:val="21"/>
        </w:rPr>
        <w:t>资金来源和落实情况</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spacing w:line="420" w:lineRule="exact"/>
        <w:ind w:firstLine="420" w:firstLineChars="200"/>
        <w:rPr>
          <w:szCs w:val="21"/>
        </w:rPr>
      </w:pPr>
      <w:bookmarkStart w:id="288" w:name="_Toc233423178"/>
      <w:bookmarkStart w:id="289" w:name="_Toc233290293"/>
      <w:bookmarkStart w:id="290" w:name="_Toc233435905"/>
      <w:bookmarkStart w:id="291" w:name="_Toc233214747"/>
      <w:bookmarkStart w:id="292" w:name="_Toc235846294"/>
      <w:bookmarkStart w:id="293" w:name="_Toc233429688"/>
      <w:r>
        <w:rPr>
          <w:rFonts w:hint="eastAsia"/>
          <w:szCs w:val="21"/>
        </w:rPr>
        <w:t>1.2.1  本招标项目的资金来源：见投标人须知前附表。</w:t>
      </w:r>
    </w:p>
    <w:p>
      <w:pPr>
        <w:spacing w:line="420" w:lineRule="exact"/>
        <w:ind w:firstLine="420" w:firstLineChars="200"/>
        <w:rPr>
          <w:szCs w:val="21"/>
        </w:rPr>
      </w:pPr>
      <w:r>
        <w:rPr>
          <w:rFonts w:hint="eastAsia"/>
          <w:szCs w:val="21"/>
        </w:rPr>
        <w:t>1.2.2  本招标项目的资金落实情况：见投标人须知前附表。</w:t>
      </w:r>
    </w:p>
    <w:p>
      <w:pPr>
        <w:pStyle w:val="6"/>
        <w:spacing w:before="10" w:afterLines="50" w:line="420" w:lineRule="exact"/>
        <w:rPr>
          <w:rFonts w:eastAsia="黑体"/>
          <w:sz w:val="21"/>
          <w:szCs w:val="21"/>
        </w:rPr>
      </w:pPr>
      <w:bookmarkStart w:id="294" w:name="_Toc282779399"/>
      <w:bookmarkStart w:id="295" w:name="_Toc6306"/>
      <w:bookmarkStart w:id="296" w:name="_Toc23797"/>
      <w:bookmarkStart w:id="297" w:name="_Toc15910"/>
      <w:bookmarkStart w:id="298" w:name="_Toc282778890"/>
      <w:bookmarkStart w:id="299" w:name="_Toc3096"/>
      <w:bookmarkStart w:id="300" w:name="_Toc288546539"/>
      <w:bookmarkStart w:id="301" w:name="_Toc282787330"/>
      <w:bookmarkStart w:id="302" w:name="_Toc27592"/>
      <w:bookmarkStart w:id="303" w:name="_Toc283794087"/>
      <w:bookmarkStart w:id="304" w:name="_Toc11051"/>
      <w:bookmarkStart w:id="305" w:name="_Toc4917"/>
      <w:bookmarkStart w:id="306" w:name="_Toc22974"/>
      <w:bookmarkStart w:id="307" w:name="_Toc752"/>
      <w:bookmarkStart w:id="308" w:name="_Toc24365"/>
      <w:bookmarkStart w:id="309" w:name="_Toc24668"/>
      <w:bookmarkStart w:id="310" w:name="_Toc17218"/>
      <w:bookmarkStart w:id="311" w:name="_Toc6039"/>
      <w:bookmarkStart w:id="312" w:name="_Toc31675"/>
      <w:bookmarkStart w:id="313" w:name="_Toc4291"/>
      <w:bookmarkStart w:id="314" w:name="_Toc288491415"/>
      <w:bookmarkStart w:id="315" w:name="_Toc18147"/>
      <w:bookmarkStart w:id="316" w:name="_Toc2638"/>
      <w:bookmarkStart w:id="317" w:name="_Toc7493"/>
      <w:bookmarkStart w:id="318" w:name="_Toc287853239"/>
      <w:r>
        <w:rPr>
          <w:rFonts w:eastAsia="黑体"/>
          <w:sz w:val="21"/>
          <w:szCs w:val="21"/>
        </w:rPr>
        <w:t>1.3 招标范围、计划工期和质量要求</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spacing w:line="420" w:lineRule="exact"/>
        <w:ind w:firstLine="420" w:firstLineChars="200"/>
        <w:rPr>
          <w:szCs w:val="21"/>
        </w:rPr>
      </w:pPr>
      <w:bookmarkStart w:id="319" w:name="_Toc235846295"/>
      <w:bookmarkStart w:id="320" w:name="_Toc233429689"/>
      <w:bookmarkStart w:id="321" w:name="_Toc233214748"/>
      <w:bookmarkStart w:id="322" w:name="_Toc233435906"/>
      <w:bookmarkStart w:id="323" w:name="_Toc233290294"/>
      <w:bookmarkStart w:id="324" w:name="_Toc233423179"/>
      <w:r>
        <w:rPr>
          <w:rFonts w:hint="eastAsia"/>
          <w:szCs w:val="21"/>
        </w:rPr>
        <w:t>1.3.1  本次招标范围：见投标人须知前附表。</w:t>
      </w:r>
    </w:p>
    <w:p>
      <w:pPr>
        <w:spacing w:line="420" w:lineRule="exact"/>
        <w:ind w:firstLine="420" w:firstLineChars="200"/>
        <w:rPr>
          <w:szCs w:val="21"/>
        </w:rPr>
      </w:pPr>
      <w:r>
        <w:rPr>
          <w:rFonts w:hint="eastAsia"/>
          <w:szCs w:val="21"/>
        </w:rPr>
        <w:t>1.3.2  本标段的计划工期：见投标人须知前附表。</w:t>
      </w:r>
    </w:p>
    <w:p>
      <w:pPr>
        <w:spacing w:line="420" w:lineRule="exact"/>
        <w:ind w:firstLine="420" w:firstLineChars="200"/>
        <w:rPr>
          <w:szCs w:val="21"/>
        </w:rPr>
      </w:pPr>
      <w:r>
        <w:rPr>
          <w:rFonts w:hint="eastAsia"/>
          <w:szCs w:val="21"/>
        </w:rPr>
        <w:t>1.3.3  本标段的质量要求：见投标人须知前附表。</w:t>
      </w:r>
    </w:p>
    <w:p>
      <w:pPr>
        <w:pStyle w:val="6"/>
        <w:spacing w:beforeLines="50" w:afterLines="50" w:line="420" w:lineRule="exact"/>
        <w:rPr>
          <w:rFonts w:eastAsia="黑体"/>
          <w:sz w:val="21"/>
          <w:szCs w:val="21"/>
        </w:rPr>
      </w:pPr>
      <w:bookmarkStart w:id="325" w:name="_Toc32513"/>
      <w:bookmarkStart w:id="326" w:name="_Toc282779401"/>
      <w:bookmarkStart w:id="327" w:name="_Toc7437"/>
      <w:bookmarkStart w:id="328" w:name="_Toc6178"/>
      <w:bookmarkStart w:id="329" w:name="_Toc11250"/>
      <w:bookmarkStart w:id="330" w:name="_Toc6432"/>
      <w:bookmarkStart w:id="331" w:name="_Toc26787"/>
      <w:bookmarkStart w:id="332" w:name="_Toc144974502"/>
      <w:bookmarkStart w:id="333" w:name="_Toc23875"/>
      <w:bookmarkStart w:id="334" w:name="_Toc24846"/>
      <w:bookmarkStart w:id="335" w:name="_Toc152045534"/>
      <w:bookmarkStart w:id="336" w:name="_Toc287853241"/>
      <w:bookmarkStart w:id="337" w:name="_Toc11781"/>
      <w:bookmarkStart w:id="338" w:name="_Toc17686"/>
      <w:bookmarkStart w:id="339" w:name="_Toc152042310"/>
      <w:bookmarkStart w:id="340" w:name="_Toc10394"/>
      <w:bookmarkStart w:id="341" w:name="_Toc22203"/>
      <w:bookmarkStart w:id="342" w:name="_Toc288491417"/>
      <w:bookmarkStart w:id="343" w:name="_Toc29679"/>
      <w:bookmarkStart w:id="344" w:name="_Toc21346"/>
      <w:bookmarkStart w:id="345" w:name="_Toc32287"/>
      <w:bookmarkStart w:id="346" w:name="_Toc179632551"/>
      <w:bookmarkStart w:id="347" w:name="_Toc283794089"/>
      <w:bookmarkStart w:id="348" w:name="_Toc18563"/>
      <w:bookmarkStart w:id="349" w:name="_Toc31502"/>
      <w:bookmarkStart w:id="350" w:name="_Toc282778892"/>
      <w:bookmarkStart w:id="351" w:name="_Toc288546541"/>
      <w:bookmarkStart w:id="352" w:name="_Toc282787332"/>
      <w:bookmarkStart w:id="353" w:name="_Toc30127"/>
      <w:r>
        <w:rPr>
          <w:rFonts w:eastAsia="黑体"/>
          <w:sz w:val="21"/>
          <w:szCs w:val="21"/>
        </w:rPr>
        <w:t>1.4  投标人资格要求</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spacing w:line="420" w:lineRule="exact"/>
        <w:ind w:firstLine="420" w:firstLineChars="200"/>
        <w:rPr>
          <w:szCs w:val="21"/>
        </w:rPr>
      </w:pPr>
      <w:r>
        <w:rPr>
          <w:rFonts w:hint="eastAsia"/>
          <w:szCs w:val="21"/>
        </w:rPr>
        <w:t>1.4.1  投标人应具备承担本标段施工的资质条件、能力和信誉。</w:t>
      </w:r>
    </w:p>
    <w:p>
      <w:pPr>
        <w:spacing w:line="420" w:lineRule="exact"/>
        <w:ind w:firstLine="420" w:firstLineChars="200"/>
        <w:rPr>
          <w:szCs w:val="21"/>
        </w:rPr>
      </w:pPr>
      <w:r>
        <w:rPr>
          <w:rFonts w:hint="eastAsia"/>
          <w:szCs w:val="21"/>
        </w:rPr>
        <w:t>（1）资质条件：见投标人须知前附表；</w:t>
      </w:r>
    </w:p>
    <w:p>
      <w:pPr>
        <w:spacing w:line="420" w:lineRule="exact"/>
        <w:ind w:firstLine="420" w:firstLineChars="200"/>
        <w:rPr>
          <w:szCs w:val="21"/>
        </w:rPr>
      </w:pPr>
      <w:r>
        <w:rPr>
          <w:rFonts w:hint="eastAsia"/>
          <w:szCs w:val="21"/>
        </w:rPr>
        <w:t>（2）财务要求：见投标人须知前附表；</w:t>
      </w:r>
    </w:p>
    <w:p>
      <w:pPr>
        <w:spacing w:line="420" w:lineRule="exact"/>
        <w:ind w:firstLine="420" w:firstLineChars="200"/>
        <w:rPr>
          <w:szCs w:val="21"/>
        </w:rPr>
      </w:pPr>
      <w:r>
        <w:rPr>
          <w:rFonts w:hint="eastAsia"/>
          <w:szCs w:val="21"/>
        </w:rPr>
        <w:t>（3）业绩要求：见投标人须知前附表；</w:t>
      </w:r>
    </w:p>
    <w:p>
      <w:pPr>
        <w:spacing w:line="420" w:lineRule="exact"/>
        <w:ind w:firstLine="420" w:firstLineChars="200"/>
        <w:rPr>
          <w:szCs w:val="21"/>
        </w:rPr>
      </w:pPr>
      <w:r>
        <w:rPr>
          <w:rFonts w:hint="eastAsia"/>
          <w:szCs w:val="21"/>
        </w:rPr>
        <w:t>（4）信誉要求：见投标人须知前附表；</w:t>
      </w:r>
    </w:p>
    <w:p>
      <w:pPr>
        <w:spacing w:line="420" w:lineRule="exact"/>
        <w:ind w:firstLine="420" w:firstLineChars="200"/>
        <w:rPr>
          <w:szCs w:val="21"/>
        </w:rPr>
      </w:pPr>
      <w:r>
        <w:rPr>
          <w:rFonts w:hint="eastAsia"/>
          <w:szCs w:val="21"/>
        </w:rPr>
        <w:t>（5）项目经理资格：见投标人须知前附表；</w:t>
      </w:r>
    </w:p>
    <w:p>
      <w:pPr>
        <w:spacing w:line="420" w:lineRule="exact"/>
        <w:ind w:firstLine="420" w:firstLineChars="200"/>
        <w:rPr>
          <w:szCs w:val="21"/>
        </w:rPr>
      </w:pPr>
      <w:r>
        <w:rPr>
          <w:rFonts w:hint="eastAsia"/>
          <w:szCs w:val="21"/>
        </w:rPr>
        <w:t>（6）其它要求：见投标人须知前附表。</w:t>
      </w:r>
    </w:p>
    <w:bookmarkEnd w:id="319"/>
    <w:bookmarkEnd w:id="320"/>
    <w:bookmarkEnd w:id="321"/>
    <w:bookmarkEnd w:id="322"/>
    <w:bookmarkEnd w:id="323"/>
    <w:bookmarkEnd w:id="324"/>
    <w:p>
      <w:pPr>
        <w:spacing w:line="420" w:lineRule="exact"/>
        <w:ind w:firstLine="420" w:firstLineChars="200"/>
        <w:rPr>
          <w:szCs w:val="21"/>
        </w:rPr>
      </w:pPr>
      <w:r>
        <w:rPr>
          <w:szCs w:val="21"/>
        </w:rPr>
        <w:t>1.4.3投标人不得存在下列情形之一：</w:t>
      </w:r>
    </w:p>
    <w:p>
      <w:pPr>
        <w:spacing w:line="420" w:lineRule="exact"/>
        <w:ind w:firstLine="420" w:firstLineChars="200"/>
        <w:rPr>
          <w:szCs w:val="21"/>
        </w:rPr>
      </w:pPr>
      <w:r>
        <w:rPr>
          <w:szCs w:val="21"/>
        </w:rPr>
        <w:t>（1）为招标人不具有独立法人资格的附属机构（单位）；</w:t>
      </w:r>
    </w:p>
    <w:p>
      <w:pPr>
        <w:spacing w:line="420" w:lineRule="exact"/>
        <w:ind w:firstLine="420" w:firstLineChars="200"/>
        <w:rPr>
          <w:szCs w:val="21"/>
        </w:rPr>
      </w:pPr>
      <w:r>
        <w:rPr>
          <w:szCs w:val="21"/>
        </w:rPr>
        <w:t>（2）为本标段前期准备提供设计或咨询服务的，但设计施工总承包的除外；</w:t>
      </w:r>
    </w:p>
    <w:p>
      <w:pPr>
        <w:spacing w:line="420" w:lineRule="exact"/>
        <w:ind w:firstLine="420" w:firstLineChars="200"/>
        <w:rPr>
          <w:szCs w:val="21"/>
        </w:rPr>
      </w:pPr>
      <w:r>
        <w:rPr>
          <w:szCs w:val="21"/>
        </w:rPr>
        <w:t>（3）为本标段的监理人；</w:t>
      </w:r>
    </w:p>
    <w:p>
      <w:pPr>
        <w:spacing w:line="420" w:lineRule="exact"/>
        <w:ind w:firstLine="420" w:firstLineChars="200"/>
        <w:rPr>
          <w:szCs w:val="21"/>
        </w:rPr>
      </w:pPr>
      <w:r>
        <w:rPr>
          <w:szCs w:val="21"/>
        </w:rPr>
        <w:t>（</w:t>
      </w:r>
      <w:r>
        <w:rPr>
          <w:rFonts w:hint="eastAsia"/>
          <w:szCs w:val="21"/>
        </w:rPr>
        <w:t>4</w:t>
      </w:r>
      <w:r>
        <w:rPr>
          <w:szCs w:val="21"/>
        </w:rPr>
        <w:t>）为本标段提供招标代理服务的；</w:t>
      </w:r>
    </w:p>
    <w:p>
      <w:pPr>
        <w:spacing w:line="420" w:lineRule="exact"/>
        <w:ind w:firstLine="420" w:firstLineChars="200"/>
        <w:rPr>
          <w:szCs w:val="21"/>
        </w:rPr>
      </w:pPr>
      <w:r>
        <w:rPr>
          <w:szCs w:val="21"/>
        </w:rPr>
        <w:t>（</w:t>
      </w:r>
      <w:r>
        <w:rPr>
          <w:rFonts w:hint="eastAsia"/>
          <w:szCs w:val="21"/>
        </w:rPr>
        <w:t>5</w:t>
      </w:r>
      <w:r>
        <w:rPr>
          <w:szCs w:val="21"/>
        </w:rPr>
        <w:t>）</w:t>
      </w:r>
      <w:r>
        <w:rPr>
          <w:rFonts w:hint="eastAsia"/>
          <w:szCs w:val="21"/>
        </w:rPr>
        <w:t>与</w:t>
      </w:r>
      <w:r>
        <w:rPr>
          <w:szCs w:val="21"/>
        </w:rPr>
        <w:t>本标段的监理人</w:t>
      </w:r>
      <w:r>
        <w:rPr>
          <w:rFonts w:hint="eastAsia"/>
          <w:szCs w:val="21"/>
        </w:rPr>
        <w:t>或</w:t>
      </w:r>
      <w:r>
        <w:rPr>
          <w:szCs w:val="21"/>
        </w:rPr>
        <w:t>招标代理</w:t>
      </w:r>
      <w:r>
        <w:rPr>
          <w:rFonts w:hint="eastAsia"/>
          <w:szCs w:val="21"/>
        </w:rPr>
        <w:t>机构同为一个法定代表人的</w:t>
      </w:r>
      <w:r>
        <w:rPr>
          <w:szCs w:val="21"/>
        </w:rPr>
        <w:t>；</w:t>
      </w:r>
    </w:p>
    <w:p>
      <w:pPr>
        <w:spacing w:line="420" w:lineRule="exact"/>
        <w:ind w:firstLine="420" w:firstLineChars="200"/>
        <w:rPr>
          <w:szCs w:val="21"/>
        </w:rPr>
      </w:pPr>
      <w:r>
        <w:rPr>
          <w:rFonts w:hint="eastAsia"/>
          <w:szCs w:val="21"/>
        </w:rPr>
        <w:t>（6）与</w:t>
      </w:r>
      <w:r>
        <w:rPr>
          <w:szCs w:val="21"/>
        </w:rPr>
        <w:t>本标段的监理人</w:t>
      </w:r>
      <w:r>
        <w:rPr>
          <w:rFonts w:hint="eastAsia"/>
          <w:szCs w:val="21"/>
        </w:rPr>
        <w:t>或</w:t>
      </w:r>
      <w:r>
        <w:rPr>
          <w:szCs w:val="21"/>
        </w:rPr>
        <w:t>招标代理</w:t>
      </w:r>
      <w:r>
        <w:rPr>
          <w:rFonts w:hint="eastAsia"/>
          <w:szCs w:val="21"/>
        </w:rPr>
        <w:t>机构相互控股或参股的；</w:t>
      </w:r>
    </w:p>
    <w:p>
      <w:pPr>
        <w:spacing w:line="420" w:lineRule="exact"/>
        <w:ind w:firstLine="420" w:firstLineChars="200"/>
        <w:rPr>
          <w:szCs w:val="21"/>
        </w:rPr>
      </w:pPr>
      <w:r>
        <w:rPr>
          <w:rFonts w:hint="eastAsia"/>
          <w:szCs w:val="21"/>
        </w:rPr>
        <w:t>（7）与</w:t>
      </w:r>
      <w:r>
        <w:rPr>
          <w:szCs w:val="21"/>
        </w:rPr>
        <w:t>本标段的监理人</w:t>
      </w:r>
      <w:r>
        <w:rPr>
          <w:rFonts w:hint="eastAsia"/>
          <w:szCs w:val="21"/>
        </w:rPr>
        <w:t>或</w:t>
      </w:r>
      <w:r>
        <w:rPr>
          <w:szCs w:val="21"/>
        </w:rPr>
        <w:t>招标代理</w:t>
      </w:r>
      <w:r>
        <w:rPr>
          <w:rFonts w:hint="eastAsia"/>
          <w:szCs w:val="21"/>
        </w:rPr>
        <w:t>机构相互任职或工作的；</w:t>
      </w:r>
    </w:p>
    <w:p>
      <w:pPr>
        <w:spacing w:line="420" w:lineRule="exact"/>
        <w:ind w:firstLine="420" w:firstLineChars="200"/>
        <w:rPr>
          <w:szCs w:val="21"/>
        </w:rPr>
      </w:pPr>
      <w:r>
        <w:rPr>
          <w:rFonts w:hint="eastAsia"/>
          <w:szCs w:val="21"/>
        </w:rPr>
        <w:t>（8）被责令停业的；</w:t>
      </w:r>
    </w:p>
    <w:p>
      <w:pPr>
        <w:spacing w:line="420" w:lineRule="exact"/>
        <w:ind w:firstLine="420" w:firstLineChars="200"/>
        <w:rPr>
          <w:szCs w:val="21"/>
        </w:rPr>
      </w:pPr>
      <w:r>
        <w:rPr>
          <w:rFonts w:hint="eastAsia"/>
          <w:szCs w:val="21"/>
        </w:rPr>
        <w:t>（9）被暂停或取消投标资格的；</w:t>
      </w:r>
    </w:p>
    <w:p>
      <w:pPr>
        <w:spacing w:line="420" w:lineRule="exact"/>
        <w:ind w:firstLine="420" w:firstLineChars="200"/>
        <w:rPr>
          <w:szCs w:val="21"/>
        </w:rPr>
      </w:pPr>
      <w:r>
        <w:rPr>
          <w:rFonts w:hint="eastAsia"/>
          <w:szCs w:val="21"/>
        </w:rPr>
        <w:t>（10）财产被接管或冻结的；</w:t>
      </w:r>
    </w:p>
    <w:p>
      <w:pPr>
        <w:spacing w:line="420" w:lineRule="exact"/>
        <w:ind w:firstLine="420" w:firstLineChars="200"/>
        <w:rPr>
          <w:szCs w:val="21"/>
        </w:rPr>
      </w:pPr>
      <w:r>
        <w:rPr>
          <w:rFonts w:hint="eastAsia"/>
          <w:szCs w:val="21"/>
        </w:rPr>
        <w:t>（11）在最近三年内有骗取中标或严重违约或重大工程质量问题的；</w:t>
      </w:r>
    </w:p>
    <w:p>
      <w:pPr>
        <w:spacing w:line="420" w:lineRule="exact"/>
        <w:ind w:firstLine="420" w:firstLineChars="200"/>
        <w:rPr>
          <w:szCs w:val="21"/>
        </w:rPr>
      </w:pPr>
      <w:r>
        <w:rPr>
          <w:rFonts w:hint="eastAsia"/>
          <w:szCs w:val="21"/>
        </w:rPr>
        <w:t>（12）涉及正在诉讼的案件但经审查委员会认定不会对承担本项目造成重大影响；</w:t>
      </w:r>
    </w:p>
    <w:p>
      <w:pPr>
        <w:spacing w:line="420" w:lineRule="exact"/>
        <w:ind w:firstLine="420" w:firstLineChars="200"/>
        <w:rPr>
          <w:szCs w:val="21"/>
        </w:rPr>
      </w:pPr>
      <w:r>
        <w:rPr>
          <w:rFonts w:hint="eastAsia"/>
          <w:szCs w:val="21"/>
        </w:rPr>
        <w:t>（13）被省级及以上交通主管部门取消项目所在地的投标资格或禁止进入该区域公路建设市场且处于有效期内；</w:t>
      </w:r>
    </w:p>
    <w:p>
      <w:pPr>
        <w:spacing w:line="420" w:lineRule="exact"/>
        <w:ind w:firstLine="420" w:firstLineChars="200"/>
        <w:rPr>
          <w:szCs w:val="21"/>
        </w:rPr>
      </w:pPr>
      <w:r>
        <w:rPr>
          <w:rFonts w:hint="eastAsia"/>
          <w:szCs w:val="21"/>
        </w:rPr>
        <w:t>（14）为投资参股本项目的法人单位。</w:t>
      </w:r>
    </w:p>
    <w:p>
      <w:pPr>
        <w:pStyle w:val="27"/>
        <w:spacing w:beforeLines="50" w:afterLines="50" w:line="420" w:lineRule="exact"/>
        <w:rPr>
          <w:rFonts w:cs="Times New Roman"/>
          <w:b/>
          <w:bCs/>
          <w:sz w:val="21"/>
          <w:szCs w:val="21"/>
        </w:rPr>
      </w:pPr>
      <w:bookmarkStart w:id="354" w:name="_Toc21359"/>
      <w:bookmarkStart w:id="355" w:name="_Toc19055"/>
      <w:bookmarkStart w:id="356" w:name="_Toc19744"/>
      <w:bookmarkStart w:id="357" w:name="_Toc14144"/>
      <w:bookmarkStart w:id="358" w:name="_Toc27202"/>
      <w:bookmarkStart w:id="359" w:name="_Toc19530"/>
      <w:bookmarkStart w:id="360" w:name="_Toc9876"/>
      <w:bookmarkStart w:id="361" w:name="_Toc152042311"/>
      <w:bookmarkStart w:id="362" w:name="_Toc288491418"/>
      <w:bookmarkStart w:id="363" w:name="_Toc287853242"/>
      <w:bookmarkStart w:id="364" w:name="_Toc27082"/>
      <w:bookmarkStart w:id="365" w:name="_Toc28877"/>
      <w:bookmarkStart w:id="366" w:name="_Toc283794090"/>
      <w:bookmarkStart w:id="367" w:name="_Toc282778893"/>
      <w:bookmarkStart w:id="368" w:name="_Toc30205"/>
      <w:bookmarkStart w:id="369" w:name="_Toc3309"/>
      <w:bookmarkStart w:id="370" w:name="_Toc28249"/>
      <w:bookmarkStart w:id="371" w:name="_Toc2644"/>
      <w:bookmarkStart w:id="372" w:name="_Toc144974503"/>
      <w:bookmarkStart w:id="373" w:name="_Toc152045535"/>
      <w:bookmarkStart w:id="374" w:name="_Toc28029"/>
      <w:bookmarkStart w:id="375" w:name="_Toc23864"/>
      <w:bookmarkStart w:id="376" w:name="_Toc14733"/>
      <w:bookmarkStart w:id="377" w:name="_Toc32509"/>
      <w:bookmarkStart w:id="378" w:name="_Toc282787333"/>
      <w:bookmarkStart w:id="379" w:name="_Toc288546542"/>
      <w:bookmarkStart w:id="380" w:name="_Toc10238"/>
      <w:bookmarkStart w:id="381" w:name="_Toc282779402"/>
      <w:bookmarkStart w:id="382" w:name="_Toc179632552"/>
      <w:r>
        <w:rPr>
          <w:rFonts w:cs="Times New Roman"/>
          <w:b/>
          <w:bCs/>
          <w:sz w:val="21"/>
          <w:szCs w:val="21"/>
        </w:rPr>
        <w:t>1.5  费用承担</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spacing w:line="420" w:lineRule="exact"/>
        <w:ind w:firstLine="420" w:firstLineChars="200"/>
        <w:rPr>
          <w:szCs w:val="21"/>
        </w:rPr>
      </w:pPr>
      <w:r>
        <w:rPr>
          <w:rFonts w:hint="eastAsia"/>
          <w:szCs w:val="21"/>
        </w:rPr>
        <w:t>投标人准备和参加投标活动发生的费用自理。</w:t>
      </w:r>
    </w:p>
    <w:p>
      <w:pPr>
        <w:pStyle w:val="27"/>
        <w:spacing w:beforeLines="50" w:afterLines="50" w:line="420" w:lineRule="exact"/>
        <w:rPr>
          <w:rFonts w:cs="Times New Roman"/>
          <w:b/>
          <w:bCs/>
          <w:sz w:val="21"/>
          <w:szCs w:val="21"/>
        </w:rPr>
      </w:pPr>
      <w:bookmarkStart w:id="383" w:name="_Toc24660"/>
      <w:bookmarkStart w:id="384" w:name="_Toc179632553"/>
      <w:bookmarkStart w:id="385" w:name="_Toc144974504"/>
      <w:bookmarkStart w:id="386" w:name="_Toc3032"/>
      <w:bookmarkStart w:id="387" w:name="_Toc13519"/>
      <w:bookmarkStart w:id="388" w:name="_Toc288546543"/>
      <w:bookmarkStart w:id="389" w:name="_Toc3547"/>
      <w:bookmarkStart w:id="390" w:name="_Toc23809"/>
      <w:bookmarkStart w:id="391" w:name="_Toc15784"/>
      <w:bookmarkStart w:id="392" w:name="_Toc9867"/>
      <w:bookmarkStart w:id="393" w:name="_Toc22743"/>
      <w:bookmarkStart w:id="394" w:name="_Toc22057"/>
      <w:bookmarkStart w:id="395" w:name="_Toc21318"/>
      <w:bookmarkStart w:id="396" w:name="_Toc287853243"/>
      <w:bookmarkStart w:id="397" w:name="_Toc288491419"/>
      <w:bookmarkStart w:id="398" w:name="_Toc21001"/>
      <w:bookmarkStart w:id="399" w:name="_Toc152042312"/>
      <w:bookmarkStart w:id="400" w:name="_Toc152045536"/>
      <w:bookmarkStart w:id="401" w:name="_Toc5959"/>
      <w:bookmarkStart w:id="402" w:name="_Toc17594"/>
      <w:bookmarkStart w:id="403" w:name="_Toc1399"/>
      <w:bookmarkStart w:id="404" w:name="_Toc282787334"/>
      <w:bookmarkStart w:id="405" w:name="_Toc22090"/>
      <w:bookmarkStart w:id="406" w:name="_Toc6185"/>
      <w:bookmarkStart w:id="407" w:name="_Toc29628"/>
      <w:bookmarkStart w:id="408" w:name="_Toc282778894"/>
      <w:bookmarkStart w:id="409" w:name="_Toc283794091"/>
      <w:bookmarkStart w:id="410" w:name="_Toc282779403"/>
      <w:bookmarkStart w:id="411" w:name="_Toc30754"/>
      <w:r>
        <w:rPr>
          <w:rFonts w:cs="Times New Roman"/>
          <w:b/>
          <w:bCs/>
          <w:sz w:val="21"/>
          <w:szCs w:val="21"/>
        </w:rPr>
        <w:t>1.6  保密</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spacing w:line="420" w:lineRule="exact"/>
        <w:ind w:firstLine="420" w:firstLineChars="200"/>
        <w:rPr>
          <w:szCs w:val="21"/>
        </w:rPr>
      </w:pPr>
      <w:r>
        <w:rPr>
          <w:rFonts w:hint="eastAsia"/>
          <w:szCs w:val="21"/>
        </w:rPr>
        <w:t xml:space="preserve">参与招标投标活动的各方应对招标文件和投标文件中的商业和技术等秘密保密，违者应对由此造成的后果承担法律责任。 </w:t>
      </w:r>
    </w:p>
    <w:p>
      <w:pPr>
        <w:pStyle w:val="27"/>
        <w:spacing w:beforeLines="50" w:afterLines="50" w:line="420" w:lineRule="exact"/>
        <w:rPr>
          <w:rFonts w:cs="Times New Roman"/>
          <w:b/>
          <w:bCs/>
          <w:sz w:val="21"/>
          <w:szCs w:val="21"/>
        </w:rPr>
      </w:pPr>
      <w:bookmarkStart w:id="412" w:name="_Toc144974505"/>
      <w:bookmarkStart w:id="413" w:name="_Toc14956"/>
      <w:bookmarkStart w:id="414" w:name="_Toc283794092"/>
      <w:bookmarkStart w:id="415" w:name="_Toc18962"/>
      <w:bookmarkStart w:id="416" w:name="_Toc23873"/>
      <w:bookmarkStart w:id="417" w:name="_Toc179632554"/>
      <w:bookmarkStart w:id="418" w:name="_Toc7681"/>
      <w:bookmarkStart w:id="419" w:name="_Toc27241"/>
      <w:bookmarkStart w:id="420" w:name="_Toc288491420"/>
      <w:bookmarkStart w:id="421" w:name="_Toc4468"/>
      <w:bookmarkStart w:id="422" w:name="_Toc5678"/>
      <w:bookmarkStart w:id="423" w:name="_Toc282778895"/>
      <w:bookmarkStart w:id="424" w:name="_Toc282787335"/>
      <w:bookmarkStart w:id="425" w:name="_Toc32459"/>
      <w:bookmarkStart w:id="426" w:name="_Toc152042313"/>
      <w:bookmarkStart w:id="427" w:name="_Toc11068"/>
      <w:bookmarkStart w:id="428" w:name="_Toc24631"/>
      <w:bookmarkStart w:id="429" w:name="_Toc28216"/>
      <w:bookmarkStart w:id="430" w:name="_Toc282779404"/>
      <w:bookmarkStart w:id="431" w:name="_Toc152045537"/>
      <w:bookmarkStart w:id="432" w:name="_Toc14573"/>
      <w:bookmarkStart w:id="433" w:name="_Toc287853244"/>
      <w:bookmarkStart w:id="434" w:name="_Toc28736"/>
      <w:bookmarkStart w:id="435" w:name="_Toc22920"/>
      <w:bookmarkStart w:id="436" w:name="_Toc15536"/>
      <w:bookmarkStart w:id="437" w:name="_Toc16533"/>
      <w:bookmarkStart w:id="438" w:name="_Toc13273"/>
      <w:bookmarkStart w:id="439" w:name="_Toc19785"/>
      <w:bookmarkStart w:id="440" w:name="_Toc288546544"/>
      <w:r>
        <w:rPr>
          <w:rFonts w:cs="Times New Roman"/>
          <w:b/>
          <w:bCs/>
          <w:sz w:val="21"/>
          <w:szCs w:val="21"/>
        </w:rPr>
        <w:t>1.7  语言</w:t>
      </w:r>
      <w:bookmarkEnd w:id="412"/>
      <w:r>
        <w:rPr>
          <w:rFonts w:cs="Times New Roman"/>
          <w:b/>
          <w:bCs/>
          <w:sz w:val="21"/>
          <w:szCs w:val="21"/>
        </w:rPr>
        <w:t>文字</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spacing w:line="420" w:lineRule="exact"/>
        <w:ind w:firstLine="420" w:firstLineChars="200"/>
        <w:rPr>
          <w:szCs w:val="21"/>
        </w:rPr>
      </w:pPr>
      <w:r>
        <w:rPr>
          <w:rFonts w:hint="eastAsia"/>
          <w:szCs w:val="21"/>
        </w:rPr>
        <w:t>除专用术语外，与招标投标有关的语言均使用中文。必要时专用术语应附有中文注释。</w:t>
      </w:r>
      <w:bookmarkStart w:id="441" w:name="_Toc282778896"/>
      <w:bookmarkStart w:id="442" w:name="_Toc282787336"/>
      <w:bookmarkStart w:id="443" w:name="_Toc288546545"/>
      <w:bookmarkStart w:id="444" w:name="_Toc152045538"/>
      <w:bookmarkStart w:id="445" w:name="_Toc282779405"/>
      <w:bookmarkStart w:id="446" w:name="_Toc144974506"/>
      <w:bookmarkStart w:id="447" w:name="_Toc179632555"/>
      <w:bookmarkStart w:id="448" w:name="_Toc152042314"/>
      <w:bookmarkStart w:id="449" w:name="_Toc283794093"/>
      <w:bookmarkStart w:id="450" w:name="_Toc287853245"/>
      <w:bookmarkStart w:id="451" w:name="_Toc288491421"/>
    </w:p>
    <w:p>
      <w:pPr>
        <w:pStyle w:val="27"/>
        <w:spacing w:beforeLines="50" w:afterLines="50" w:line="420" w:lineRule="exact"/>
        <w:rPr>
          <w:rFonts w:cs="Times New Roman"/>
          <w:b/>
          <w:bCs/>
          <w:sz w:val="21"/>
          <w:szCs w:val="21"/>
        </w:rPr>
      </w:pPr>
      <w:bookmarkStart w:id="452" w:name="_Toc9242"/>
      <w:bookmarkStart w:id="453" w:name="_Toc20920"/>
      <w:bookmarkStart w:id="454" w:name="_Toc18171"/>
      <w:bookmarkStart w:id="455" w:name="_Toc8868"/>
      <w:bookmarkStart w:id="456" w:name="_Toc16583"/>
      <w:bookmarkStart w:id="457" w:name="_Toc23129"/>
      <w:bookmarkStart w:id="458" w:name="_Toc15066"/>
      <w:bookmarkStart w:id="459" w:name="_Toc7632"/>
      <w:bookmarkStart w:id="460" w:name="_Toc9335"/>
      <w:bookmarkStart w:id="461" w:name="_Toc27810"/>
      <w:bookmarkStart w:id="462" w:name="_Toc29984"/>
      <w:bookmarkStart w:id="463" w:name="_Toc20241"/>
      <w:bookmarkStart w:id="464" w:name="_Toc11604"/>
      <w:bookmarkStart w:id="465" w:name="_Toc22291"/>
      <w:bookmarkStart w:id="466" w:name="_Toc10115"/>
      <w:bookmarkStart w:id="467" w:name="_Toc15038"/>
      <w:bookmarkStart w:id="468" w:name="_Toc21548"/>
      <w:bookmarkStart w:id="469" w:name="_Toc8198"/>
      <w:r>
        <w:rPr>
          <w:rFonts w:cs="Times New Roman"/>
          <w:b/>
          <w:bCs/>
          <w:sz w:val="21"/>
          <w:szCs w:val="21"/>
        </w:rPr>
        <w:t>1.8  计量单位</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pPr>
        <w:spacing w:line="420" w:lineRule="exact"/>
        <w:ind w:firstLine="420" w:firstLineChars="200"/>
        <w:rPr>
          <w:szCs w:val="21"/>
        </w:rPr>
      </w:pPr>
      <w:r>
        <w:rPr>
          <w:rFonts w:hint="eastAsia"/>
          <w:szCs w:val="21"/>
        </w:rPr>
        <w:t>所有计量均采用中华人民共和国法定计量单位。</w:t>
      </w:r>
    </w:p>
    <w:p>
      <w:pPr>
        <w:pStyle w:val="27"/>
        <w:spacing w:beforeLines="50" w:afterLines="50" w:line="420" w:lineRule="exact"/>
        <w:rPr>
          <w:rFonts w:cs="Times New Roman"/>
          <w:b/>
          <w:bCs/>
          <w:sz w:val="21"/>
          <w:szCs w:val="21"/>
        </w:rPr>
      </w:pPr>
      <w:bookmarkStart w:id="470" w:name="_Toc2752"/>
      <w:bookmarkStart w:id="471" w:name="_Toc152045539"/>
      <w:bookmarkStart w:id="472" w:name="_Toc15410"/>
      <w:bookmarkStart w:id="473" w:name="_Toc24185"/>
      <w:bookmarkStart w:id="474" w:name="_Toc3901"/>
      <w:bookmarkStart w:id="475" w:name="_Toc179632556"/>
      <w:bookmarkStart w:id="476" w:name="_Toc288546546"/>
      <w:bookmarkStart w:id="477" w:name="_Toc15264"/>
      <w:bookmarkStart w:id="478" w:name="_Toc287853246"/>
      <w:bookmarkStart w:id="479" w:name="_Toc288491422"/>
      <w:bookmarkStart w:id="480" w:name="_Toc17784"/>
      <w:bookmarkStart w:id="481" w:name="_Toc282787337"/>
      <w:bookmarkStart w:id="482" w:name="_Toc18680"/>
      <w:bookmarkStart w:id="483" w:name="_Toc20596"/>
      <w:bookmarkStart w:id="484" w:name="_Toc30753"/>
      <w:bookmarkStart w:id="485" w:name="_Toc32656"/>
      <w:bookmarkStart w:id="486" w:name="_Toc11709"/>
      <w:bookmarkStart w:id="487" w:name="_Toc10235"/>
      <w:bookmarkStart w:id="488" w:name="_Toc282779406"/>
      <w:bookmarkStart w:id="489" w:name="_Toc282778897"/>
      <w:bookmarkStart w:id="490" w:name="_Toc9336"/>
      <w:bookmarkStart w:id="491" w:name="_Toc152042315"/>
      <w:bookmarkStart w:id="492" w:name="_Toc9683"/>
      <w:bookmarkStart w:id="493" w:name="_Toc283794094"/>
      <w:bookmarkStart w:id="494" w:name="_Toc20923"/>
      <w:bookmarkStart w:id="495" w:name="_Toc23543"/>
      <w:bookmarkStart w:id="496" w:name="_Toc144974507"/>
      <w:bookmarkStart w:id="497" w:name="_Toc32289"/>
      <w:bookmarkStart w:id="498" w:name="_Toc20794"/>
      <w:r>
        <w:rPr>
          <w:rFonts w:cs="Times New Roman"/>
          <w:b/>
          <w:bCs/>
          <w:sz w:val="21"/>
          <w:szCs w:val="21"/>
        </w:rPr>
        <w:t>1.9  踏勘现场</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spacing w:line="420" w:lineRule="exact"/>
        <w:ind w:firstLine="420" w:firstLineChars="200"/>
        <w:rPr>
          <w:szCs w:val="21"/>
        </w:rPr>
      </w:pPr>
      <w:bookmarkStart w:id="499" w:name="_Toc235846301"/>
      <w:bookmarkStart w:id="500" w:name="_Toc233290300"/>
      <w:bookmarkStart w:id="501" w:name="_Toc288491423"/>
      <w:bookmarkStart w:id="502" w:name="_Toc288546547"/>
      <w:bookmarkStart w:id="503" w:name="_Toc233423185"/>
      <w:bookmarkStart w:id="504" w:name="_Toc233435912"/>
      <w:bookmarkStart w:id="505" w:name="_Toc282787338"/>
      <w:bookmarkStart w:id="506" w:name="_Toc233429695"/>
      <w:bookmarkStart w:id="507" w:name="_Toc283794095"/>
      <w:bookmarkStart w:id="508" w:name="_Toc233214754"/>
      <w:bookmarkStart w:id="509" w:name="_Toc282778898"/>
      <w:bookmarkStart w:id="510" w:name="_Toc287853247"/>
      <w:bookmarkStart w:id="511" w:name="_Toc282779407"/>
      <w:r>
        <w:rPr>
          <w:rFonts w:hint="eastAsia"/>
          <w:szCs w:val="21"/>
        </w:rPr>
        <w:t xml:space="preserve">1.9.1  投标人须知前附表规定组织踏勘现场的，招标人按投标人须知前附表规定的时间、地点组织投标人踏勘项目现场。 </w:t>
      </w:r>
    </w:p>
    <w:p>
      <w:pPr>
        <w:spacing w:line="420" w:lineRule="exact"/>
        <w:ind w:firstLine="420" w:firstLineChars="200"/>
        <w:rPr>
          <w:szCs w:val="21"/>
        </w:rPr>
      </w:pPr>
      <w:r>
        <w:rPr>
          <w:rFonts w:hint="eastAsia"/>
          <w:szCs w:val="21"/>
        </w:rPr>
        <w:t>1.9.2  投标人踏勘现场发生的费用自理。</w:t>
      </w:r>
    </w:p>
    <w:p>
      <w:pPr>
        <w:spacing w:line="420" w:lineRule="exact"/>
        <w:ind w:firstLine="420" w:firstLineChars="200"/>
        <w:rPr>
          <w:szCs w:val="21"/>
        </w:rPr>
      </w:pPr>
      <w:r>
        <w:rPr>
          <w:rFonts w:hint="eastAsia"/>
          <w:szCs w:val="21"/>
        </w:rPr>
        <w:t>1.9.3  除招标人的原因外，投标人自行负责在踏勘现场中所发生的人员伤亡和财产损失。</w:t>
      </w:r>
    </w:p>
    <w:p>
      <w:pPr>
        <w:spacing w:line="420" w:lineRule="exact"/>
        <w:ind w:firstLine="420" w:firstLineChars="200"/>
        <w:rPr>
          <w:szCs w:val="21"/>
        </w:rPr>
      </w:pPr>
      <w:r>
        <w:rPr>
          <w:rFonts w:hint="eastAsia"/>
          <w:szCs w:val="21"/>
        </w:rPr>
        <w:t>1.9.4  招标人在踏勘现场中介绍的工程场地和相关的周边环境情况，供投标人在编制投标文件时参考，招标人不对投标人据此作出的判断和决策负责。</w:t>
      </w:r>
    </w:p>
    <w:p>
      <w:pPr>
        <w:spacing w:line="420" w:lineRule="exact"/>
        <w:ind w:firstLine="420" w:firstLineChars="200"/>
        <w:rPr>
          <w:rFonts w:ascii="宋体" w:hAnsi="宋体"/>
          <w:szCs w:val="21"/>
        </w:rPr>
      </w:pPr>
      <w:r>
        <w:rPr>
          <w:rFonts w:hint="eastAsia" w:eastAsia="黑体"/>
          <w:szCs w:val="21"/>
        </w:rPr>
        <w:t xml:space="preserve">1.9.5  </w:t>
      </w:r>
      <w:r>
        <w:rPr>
          <w:rFonts w:hint="eastAsia" w:ascii="宋体" w:hAnsi="宋体"/>
          <w:szCs w:val="21"/>
        </w:rPr>
        <w:t>招标人提供的本标段工程的道路现状、交通流量、水文、地质、气象和料场、取土场、弃土场位置等参考资料，并不构成合同文件的组成部分，投标人应对自己就上述资料的解释、推论和应用负责，招标人不对投标人据此作出的判断和决策承担任何责任。</w:t>
      </w:r>
    </w:p>
    <w:p>
      <w:pPr>
        <w:pStyle w:val="27"/>
        <w:spacing w:beforeLines="50" w:afterLines="50" w:line="420" w:lineRule="exact"/>
        <w:rPr>
          <w:rFonts w:cs="Times New Roman"/>
          <w:b/>
          <w:bCs/>
          <w:sz w:val="21"/>
          <w:szCs w:val="21"/>
        </w:rPr>
      </w:pPr>
      <w:bookmarkStart w:id="512" w:name="_Toc14552"/>
      <w:bookmarkStart w:id="513" w:name="_Toc21367"/>
      <w:bookmarkStart w:id="514" w:name="_Toc2541"/>
      <w:bookmarkStart w:id="515" w:name="_Toc8341"/>
      <w:bookmarkStart w:id="516" w:name="_Toc10702"/>
      <w:bookmarkStart w:id="517" w:name="_Toc29523"/>
      <w:bookmarkStart w:id="518" w:name="_Toc21562"/>
      <w:bookmarkStart w:id="519" w:name="_Toc725"/>
      <w:bookmarkStart w:id="520" w:name="_Toc16732"/>
      <w:bookmarkStart w:id="521" w:name="_Toc29710"/>
      <w:bookmarkStart w:id="522" w:name="_Toc361"/>
      <w:bookmarkStart w:id="523" w:name="_Toc16578"/>
      <w:bookmarkStart w:id="524" w:name="_Toc24613"/>
      <w:bookmarkStart w:id="525" w:name="_Toc23743"/>
      <w:bookmarkStart w:id="526" w:name="_Toc27373"/>
      <w:bookmarkStart w:id="527" w:name="_Toc3483"/>
      <w:bookmarkStart w:id="528" w:name="_Toc7944"/>
      <w:bookmarkStart w:id="529" w:name="_Toc17170"/>
      <w:r>
        <w:rPr>
          <w:rFonts w:cs="Times New Roman"/>
          <w:b/>
          <w:bCs/>
          <w:sz w:val="21"/>
          <w:szCs w:val="21"/>
        </w:rPr>
        <w:t>1.10 投标预备会</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spacing w:line="420" w:lineRule="exact"/>
        <w:ind w:firstLine="420" w:firstLineChars="200"/>
        <w:rPr>
          <w:szCs w:val="21"/>
        </w:rPr>
      </w:pPr>
      <w:r>
        <w:rPr>
          <w:rFonts w:hint="eastAsia"/>
          <w:szCs w:val="21"/>
        </w:rPr>
        <w:t>1.10.1  投标人须知前附表规定召开投标预备会的，招标人按投标人须知前附表规定的时间和地点召开投标预备会，澄清投标人提出的问题。</w:t>
      </w:r>
    </w:p>
    <w:p>
      <w:pPr>
        <w:spacing w:line="420" w:lineRule="exact"/>
        <w:ind w:firstLine="420" w:firstLineChars="200"/>
        <w:rPr>
          <w:szCs w:val="21"/>
        </w:rPr>
      </w:pPr>
      <w:r>
        <w:rPr>
          <w:rFonts w:hint="eastAsia"/>
          <w:szCs w:val="21"/>
        </w:rPr>
        <w:t>1.10.2  投标人应在投标人须知前附表规定的时间前，以书面形式将提出的问题送达招标人，以便招标人在会议期间澄清。</w:t>
      </w:r>
    </w:p>
    <w:p>
      <w:pPr>
        <w:spacing w:line="420" w:lineRule="exact"/>
        <w:ind w:firstLine="420" w:firstLineChars="200"/>
        <w:rPr>
          <w:b/>
          <w:bCs/>
          <w:szCs w:val="21"/>
        </w:rPr>
      </w:pPr>
      <w:r>
        <w:rPr>
          <w:szCs w:val="21"/>
        </w:rPr>
        <w:t>1.10.3</w:t>
      </w:r>
      <w:r>
        <w:rPr>
          <w:rFonts w:hint="eastAsia"/>
          <w:szCs w:val="21"/>
        </w:rPr>
        <w:t xml:space="preserve">  投标预备会后，招标人在投标人须知前附表规定的时间内，将对投标人所提问题的澄清，以书面（补遗书）方式通知所有购买招标文件的投标人。该补遗书内容为招标文件的组成部分。</w:t>
      </w:r>
    </w:p>
    <w:p>
      <w:pPr>
        <w:pStyle w:val="27"/>
        <w:spacing w:beforeLines="50" w:afterLines="50" w:line="420" w:lineRule="exact"/>
        <w:rPr>
          <w:rFonts w:cs="Times New Roman"/>
          <w:b/>
          <w:bCs/>
          <w:sz w:val="21"/>
          <w:szCs w:val="21"/>
        </w:rPr>
      </w:pPr>
      <w:bookmarkStart w:id="530" w:name="_Toc233423186"/>
      <w:bookmarkStart w:id="531" w:name="_Toc233290301"/>
      <w:bookmarkStart w:id="532" w:name="_Toc1469"/>
      <w:bookmarkStart w:id="533" w:name="_Toc12106"/>
      <w:bookmarkStart w:id="534" w:name="_Toc21326"/>
      <w:bookmarkStart w:id="535" w:name="_Toc15048"/>
      <w:bookmarkStart w:id="536" w:name="_Toc27993"/>
      <w:bookmarkStart w:id="537" w:name="_Toc29758"/>
      <w:bookmarkStart w:id="538" w:name="_Toc7389"/>
      <w:bookmarkStart w:id="539" w:name="_Toc32537"/>
      <w:bookmarkStart w:id="540" w:name="_Toc235846302"/>
      <w:bookmarkStart w:id="541" w:name="_Toc282787339"/>
      <w:bookmarkStart w:id="542" w:name="_Toc288491424"/>
      <w:bookmarkStart w:id="543" w:name="_Toc10708"/>
      <w:bookmarkStart w:id="544" w:name="_Toc287853248"/>
      <w:bookmarkStart w:id="545" w:name="_Toc283794096"/>
      <w:bookmarkStart w:id="546" w:name="_Toc27395"/>
      <w:bookmarkStart w:id="547" w:name="_Toc233214755"/>
      <w:bookmarkStart w:id="548" w:name="_Toc20049"/>
      <w:bookmarkStart w:id="549" w:name="_Toc1747"/>
      <w:bookmarkStart w:id="550" w:name="_Toc31414"/>
      <w:bookmarkStart w:id="551" w:name="_Toc233429696"/>
      <w:bookmarkStart w:id="552" w:name="_Toc30049"/>
      <w:bookmarkStart w:id="553" w:name="_Toc282779408"/>
      <w:bookmarkStart w:id="554" w:name="_Toc288546548"/>
      <w:bookmarkStart w:id="555" w:name="_Toc18123"/>
      <w:bookmarkStart w:id="556" w:name="_Toc13730"/>
      <w:bookmarkStart w:id="557" w:name="_Toc21790"/>
      <w:bookmarkStart w:id="558" w:name="_Toc18716"/>
      <w:bookmarkStart w:id="559" w:name="_Toc233435913"/>
      <w:bookmarkStart w:id="560" w:name="_Toc282778899"/>
      <w:r>
        <w:rPr>
          <w:rFonts w:cs="Times New Roman"/>
          <w:b/>
          <w:bCs/>
          <w:sz w:val="21"/>
          <w:szCs w:val="21"/>
        </w:rPr>
        <w:t>1.11  分包</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spacing w:line="420" w:lineRule="exact"/>
        <w:ind w:firstLine="420" w:firstLineChars="200"/>
        <w:rPr>
          <w:rFonts w:ascii="宋体" w:hAnsi="宋体"/>
          <w:szCs w:val="21"/>
        </w:rPr>
      </w:pPr>
      <w:r>
        <w:rPr>
          <w:rFonts w:hint="eastAsia" w:ascii="宋体" w:hAnsi="宋体"/>
          <w:szCs w:val="21"/>
        </w:rPr>
        <w:t>本项目严禁转包和违规分包，且不得再次分包。投标人拟在中标后将中标项目的部分非主体、非关键性工作进行分包的，应符合以下规定：</w:t>
      </w:r>
    </w:p>
    <w:p>
      <w:pPr>
        <w:spacing w:line="420" w:lineRule="exact"/>
        <w:ind w:firstLine="420" w:firstLineChars="200"/>
        <w:rPr>
          <w:rFonts w:ascii="宋体" w:hAnsi="宋体"/>
          <w:szCs w:val="21"/>
        </w:rPr>
      </w:pPr>
      <w:r>
        <w:rPr>
          <w:rFonts w:hint="eastAsia" w:ascii="宋体" w:hAnsi="宋体"/>
          <w:szCs w:val="21"/>
        </w:rPr>
        <w:t>分包内容要求：允许分包的工程范围仅限于非关键性工程或者适合专业化队伍施工的专业工程；</w:t>
      </w:r>
    </w:p>
    <w:p>
      <w:pPr>
        <w:spacing w:line="420" w:lineRule="exact"/>
        <w:ind w:firstLine="420" w:firstLineChars="200"/>
        <w:rPr>
          <w:rFonts w:ascii="宋体" w:hAnsi="宋体"/>
          <w:szCs w:val="21"/>
        </w:rPr>
      </w:pPr>
      <w:r>
        <w:rPr>
          <w:rFonts w:hint="eastAsia" w:ascii="宋体" w:hAnsi="宋体"/>
          <w:szCs w:val="21"/>
        </w:rPr>
        <w:t>分包金额要求：专业工程分包的工程量累计不得超过总工程量的</w:t>
      </w:r>
      <w:r>
        <w:rPr>
          <w:szCs w:val="21"/>
        </w:rPr>
        <w:t>30%</w:t>
      </w:r>
      <w:r>
        <w:rPr>
          <w:rFonts w:hint="eastAsia" w:ascii="宋体" w:hAnsi="宋体"/>
          <w:szCs w:val="21"/>
        </w:rPr>
        <w:t>；</w:t>
      </w:r>
    </w:p>
    <w:p>
      <w:pPr>
        <w:spacing w:line="420" w:lineRule="exact"/>
        <w:ind w:firstLine="420" w:firstLineChars="200"/>
        <w:rPr>
          <w:rFonts w:ascii="宋体" w:hAnsi="宋体"/>
          <w:szCs w:val="21"/>
        </w:rPr>
      </w:pPr>
      <w:r>
        <w:rPr>
          <w:rFonts w:hint="eastAsia" w:ascii="宋体" w:hAnsi="宋体"/>
          <w:szCs w:val="21"/>
        </w:rPr>
        <w:t>接受分包的第三人资质要求：分包人的资格能力应与其分包工程的标准和规模相适应，具备相应的专业承包资质或劳务分包资质；</w:t>
      </w:r>
    </w:p>
    <w:p>
      <w:pPr>
        <w:spacing w:line="420" w:lineRule="exact"/>
        <w:ind w:firstLine="420" w:firstLineChars="200"/>
        <w:rPr>
          <w:rFonts w:ascii="宋体" w:hAnsi="宋体"/>
          <w:szCs w:val="21"/>
        </w:rPr>
      </w:pPr>
      <w:r>
        <w:rPr>
          <w:rFonts w:hint="eastAsia" w:ascii="宋体" w:hAnsi="宋体"/>
          <w:szCs w:val="21"/>
        </w:rPr>
        <w:t>其它要求：投标人如有分包计划的提交了分包协议，并应按第八章“投标文件格式”的要求填写“拟分包项目情况表”，且分包的内容和分包工程量符合规定。且投标人中标后的分包应满足合同条</w:t>
      </w:r>
      <w:r>
        <w:rPr>
          <w:rFonts w:ascii="宋体" w:hAnsi="宋体"/>
          <w:szCs w:val="21"/>
        </w:rPr>
        <w:t>款第</w:t>
      </w:r>
      <w:r>
        <w:rPr>
          <w:szCs w:val="21"/>
        </w:rPr>
        <w:t>4.3</w:t>
      </w:r>
      <w:r>
        <w:rPr>
          <w:rFonts w:hint="eastAsia" w:ascii="宋体" w:hAnsi="宋体"/>
          <w:szCs w:val="21"/>
        </w:rPr>
        <w:t>款的相关要求。</w:t>
      </w:r>
    </w:p>
    <w:p>
      <w:pPr>
        <w:pStyle w:val="27"/>
        <w:spacing w:beforeLines="50" w:afterLines="50" w:line="420" w:lineRule="exact"/>
        <w:rPr>
          <w:rFonts w:cs="Times New Roman"/>
          <w:b/>
          <w:bCs/>
          <w:sz w:val="21"/>
          <w:szCs w:val="21"/>
        </w:rPr>
      </w:pPr>
      <w:bookmarkStart w:id="561" w:name="_Toc233435914"/>
      <w:bookmarkStart w:id="562" w:name="_Toc29324"/>
      <w:bookmarkStart w:id="563" w:name="_Toc282787340"/>
      <w:bookmarkStart w:id="564" w:name="_Toc233214756"/>
      <w:bookmarkStart w:id="565" w:name="_Toc233290302"/>
      <w:bookmarkStart w:id="566" w:name="_Toc282779409"/>
      <w:bookmarkStart w:id="567" w:name="_Toc28372"/>
      <w:bookmarkStart w:id="568" w:name="_Toc11056"/>
      <w:bookmarkStart w:id="569" w:name="_Toc9670"/>
      <w:bookmarkStart w:id="570" w:name="_Toc287853249"/>
      <w:bookmarkStart w:id="571" w:name="_Toc235846303"/>
      <w:bookmarkStart w:id="572" w:name="_Toc17147"/>
      <w:bookmarkStart w:id="573" w:name="_Toc20893"/>
      <w:bookmarkStart w:id="574" w:name="_Toc2283"/>
      <w:bookmarkStart w:id="575" w:name="_Toc19459"/>
      <w:bookmarkStart w:id="576" w:name="_Toc2977"/>
      <w:bookmarkStart w:id="577" w:name="_Toc27605"/>
      <w:bookmarkStart w:id="578" w:name="_Toc283794097"/>
      <w:bookmarkStart w:id="579" w:name="_Toc27489"/>
      <w:bookmarkStart w:id="580" w:name="_Toc288491425"/>
      <w:bookmarkStart w:id="581" w:name="_Toc25744"/>
      <w:bookmarkStart w:id="582" w:name="_Toc12452"/>
      <w:bookmarkStart w:id="583" w:name="_Toc27173"/>
      <w:bookmarkStart w:id="584" w:name="_Toc8467"/>
      <w:bookmarkStart w:id="585" w:name="_Toc282778900"/>
      <w:bookmarkStart w:id="586" w:name="_Toc14135"/>
      <w:bookmarkStart w:id="587" w:name="_Toc288546549"/>
      <w:bookmarkStart w:id="588" w:name="_Toc233429697"/>
      <w:bookmarkStart w:id="589" w:name="_Toc233423187"/>
      <w:bookmarkStart w:id="590" w:name="_Toc10847"/>
      <w:bookmarkStart w:id="591" w:name="_Toc13244"/>
      <w:r>
        <w:rPr>
          <w:rFonts w:cs="Times New Roman"/>
          <w:b/>
          <w:bCs/>
          <w:sz w:val="21"/>
          <w:szCs w:val="21"/>
        </w:rPr>
        <w:t>1.12  偏离</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pPr>
        <w:spacing w:line="420" w:lineRule="exact"/>
        <w:ind w:firstLine="420" w:firstLineChars="200"/>
        <w:rPr>
          <w:rFonts w:ascii="宋体" w:hAnsi="宋体"/>
          <w:szCs w:val="21"/>
        </w:rPr>
      </w:pPr>
      <w:r>
        <w:rPr>
          <w:rFonts w:hint="eastAsia" w:ascii="宋体" w:hAnsi="宋体"/>
          <w:szCs w:val="21"/>
        </w:rPr>
        <w:t>投标人须知前附表允许投标文件偏离招标文件某些要求的，偏离应当符合招标文件规定的偏离范围和幅度。</w:t>
      </w:r>
    </w:p>
    <w:p>
      <w:pPr>
        <w:spacing w:line="420" w:lineRule="exact"/>
        <w:ind w:firstLine="420" w:firstLineChars="200"/>
        <w:rPr>
          <w:szCs w:val="21"/>
        </w:rPr>
      </w:pPr>
      <w:r>
        <w:rPr>
          <w:rFonts w:hAnsi="宋体"/>
          <w:szCs w:val="21"/>
        </w:rPr>
        <w:t>偏离即偏差，偏差分重大偏差和细微偏差。</w:t>
      </w:r>
    </w:p>
    <w:p>
      <w:pPr>
        <w:spacing w:line="420" w:lineRule="exact"/>
        <w:ind w:firstLine="420" w:firstLineChars="200"/>
        <w:rPr>
          <w:szCs w:val="21"/>
        </w:rPr>
      </w:pPr>
      <w:r>
        <w:rPr>
          <w:szCs w:val="21"/>
        </w:rPr>
        <w:t>1.12.1</w:t>
      </w:r>
      <w:r>
        <w:rPr>
          <w:rFonts w:hint="eastAsia"/>
          <w:szCs w:val="21"/>
        </w:rPr>
        <w:t xml:space="preserve">  投标文件不符合第三章“评标办法”第2.1款所列的初步评审标准以及按照第三章“评标办法”第3.1.3项和第3.1.4项的规定对投标价进行算术性错误修正及其它错误修正后，最终投标报价超过投标控制价（如有）的，属于重大偏差，视为对招标文件未作出实质性响应，按废标处理。</w:t>
      </w:r>
    </w:p>
    <w:p>
      <w:pPr>
        <w:spacing w:line="420" w:lineRule="exact"/>
        <w:ind w:firstLine="420" w:firstLineChars="200"/>
        <w:rPr>
          <w:szCs w:val="21"/>
        </w:rPr>
      </w:pPr>
      <w:r>
        <w:rPr>
          <w:rFonts w:hint="eastAsia"/>
          <w:szCs w:val="21"/>
        </w:rPr>
        <w:t>1.12.2  投标文件中的下列偏差为细微偏差：</w:t>
      </w:r>
    </w:p>
    <w:p>
      <w:pPr>
        <w:spacing w:line="420" w:lineRule="exact"/>
        <w:ind w:firstLine="420" w:firstLineChars="200"/>
        <w:rPr>
          <w:szCs w:val="21"/>
        </w:rPr>
      </w:pPr>
      <w:r>
        <w:rPr>
          <w:rFonts w:hint="eastAsia"/>
          <w:szCs w:val="21"/>
        </w:rPr>
        <w:t>（1）在按照第三章“评标办法”第3.1.3项和第3.1.4项的规定对投标价进行算术性错误修正及其它错误修正后，最终投标报价未超过投标控制价（如有）的情况下，出现第三章“评标办法”第3.1.3项所列的投标报价的算术性错误和第三章“评标办法”第3.1.4项所列的投标报价的其它错误；</w:t>
      </w:r>
    </w:p>
    <w:p>
      <w:pPr>
        <w:spacing w:line="420" w:lineRule="exact"/>
        <w:ind w:firstLine="420" w:firstLineChars="200"/>
        <w:rPr>
          <w:szCs w:val="21"/>
        </w:rPr>
      </w:pPr>
      <w:r>
        <w:rPr>
          <w:rFonts w:hint="eastAsia"/>
          <w:szCs w:val="21"/>
        </w:rPr>
        <w:t>（2）养护工程作业方案（含关键工程技术方案）和项目管理机构不够完善。</w:t>
      </w:r>
    </w:p>
    <w:p>
      <w:pPr>
        <w:spacing w:line="420" w:lineRule="exact"/>
        <w:ind w:firstLine="420" w:firstLineChars="200"/>
        <w:rPr>
          <w:szCs w:val="21"/>
        </w:rPr>
      </w:pPr>
      <w:r>
        <w:rPr>
          <w:rFonts w:hint="eastAsia"/>
          <w:szCs w:val="21"/>
        </w:rPr>
        <w:t>1.12.3  评标委员会对投标文件中的细微偏差按如下规定处理：</w:t>
      </w:r>
    </w:p>
    <w:p>
      <w:pPr>
        <w:spacing w:line="420" w:lineRule="exact"/>
        <w:ind w:firstLine="420" w:firstLineChars="200"/>
        <w:rPr>
          <w:szCs w:val="21"/>
        </w:rPr>
      </w:pPr>
      <w:r>
        <w:rPr>
          <w:rFonts w:hint="eastAsia"/>
          <w:szCs w:val="21"/>
        </w:rPr>
        <w:t>（1）对于本章第1.12.2项（1）目所述的细微偏差，按照第三章“评标办法”第3.1.3项和第3.1.4项的规定予以修正并要求投标人进行澄清；</w:t>
      </w:r>
    </w:p>
    <w:p>
      <w:pPr>
        <w:spacing w:line="420" w:lineRule="exact"/>
        <w:ind w:firstLine="420" w:firstLineChars="200"/>
        <w:rPr>
          <w:szCs w:val="21"/>
        </w:rPr>
      </w:pPr>
      <w:r>
        <w:rPr>
          <w:rFonts w:hint="eastAsia"/>
          <w:szCs w:val="21"/>
        </w:rPr>
        <w:t>（2）对于第1.12.2项（2）目所述的细微偏差，如果采用综合评估法或最低投标价法评标，应要求投标人对细微偏差进行澄清，只有投标人的澄清文件被评标委员会接受，投标人才能参加评标价的最终评比。如果采用综合评估法评标，评标委员会可在相关评分因素的评分中酌情扣分，但最多扣分不得超过各评分因素权重分值的40%。</w:t>
      </w:r>
    </w:p>
    <w:p>
      <w:pPr>
        <w:spacing w:line="420" w:lineRule="exact"/>
        <w:ind w:firstLine="480" w:firstLineChars="200"/>
        <w:rPr>
          <w:sz w:val="24"/>
        </w:rPr>
      </w:pPr>
    </w:p>
    <w:p>
      <w:pPr>
        <w:pStyle w:val="5"/>
        <w:spacing w:before="0" w:after="0" w:line="240" w:lineRule="auto"/>
        <w:rPr>
          <w:bCs w:val="0"/>
          <w:spacing w:val="0"/>
          <w:sz w:val="30"/>
          <w:szCs w:val="30"/>
        </w:rPr>
      </w:pPr>
      <w:bookmarkStart w:id="592" w:name="_Toc233435915"/>
      <w:bookmarkStart w:id="593" w:name="_Toc4213"/>
      <w:bookmarkStart w:id="594" w:name="_Toc233429698"/>
      <w:bookmarkStart w:id="595" w:name="_Toc4507"/>
      <w:bookmarkStart w:id="596" w:name="_Toc233423188"/>
      <w:bookmarkStart w:id="597" w:name="_Toc2816"/>
      <w:bookmarkStart w:id="598" w:name="_Toc288491426"/>
      <w:bookmarkStart w:id="599" w:name="_Toc19534"/>
      <w:bookmarkStart w:id="600" w:name="_Toc18530"/>
      <w:bookmarkStart w:id="601" w:name="_Toc5205"/>
      <w:bookmarkStart w:id="602" w:name="_Toc233290303"/>
      <w:bookmarkStart w:id="603" w:name="_Toc282778901"/>
      <w:bookmarkStart w:id="604" w:name="_Toc20395"/>
      <w:bookmarkStart w:id="605" w:name="_Toc21722"/>
      <w:bookmarkStart w:id="606" w:name="_Toc282787341"/>
      <w:bookmarkStart w:id="607" w:name="_Toc9246"/>
      <w:bookmarkStart w:id="608" w:name="_Toc6005"/>
      <w:bookmarkStart w:id="609" w:name="_Toc5147"/>
      <w:bookmarkStart w:id="610" w:name="_Toc27114"/>
      <w:bookmarkStart w:id="611" w:name="_Toc287853250"/>
      <w:bookmarkStart w:id="612" w:name="_Toc26562"/>
      <w:bookmarkStart w:id="613" w:name="_Toc22531"/>
      <w:bookmarkStart w:id="614" w:name="_Toc233214757"/>
      <w:bookmarkStart w:id="615" w:name="_Toc13302"/>
      <w:bookmarkStart w:id="616" w:name="_Toc32678"/>
      <w:bookmarkStart w:id="617" w:name="_Toc283794098"/>
      <w:bookmarkStart w:id="618" w:name="_Toc282779410"/>
      <w:bookmarkStart w:id="619" w:name="_Toc235846304"/>
      <w:bookmarkStart w:id="620" w:name="_Toc2851"/>
      <w:bookmarkStart w:id="621" w:name="_Toc20230"/>
      <w:bookmarkStart w:id="622" w:name="_Toc288546550"/>
      <w:r>
        <w:rPr>
          <w:rFonts w:hint="eastAsia" w:ascii="Times New Roman" w:hAnsi="Times New Roman"/>
          <w:bCs w:val="0"/>
          <w:spacing w:val="0"/>
          <w:sz w:val="30"/>
          <w:szCs w:val="30"/>
        </w:rPr>
        <w:t>2</w:t>
      </w:r>
      <w:r>
        <w:rPr>
          <w:rFonts w:hint="eastAsia"/>
          <w:bCs w:val="0"/>
          <w:spacing w:val="0"/>
          <w:sz w:val="30"/>
          <w:szCs w:val="30"/>
        </w:rPr>
        <w:t>．招标文件</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pPr>
        <w:pStyle w:val="27"/>
        <w:spacing w:beforeLines="50" w:afterLines="50" w:line="420" w:lineRule="exact"/>
        <w:rPr>
          <w:rFonts w:cs="Times New Roman"/>
          <w:b/>
          <w:bCs/>
          <w:sz w:val="21"/>
          <w:szCs w:val="21"/>
        </w:rPr>
      </w:pPr>
      <w:bookmarkStart w:id="623" w:name="_Toc9944"/>
      <w:bookmarkStart w:id="624" w:name="_Toc32097"/>
      <w:bookmarkStart w:id="625" w:name="_Toc235846305"/>
      <w:bookmarkStart w:id="626" w:name="_Toc14124"/>
      <w:bookmarkStart w:id="627" w:name="_Toc14203"/>
      <w:bookmarkStart w:id="628" w:name="_Toc26480"/>
      <w:bookmarkStart w:id="629" w:name="_Toc233214758"/>
      <w:bookmarkStart w:id="630" w:name="_Toc287853251"/>
      <w:bookmarkStart w:id="631" w:name="_Toc282779411"/>
      <w:bookmarkStart w:id="632" w:name="_Toc288491427"/>
      <w:bookmarkStart w:id="633" w:name="_Toc11342"/>
      <w:bookmarkStart w:id="634" w:name="_Toc7795"/>
      <w:bookmarkStart w:id="635" w:name="_Toc282787342"/>
      <w:bookmarkStart w:id="636" w:name="_Toc282778902"/>
      <w:bookmarkStart w:id="637" w:name="_Toc288546551"/>
      <w:bookmarkStart w:id="638" w:name="_Toc233423189"/>
      <w:bookmarkStart w:id="639" w:name="_Toc11234"/>
      <w:bookmarkStart w:id="640" w:name="_Toc25825"/>
      <w:bookmarkStart w:id="641" w:name="_Toc22106"/>
      <w:bookmarkStart w:id="642" w:name="_Toc31471"/>
      <w:bookmarkStart w:id="643" w:name="_Toc30228"/>
      <w:bookmarkStart w:id="644" w:name="_Toc6218"/>
      <w:bookmarkStart w:id="645" w:name="_Toc12792"/>
      <w:bookmarkStart w:id="646" w:name="_Toc233435916"/>
      <w:bookmarkStart w:id="647" w:name="_Toc1489"/>
      <w:bookmarkStart w:id="648" w:name="_Toc233290304"/>
      <w:bookmarkStart w:id="649" w:name="_Toc29075"/>
      <w:bookmarkStart w:id="650" w:name="_Toc31290"/>
      <w:bookmarkStart w:id="651" w:name="_Toc14312"/>
      <w:bookmarkStart w:id="652" w:name="_Toc233429699"/>
      <w:bookmarkStart w:id="653" w:name="_Toc283794099"/>
      <w:r>
        <w:rPr>
          <w:rFonts w:cs="Times New Roman"/>
          <w:b/>
          <w:bCs/>
          <w:sz w:val="21"/>
          <w:szCs w:val="21"/>
        </w:rPr>
        <w:t>2.1 招标文件的组成</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pPr>
        <w:spacing w:line="420" w:lineRule="exact"/>
        <w:ind w:firstLine="420" w:firstLineChars="200"/>
        <w:rPr>
          <w:szCs w:val="21"/>
        </w:rPr>
      </w:pPr>
      <w:r>
        <w:rPr>
          <w:rFonts w:hint="eastAsia"/>
          <w:szCs w:val="21"/>
        </w:rPr>
        <w:t>本招标文件包括：</w:t>
      </w:r>
    </w:p>
    <w:p>
      <w:pPr>
        <w:spacing w:line="420" w:lineRule="exact"/>
        <w:ind w:firstLine="420" w:firstLineChars="200"/>
        <w:rPr>
          <w:szCs w:val="21"/>
        </w:rPr>
      </w:pPr>
      <w:r>
        <w:rPr>
          <w:rFonts w:hint="eastAsia"/>
          <w:szCs w:val="21"/>
        </w:rPr>
        <w:t>（1）招标公告（或投标邀请书）；</w:t>
      </w:r>
    </w:p>
    <w:p>
      <w:pPr>
        <w:spacing w:line="420" w:lineRule="exact"/>
        <w:ind w:firstLine="420" w:firstLineChars="200"/>
        <w:rPr>
          <w:szCs w:val="21"/>
        </w:rPr>
      </w:pPr>
      <w:r>
        <w:rPr>
          <w:rFonts w:hint="eastAsia"/>
          <w:szCs w:val="21"/>
        </w:rPr>
        <w:t>（2）投标人须知；</w:t>
      </w:r>
    </w:p>
    <w:p>
      <w:pPr>
        <w:spacing w:line="420" w:lineRule="exact"/>
        <w:ind w:firstLine="420" w:firstLineChars="200"/>
        <w:rPr>
          <w:szCs w:val="21"/>
        </w:rPr>
      </w:pPr>
      <w:r>
        <w:rPr>
          <w:rFonts w:hint="eastAsia"/>
          <w:szCs w:val="21"/>
        </w:rPr>
        <w:t>（3）评标办法；</w:t>
      </w:r>
    </w:p>
    <w:p>
      <w:pPr>
        <w:spacing w:line="420" w:lineRule="exact"/>
        <w:ind w:firstLine="420" w:firstLineChars="200"/>
        <w:rPr>
          <w:szCs w:val="21"/>
        </w:rPr>
      </w:pPr>
      <w:r>
        <w:rPr>
          <w:rFonts w:hint="eastAsia"/>
          <w:szCs w:val="21"/>
        </w:rPr>
        <w:t>（4）合同条款及格式；</w:t>
      </w:r>
    </w:p>
    <w:p>
      <w:pPr>
        <w:spacing w:line="420" w:lineRule="exact"/>
        <w:ind w:firstLine="420" w:firstLineChars="200"/>
        <w:rPr>
          <w:szCs w:val="21"/>
        </w:rPr>
      </w:pPr>
      <w:r>
        <w:rPr>
          <w:rFonts w:hint="eastAsia"/>
          <w:szCs w:val="21"/>
        </w:rPr>
        <w:t>（5）工程量清单；</w:t>
      </w:r>
    </w:p>
    <w:p>
      <w:pPr>
        <w:spacing w:line="420" w:lineRule="exact"/>
        <w:ind w:firstLine="420" w:firstLineChars="200"/>
        <w:rPr>
          <w:szCs w:val="21"/>
        </w:rPr>
      </w:pPr>
      <w:r>
        <w:rPr>
          <w:rFonts w:hint="eastAsia"/>
          <w:szCs w:val="21"/>
        </w:rPr>
        <w:t>（6）图纸（如有）；</w:t>
      </w:r>
    </w:p>
    <w:p>
      <w:pPr>
        <w:spacing w:line="420" w:lineRule="exact"/>
        <w:ind w:firstLine="420" w:firstLineChars="200"/>
        <w:rPr>
          <w:szCs w:val="21"/>
        </w:rPr>
      </w:pPr>
      <w:r>
        <w:rPr>
          <w:rFonts w:hint="eastAsia"/>
          <w:szCs w:val="21"/>
        </w:rPr>
        <w:t>（7）技术规范；</w:t>
      </w:r>
    </w:p>
    <w:p>
      <w:pPr>
        <w:spacing w:line="420" w:lineRule="exact"/>
        <w:ind w:firstLine="420" w:firstLineChars="200"/>
        <w:rPr>
          <w:szCs w:val="21"/>
        </w:rPr>
      </w:pPr>
      <w:r>
        <w:rPr>
          <w:rFonts w:hint="eastAsia"/>
          <w:szCs w:val="21"/>
        </w:rPr>
        <w:t>（8）投标文件格式；</w:t>
      </w:r>
    </w:p>
    <w:p>
      <w:pPr>
        <w:spacing w:line="420" w:lineRule="exact"/>
        <w:ind w:firstLine="420" w:firstLineChars="200"/>
        <w:rPr>
          <w:szCs w:val="21"/>
        </w:rPr>
      </w:pPr>
      <w:r>
        <w:rPr>
          <w:rFonts w:hint="eastAsia"/>
          <w:szCs w:val="21"/>
        </w:rPr>
        <w:t>（9）投标人须知前附表规定的其它材料。</w:t>
      </w:r>
    </w:p>
    <w:p>
      <w:pPr>
        <w:spacing w:line="420" w:lineRule="exact"/>
        <w:ind w:firstLine="420" w:firstLineChars="200"/>
        <w:rPr>
          <w:szCs w:val="21"/>
        </w:rPr>
      </w:pPr>
      <w:r>
        <w:rPr>
          <w:rFonts w:hint="eastAsia" w:ascii="宋体" w:hAnsi="宋体"/>
          <w:szCs w:val="21"/>
        </w:rPr>
        <w:t>根据本章</w:t>
      </w:r>
      <w:r>
        <w:rPr>
          <w:rFonts w:hAnsi="宋体"/>
          <w:szCs w:val="21"/>
        </w:rPr>
        <w:t>第</w:t>
      </w:r>
      <w:r>
        <w:rPr>
          <w:szCs w:val="21"/>
        </w:rPr>
        <w:t>1.10</w:t>
      </w:r>
      <w:r>
        <w:rPr>
          <w:rFonts w:hAnsi="宋体"/>
          <w:szCs w:val="21"/>
        </w:rPr>
        <w:t>款、第</w:t>
      </w:r>
      <w:r>
        <w:rPr>
          <w:szCs w:val="21"/>
        </w:rPr>
        <w:t>2.2</w:t>
      </w:r>
      <w:r>
        <w:rPr>
          <w:rFonts w:hAnsi="宋体"/>
          <w:szCs w:val="21"/>
        </w:rPr>
        <w:t>款和第</w:t>
      </w:r>
      <w:r>
        <w:rPr>
          <w:szCs w:val="21"/>
        </w:rPr>
        <w:t>2.3</w:t>
      </w:r>
      <w:r>
        <w:rPr>
          <w:rFonts w:hAnsi="宋体"/>
          <w:szCs w:val="21"/>
        </w:rPr>
        <w:t>款对招标文件所作的澄清、修改，构成招标文件的组成部分。</w:t>
      </w:r>
    </w:p>
    <w:p>
      <w:pPr>
        <w:spacing w:line="420" w:lineRule="exact"/>
        <w:ind w:firstLine="420" w:firstLineChars="200"/>
        <w:rPr>
          <w:szCs w:val="21"/>
        </w:rPr>
      </w:pPr>
      <w:r>
        <w:rPr>
          <w:rFonts w:hint="eastAsia"/>
          <w:szCs w:val="21"/>
        </w:rPr>
        <w:t>当招标文件、招标文件的澄清或修改等在同一内容的表述上不一致时，以最后发出的书面文件为准，</w:t>
      </w:r>
    </w:p>
    <w:p>
      <w:pPr>
        <w:pStyle w:val="6"/>
        <w:spacing w:before="120" w:afterLines="50" w:line="420" w:lineRule="exact"/>
        <w:rPr>
          <w:rFonts w:ascii="黑体" w:eastAsia="黑体"/>
          <w:b w:val="0"/>
          <w:sz w:val="21"/>
          <w:szCs w:val="21"/>
        </w:rPr>
      </w:pPr>
      <w:bookmarkStart w:id="654" w:name="_Toc288546552"/>
      <w:bookmarkStart w:id="655" w:name="_Toc31947"/>
      <w:bookmarkStart w:id="656" w:name="_Toc22373"/>
      <w:bookmarkStart w:id="657" w:name="_Toc15937"/>
      <w:bookmarkStart w:id="658" w:name="_Toc283794100"/>
      <w:bookmarkStart w:id="659" w:name="_Toc26939"/>
      <w:bookmarkStart w:id="660" w:name="_Toc25428"/>
      <w:bookmarkStart w:id="661" w:name="_Toc282787343"/>
      <w:bookmarkStart w:id="662" w:name="_Toc3523"/>
      <w:bookmarkStart w:id="663" w:name="_Toc2797"/>
      <w:bookmarkStart w:id="664" w:name="_Toc723"/>
      <w:bookmarkStart w:id="665" w:name="_Toc233429700"/>
      <w:bookmarkStart w:id="666" w:name="_Toc6881"/>
      <w:bookmarkStart w:id="667" w:name="_Toc235846306"/>
      <w:bookmarkStart w:id="668" w:name="_Toc233214759"/>
      <w:bookmarkStart w:id="669" w:name="_Toc233290305"/>
      <w:bookmarkStart w:id="670" w:name="_Toc5308"/>
      <w:bookmarkStart w:id="671" w:name="_Toc233435917"/>
      <w:bookmarkStart w:id="672" w:name="_Toc31768"/>
      <w:bookmarkStart w:id="673" w:name="_Toc287853252"/>
      <w:bookmarkStart w:id="674" w:name="_Toc10963"/>
      <w:bookmarkStart w:id="675" w:name="_Toc282778903"/>
      <w:bookmarkStart w:id="676" w:name="_Toc288491428"/>
      <w:bookmarkStart w:id="677" w:name="_Toc15153"/>
      <w:bookmarkStart w:id="678" w:name="_Toc18200"/>
      <w:bookmarkStart w:id="679" w:name="_Toc11819"/>
      <w:bookmarkStart w:id="680" w:name="_Toc32237"/>
      <w:bookmarkStart w:id="681" w:name="_Toc18920"/>
      <w:bookmarkStart w:id="682" w:name="_Toc233423190"/>
      <w:bookmarkStart w:id="683" w:name="_Toc21932"/>
      <w:bookmarkStart w:id="684" w:name="_Toc282779412"/>
      <w:r>
        <w:rPr>
          <w:rFonts w:hint="eastAsia" w:eastAsia="黑体"/>
          <w:sz w:val="21"/>
          <w:szCs w:val="21"/>
        </w:rPr>
        <w:t>2.2</w:t>
      </w:r>
      <w:r>
        <w:rPr>
          <w:rFonts w:hint="eastAsia" w:ascii="黑体" w:eastAsia="黑体"/>
          <w:b w:val="0"/>
          <w:sz w:val="21"/>
          <w:szCs w:val="21"/>
        </w:rPr>
        <w:t xml:space="preserve"> 招标文件的澄清</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pPr>
        <w:spacing w:line="420" w:lineRule="exact"/>
        <w:ind w:firstLine="420" w:firstLineChars="200"/>
        <w:rPr>
          <w:szCs w:val="21"/>
        </w:rPr>
      </w:pPr>
      <w:r>
        <w:rPr>
          <w:rFonts w:hint="eastAsia"/>
          <w:szCs w:val="21"/>
        </w:rPr>
        <w:t>2.2.1  投标人应仔细阅读和检查招标文件的全部内容。</w:t>
      </w:r>
      <w:r>
        <w:rPr>
          <w:rFonts w:hint="eastAsia" w:ascii="宋体" w:hAnsi="宋体"/>
          <w:szCs w:val="21"/>
        </w:rPr>
        <w:t>如发现缺页或附件不全，应及时向招标人提出，以便补齐。</w:t>
      </w:r>
      <w:r>
        <w:rPr>
          <w:rFonts w:hint="eastAsia"/>
          <w:szCs w:val="21"/>
        </w:rPr>
        <w:t>如有疑问，应在投标人须知前附表规定的时间前以书面形式（包括信函、传真等可以有形地表现所载内容的形式，下同），要求招标人对招标文件予以澄清。</w:t>
      </w:r>
    </w:p>
    <w:p>
      <w:pPr>
        <w:spacing w:line="420" w:lineRule="exact"/>
        <w:ind w:firstLine="420" w:firstLineChars="200"/>
        <w:rPr>
          <w:szCs w:val="21"/>
        </w:rPr>
      </w:pPr>
      <w:r>
        <w:rPr>
          <w:rFonts w:hint="eastAsia"/>
          <w:szCs w:val="21"/>
        </w:rPr>
        <w:t>2.2.2  招标文件的澄清将在投标人须知前附表规定的投标截止时间15天前以书面形式（补遗书）发给所有购买招标文件的投标人，但不指明澄清问题的来源。如果补遗书发出的时间距投标截止时间不足15天，相应延长投标截止时间。招标人有责任保证所有购买招标文件的投标人收到招标文件的补遗书。</w:t>
      </w:r>
    </w:p>
    <w:p>
      <w:pPr>
        <w:spacing w:line="420" w:lineRule="exact"/>
        <w:ind w:firstLine="420" w:firstLineChars="200"/>
        <w:rPr>
          <w:szCs w:val="21"/>
        </w:rPr>
      </w:pPr>
      <w:bookmarkStart w:id="685" w:name="_Toc233429701"/>
      <w:bookmarkStart w:id="686" w:name="_Toc233290306"/>
      <w:bookmarkStart w:id="687" w:name="_Toc233435918"/>
      <w:bookmarkStart w:id="688" w:name="_Toc233423191"/>
      <w:bookmarkStart w:id="689" w:name="_Toc233214760"/>
      <w:bookmarkStart w:id="690" w:name="_Toc235846307"/>
      <w:r>
        <w:rPr>
          <w:rFonts w:hint="eastAsia"/>
          <w:szCs w:val="21"/>
        </w:rPr>
        <w:t>2.2.3  投标人在收到澄清的补遗书后，应在投标人须知前附表规定的时间内以书面形式通知招标人，确认已收到该补遗书。</w:t>
      </w:r>
    </w:p>
    <w:p>
      <w:pPr>
        <w:pStyle w:val="6"/>
        <w:spacing w:beforeLines="50" w:afterLines="50" w:line="420" w:lineRule="exact"/>
        <w:rPr>
          <w:rFonts w:ascii="黑体" w:eastAsia="黑体"/>
          <w:b w:val="0"/>
          <w:sz w:val="21"/>
          <w:szCs w:val="21"/>
        </w:rPr>
      </w:pPr>
      <w:bookmarkStart w:id="691" w:name="_Toc13739"/>
      <w:bookmarkStart w:id="692" w:name="_Toc27582"/>
      <w:bookmarkStart w:id="693" w:name="_Toc5965"/>
      <w:bookmarkStart w:id="694" w:name="_Toc282778904"/>
      <w:bookmarkStart w:id="695" w:name="_Toc8181"/>
      <w:bookmarkStart w:id="696" w:name="_Toc288491429"/>
      <w:bookmarkStart w:id="697" w:name="_Toc8999"/>
      <w:bookmarkStart w:id="698" w:name="_Toc288546553"/>
      <w:bookmarkStart w:id="699" w:name="_Toc26166"/>
      <w:bookmarkStart w:id="700" w:name="_Toc283794101"/>
      <w:bookmarkStart w:id="701" w:name="_Toc27863"/>
      <w:bookmarkStart w:id="702" w:name="_Toc29442"/>
      <w:bookmarkStart w:id="703" w:name="_Toc282779413"/>
      <w:bookmarkStart w:id="704" w:name="_Toc13725"/>
      <w:bookmarkStart w:id="705" w:name="_Toc22200"/>
      <w:bookmarkStart w:id="706" w:name="_Toc8972"/>
      <w:bookmarkStart w:id="707" w:name="_Toc19975"/>
      <w:bookmarkStart w:id="708" w:name="_Toc15071"/>
      <w:bookmarkStart w:id="709" w:name="_Toc28797"/>
      <w:bookmarkStart w:id="710" w:name="_Toc282787344"/>
      <w:bookmarkStart w:id="711" w:name="_Toc6492"/>
      <w:bookmarkStart w:id="712" w:name="_Toc287853253"/>
      <w:bookmarkStart w:id="713" w:name="_Toc13154"/>
      <w:bookmarkStart w:id="714" w:name="_Toc22597"/>
      <w:bookmarkStart w:id="715" w:name="_Toc19864"/>
      <w:r>
        <w:rPr>
          <w:rFonts w:hint="eastAsia" w:eastAsia="黑体"/>
          <w:sz w:val="21"/>
          <w:szCs w:val="21"/>
        </w:rPr>
        <w:t>2.3</w:t>
      </w:r>
      <w:r>
        <w:rPr>
          <w:rFonts w:hint="eastAsia" w:ascii="黑体" w:eastAsia="黑体"/>
          <w:b w:val="0"/>
          <w:sz w:val="21"/>
          <w:szCs w:val="21"/>
        </w:rPr>
        <w:t xml:space="preserve"> 招标文件的修改</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pPr>
        <w:spacing w:line="420" w:lineRule="exact"/>
        <w:ind w:firstLine="420" w:firstLineChars="200"/>
        <w:rPr>
          <w:szCs w:val="21"/>
        </w:rPr>
      </w:pPr>
      <w:r>
        <w:rPr>
          <w:rFonts w:hint="eastAsia"/>
          <w:szCs w:val="21"/>
        </w:rPr>
        <w:t>2.3.1  在投标截止时间15天前，招标人可以书面形式（补遗书）修改招标文件，并通知所有已购买招标文件的投标人。如果修改招标文件的时间距投标截止时间不足15天，相应延长投标截止时间。招标人有责任保证所有购买招标文件的投标人收到招标文件的修改。</w:t>
      </w:r>
    </w:p>
    <w:p>
      <w:pPr>
        <w:spacing w:before="120" w:after="120" w:line="420" w:lineRule="exact"/>
        <w:ind w:firstLine="420" w:firstLineChars="200"/>
        <w:rPr>
          <w:szCs w:val="21"/>
        </w:rPr>
      </w:pPr>
      <w:bookmarkStart w:id="716" w:name="_Toc233423192"/>
      <w:bookmarkStart w:id="717" w:name="_Toc233214761"/>
      <w:bookmarkStart w:id="718" w:name="_Toc233435919"/>
      <w:bookmarkStart w:id="719" w:name="_Toc233290307"/>
      <w:bookmarkStart w:id="720" w:name="_Toc233429702"/>
      <w:bookmarkStart w:id="721" w:name="_Toc235846308"/>
      <w:r>
        <w:rPr>
          <w:rFonts w:hint="eastAsia"/>
          <w:szCs w:val="21"/>
        </w:rPr>
        <w:t>2.3.2  投标人收到修改内容后，应在投标人须知前附表规定的时间内以书面形式通知招标人，确认已收到该修改。</w:t>
      </w:r>
      <w:bookmarkStart w:id="722" w:name="_Toc288546554"/>
      <w:bookmarkStart w:id="723" w:name="_Toc288491430"/>
      <w:bookmarkStart w:id="724" w:name="_Toc12453"/>
      <w:bookmarkStart w:id="725" w:name="_Toc282779414"/>
      <w:bookmarkStart w:id="726" w:name="_Toc287853254"/>
      <w:bookmarkStart w:id="727" w:name="_Toc282787345"/>
      <w:bookmarkStart w:id="728" w:name="_Toc19931"/>
      <w:bookmarkStart w:id="729" w:name="_Toc283794102"/>
      <w:bookmarkStart w:id="730" w:name="_Toc282778905"/>
      <w:bookmarkStart w:id="731" w:name="_Toc32400"/>
      <w:bookmarkStart w:id="732" w:name="_Toc29943"/>
      <w:bookmarkStart w:id="733" w:name="_Toc5295"/>
      <w:bookmarkStart w:id="734" w:name="_Toc11661"/>
      <w:bookmarkStart w:id="735" w:name="_Toc14193"/>
      <w:bookmarkStart w:id="736" w:name="_Toc32214"/>
    </w:p>
    <w:p>
      <w:pPr>
        <w:rPr>
          <w:rFonts w:ascii="黑体" w:hAnsi="黑体" w:eastAsia="黑体" w:cs="黑体"/>
          <w:szCs w:val="21"/>
        </w:rPr>
      </w:pPr>
    </w:p>
    <w:p>
      <w:pPr>
        <w:pStyle w:val="5"/>
        <w:spacing w:before="0" w:after="0" w:line="240" w:lineRule="auto"/>
        <w:rPr>
          <w:rFonts w:ascii="Times New Roman" w:hAnsi="Times New Roman"/>
          <w:bCs w:val="0"/>
          <w:spacing w:val="0"/>
          <w:sz w:val="30"/>
          <w:szCs w:val="30"/>
        </w:rPr>
      </w:pPr>
      <w:bookmarkStart w:id="737" w:name="_Toc6587"/>
      <w:bookmarkStart w:id="738" w:name="_Toc15155"/>
      <w:bookmarkStart w:id="739" w:name="_Toc15979"/>
      <w:bookmarkStart w:id="740" w:name="_Toc31800"/>
      <w:bookmarkStart w:id="741" w:name="_Toc25549"/>
      <w:bookmarkStart w:id="742" w:name="_Toc30179"/>
      <w:bookmarkStart w:id="743" w:name="_Toc21383"/>
      <w:bookmarkStart w:id="744" w:name="_Toc22895"/>
      <w:r>
        <w:rPr>
          <w:rFonts w:hint="eastAsia" w:ascii="Times New Roman" w:hAnsi="Times New Roman"/>
          <w:bCs w:val="0"/>
          <w:spacing w:val="0"/>
          <w:sz w:val="30"/>
          <w:szCs w:val="30"/>
        </w:rPr>
        <w:t>3．投标文件</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pPr>
        <w:spacing w:beforeLines="50" w:afterLines="50" w:line="300" w:lineRule="auto"/>
        <w:rPr>
          <w:rFonts w:ascii="黑体" w:eastAsia="黑体"/>
          <w:szCs w:val="21"/>
        </w:rPr>
      </w:pPr>
      <w:bookmarkStart w:id="745" w:name="_Toc282778906"/>
      <w:bookmarkStart w:id="746" w:name="_Toc2899"/>
      <w:bookmarkStart w:id="747" w:name="_Toc288491431"/>
      <w:bookmarkStart w:id="748" w:name="_Toc29487"/>
      <w:bookmarkStart w:id="749" w:name="_Toc123"/>
      <w:bookmarkStart w:id="750" w:name="_Toc6570"/>
      <w:bookmarkStart w:id="751" w:name="_Toc287853255"/>
      <w:bookmarkStart w:id="752" w:name="_Toc233435920"/>
      <w:bookmarkStart w:id="753" w:name="_Toc282787346"/>
      <w:bookmarkStart w:id="754" w:name="_Toc22294"/>
      <w:bookmarkStart w:id="755" w:name="_Toc233423193"/>
      <w:bookmarkStart w:id="756" w:name="_Toc233214762"/>
      <w:bookmarkStart w:id="757" w:name="_Toc233290308"/>
      <w:bookmarkStart w:id="758" w:name="_Toc31291"/>
      <w:bookmarkStart w:id="759" w:name="_Toc23409"/>
      <w:bookmarkStart w:id="760" w:name="_Toc5931"/>
      <w:bookmarkStart w:id="761" w:name="_Toc235846309"/>
      <w:bookmarkStart w:id="762" w:name="_Toc282779415"/>
      <w:bookmarkStart w:id="763" w:name="_Toc233429703"/>
      <w:bookmarkStart w:id="764" w:name="_Toc288546555"/>
      <w:bookmarkStart w:id="765" w:name="_Toc283794103"/>
      <w:r>
        <w:rPr>
          <w:rFonts w:hint="eastAsia" w:eastAsia="黑体"/>
          <w:szCs w:val="21"/>
        </w:rPr>
        <w:t>3.1</w:t>
      </w:r>
      <w:r>
        <w:rPr>
          <w:rFonts w:hint="eastAsia" w:ascii="黑体" w:eastAsia="黑体"/>
          <w:szCs w:val="21"/>
        </w:rPr>
        <w:t xml:space="preserve"> 投标文件的组成</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pPr>
        <w:spacing w:line="420" w:lineRule="exact"/>
        <w:ind w:firstLine="420" w:firstLineChars="200"/>
        <w:rPr>
          <w:szCs w:val="21"/>
        </w:rPr>
      </w:pPr>
      <w:r>
        <w:rPr>
          <w:rFonts w:hint="eastAsia"/>
          <w:szCs w:val="21"/>
        </w:rPr>
        <w:t>3.1.1  投标文件应包括下列内容：</w:t>
      </w:r>
    </w:p>
    <w:p>
      <w:pPr>
        <w:spacing w:line="420" w:lineRule="exact"/>
        <w:ind w:firstLine="420" w:firstLineChars="200"/>
        <w:rPr>
          <w:szCs w:val="21"/>
        </w:rPr>
      </w:pPr>
      <w:r>
        <w:rPr>
          <w:rFonts w:hint="eastAsia"/>
          <w:szCs w:val="21"/>
        </w:rPr>
        <w:t>（1）投标函及投标函附录；</w:t>
      </w:r>
    </w:p>
    <w:p>
      <w:pPr>
        <w:spacing w:line="420" w:lineRule="exact"/>
        <w:ind w:firstLine="420" w:firstLineChars="200"/>
        <w:rPr>
          <w:szCs w:val="21"/>
        </w:rPr>
      </w:pPr>
      <w:r>
        <w:rPr>
          <w:rFonts w:hint="eastAsia"/>
          <w:szCs w:val="21"/>
        </w:rPr>
        <w:t>（2）法定代表人身份证明或附有法定代表人身份证明的授权委托书；</w:t>
      </w:r>
    </w:p>
    <w:p>
      <w:pPr>
        <w:spacing w:line="420" w:lineRule="exact"/>
        <w:ind w:firstLine="420" w:firstLineChars="200"/>
        <w:rPr>
          <w:szCs w:val="21"/>
        </w:rPr>
      </w:pPr>
      <w:r>
        <w:rPr>
          <w:rFonts w:hint="eastAsia"/>
          <w:szCs w:val="21"/>
        </w:rPr>
        <w:t>（3）联合体协议书</w:t>
      </w:r>
    </w:p>
    <w:p>
      <w:pPr>
        <w:spacing w:line="420" w:lineRule="exact"/>
        <w:ind w:firstLine="420" w:firstLineChars="200"/>
        <w:rPr>
          <w:szCs w:val="21"/>
        </w:rPr>
      </w:pPr>
      <w:r>
        <w:rPr>
          <w:rFonts w:hint="eastAsia"/>
          <w:szCs w:val="21"/>
        </w:rPr>
        <w:t>（4）投标保证金（本项目不做要求）；</w:t>
      </w:r>
    </w:p>
    <w:p>
      <w:pPr>
        <w:spacing w:line="420" w:lineRule="exact"/>
        <w:ind w:firstLine="420" w:firstLineChars="200"/>
        <w:rPr>
          <w:szCs w:val="21"/>
        </w:rPr>
      </w:pPr>
      <w:r>
        <w:rPr>
          <w:rFonts w:hint="eastAsia"/>
          <w:szCs w:val="21"/>
        </w:rPr>
        <w:t>（5）已标价工程量清单；</w:t>
      </w:r>
    </w:p>
    <w:p>
      <w:pPr>
        <w:spacing w:line="420" w:lineRule="exact"/>
        <w:ind w:firstLine="420" w:firstLineChars="200"/>
        <w:rPr>
          <w:szCs w:val="21"/>
        </w:rPr>
      </w:pPr>
      <w:r>
        <w:rPr>
          <w:rFonts w:hint="eastAsia"/>
          <w:szCs w:val="21"/>
        </w:rPr>
        <w:t>（6）养护工程作业方案；</w:t>
      </w:r>
    </w:p>
    <w:p>
      <w:pPr>
        <w:spacing w:line="420" w:lineRule="exact"/>
        <w:ind w:firstLine="420" w:firstLineChars="200"/>
        <w:rPr>
          <w:szCs w:val="21"/>
        </w:rPr>
      </w:pPr>
      <w:r>
        <w:rPr>
          <w:rFonts w:hint="eastAsia"/>
          <w:szCs w:val="21"/>
        </w:rPr>
        <w:t>（7）项目管理机构；</w:t>
      </w:r>
    </w:p>
    <w:p>
      <w:pPr>
        <w:spacing w:line="420" w:lineRule="exact"/>
        <w:ind w:firstLine="420" w:firstLineChars="200"/>
        <w:rPr>
          <w:szCs w:val="21"/>
        </w:rPr>
      </w:pPr>
      <w:r>
        <w:rPr>
          <w:rFonts w:hint="eastAsia"/>
          <w:szCs w:val="21"/>
        </w:rPr>
        <w:t>（8）拟分包项目情况表；</w:t>
      </w:r>
    </w:p>
    <w:p>
      <w:pPr>
        <w:spacing w:line="420" w:lineRule="exact"/>
        <w:ind w:firstLine="420" w:firstLineChars="200"/>
        <w:rPr>
          <w:szCs w:val="21"/>
        </w:rPr>
      </w:pPr>
      <w:r>
        <w:rPr>
          <w:rFonts w:hint="eastAsia"/>
          <w:szCs w:val="21"/>
        </w:rPr>
        <w:t>（9）资格审查资料；</w:t>
      </w:r>
    </w:p>
    <w:p>
      <w:pPr>
        <w:spacing w:line="420" w:lineRule="exact"/>
        <w:ind w:firstLine="420" w:firstLineChars="200"/>
        <w:rPr>
          <w:szCs w:val="21"/>
        </w:rPr>
      </w:pPr>
      <w:r>
        <w:rPr>
          <w:rFonts w:hint="eastAsia"/>
          <w:szCs w:val="21"/>
        </w:rPr>
        <w:t>（10）承诺函；</w:t>
      </w:r>
    </w:p>
    <w:p>
      <w:pPr>
        <w:spacing w:line="420" w:lineRule="exact"/>
        <w:ind w:firstLine="420" w:firstLineChars="200"/>
        <w:rPr>
          <w:szCs w:val="21"/>
        </w:rPr>
      </w:pPr>
      <w:r>
        <w:rPr>
          <w:rFonts w:hint="eastAsia"/>
          <w:szCs w:val="21"/>
        </w:rPr>
        <w:t>（11）调价函及调价后的工程量清单；（如有）</w:t>
      </w:r>
    </w:p>
    <w:p>
      <w:pPr>
        <w:spacing w:line="420" w:lineRule="exact"/>
        <w:ind w:firstLine="420" w:firstLineChars="200"/>
        <w:rPr>
          <w:szCs w:val="21"/>
        </w:rPr>
      </w:pPr>
      <w:r>
        <w:rPr>
          <w:rFonts w:hint="eastAsia"/>
          <w:szCs w:val="21"/>
        </w:rPr>
        <w:t>（12）投标人须知前附表规定的其它材料（包括编号的补遗书）。</w:t>
      </w:r>
    </w:p>
    <w:p>
      <w:pPr>
        <w:spacing w:line="420" w:lineRule="exact"/>
        <w:ind w:firstLine="359" w:firstLineChars="171"/>
        <w:rPr>
          <w:szCs w:val="21"/>
        </w:rPr>
      </w:pPr>
      <w:bookmarkStart w:id="766" w:name="_Toc233435921"/>
      <w:bookmarkStart w:id="767" w:name="_Toc233429704"/>
      <w:bookmarkStart w:id="768" w:name="_Toc233214763"/>
      <w:bookmarkStart w:id="769" w:name="_Toc233423194"/>
      <w:bookmarkStart w:id="770" w:name="_Toc233290309"/>
      <w:bookmarkStart w:id="771" w:name="_Toc235846310"/>
      <w:r>
        <w:rPr>
          <w:rFonts w:hint="eastAsia"/>
          <w:szCs w:val="21"/>
        </w:rPr>
        <w:t>3.1.2  投标人须知前附表规定不接受联合体投标的，或投标人没有组成联合体的，投标文件不包括本章第3.1.1（3）目所指的联合体协议书。</w:t>
      </w:r>
    </w:p>
    <w:p>
      <w:pPr>
        <w:pStyle w:val="6"/>
        <w:spacing w:beforeLines="50" w:afterLines="50" w:line="420" w:lineRule="exact"/>
        <w:rPr>
          <w:rFonts w:ascii="宋体" w:hAnsi="宋体" w:cs="宋体"/>
          <w:b w:val="0"/>
          <w:sz w:val="21"/>
          <w:szCs w:val="21"/>
        </w:rPr>
      </w:pPr>
      <w:bookmarkStart w:id="772" w:name="_Toc12638"/>
      <w:bookmarkStart w:id="773" w:name="_Toc21605"/>
      <w:bookmarkStart w:id="774" w:name="_Toc282778907"/>
      <w:bookmarkStart w:id="775" w:name="_Toc32109"/>
      <w:bookmarkStart w:id="776" w:name="_Toc18364"/>
      <w:bookmarkStart w:id="777" w:name="_Toc3489"/>
      <w:bookmarkStart w:id="778" w:name="_Toc288546556"/>
      <w:bookmarkStart w:id="779" w:name="_Toc287853256"/>
      <w:bookmarkStart w:id="780" w:name="_Toc10195"/>
      <w:bookmarkStart w:id="781" w:name="_Toc8663"/>
      <w:bookmarkStart w:id="782" w:name="_Toc11679"/>
      <w:bookmarkStart w:id="783" w:name="_Toc31889"/>
      <w:bookmarkStart w:id="784" w:name="_Toc31760"/>
      <w:bookmarkStart w:id="785" w:name="_Toc282779416"/>
      <w:bookmarkStart w:id="786" w:name="_Toc282787347"/>
      <w:bookmarkStart w:id="787" w:name="_Toc23454"/>
      <w:bookmarkStart w:id="788" w:name="_Toc23517"/>
      <w:bookmarkStart w:id="789" w:name="_Toc21588"/>
      <w:bookmarkStart w:id="790" w:name="_Toc283794104"/>
      <w:bookmarkStart w:id="791" w:name="_Toc16841"/>
      <w:bookmarkStart w:id="792" w:name="_Toc10475"/>
      <w:bookmarkStart w:id="793" w:name="_Toc15323"/>
      <w:bookmarkStart w:id="794" w:name="_Toc13224"/>
      <w:bookmarkStart w:id="795" w:name="_Toc288491432"/>
      <w:bookmarkStart w:id="796" w:name="_Toc16005"/>
      <w:r>
        <w:rPr>
          <w:rFonts w:hint="eastAsia" w:ascii="宋体" w:hAnsi="宋体" w:cs="宋体"/>
          <w:sz w:val="21"/>
          <w:szCs w:val="21"/>
        </w:rPr>
        <w:t>3.2</w:t>
      </w:r>
      <w:r>
        <w:rPr>
          <w:rFonts w:hint="eastAsia" w:ascii="宋体" w:hAnsi="宋体" w:cs="宋体"/>
          <w:b w:val="0"/>
          <w:sz w:val="21"/>
          <w:szCs w:val="21"/>
        </w:rPr>
        <w:t xml:space="preserve"> 投标报价</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pPr>
        <w:spacing w:line="420" w:lineRule="exact"/>
        <w:ind w:firstLine="420" w:firstLineChars="200"/>
        <w:rPr>
          <w:szCs w:val="21"/>
        </w:rPr>
      </w:pPr>
      <w:r>
        <w:rPr>
          <w:rFonts w:hint="eastAsia"/>
          <w:szCs w:val="21"/>
        </w:rPr>
        <w:t>3.2.1  投标人应按第五章“工程量清单”的要求填写相应表格。</w:t>
      </w:r>
    </w:p>
    <w:p>
      <w:pPr>
        <w:spacing w:line="420" w:lineRule="exact"/>
        <w:ind w:firstLine="420" w:firstLineChars="200"/>
        <w:rPr>
          <w:szCs w:val="21"/>
        </w:rPr>
      </w:pPr>
      <w:r>
        <w:rPr>
          <w:rFonts w:hint="eastAsia"/>
          <w:szCs w:val="21"/>
        </w:rPr>
        <w:t>招标人提供书面工程量清单，由投标人按照招标人提供的工程量清单填写本合同各工程子目的单价和总额价。评标委员会将按照第三章“评标办法”第3.1.3项和第3.1.4项的规定对投标价进行算术性错误修正及其它错误修正。</w:t>
      </w:r>
    </w:p>
    <w:p>
      <w:pPr>
        <w:spacing w:line="420" w:lineRule="exact"/>
        <w:ind w:firstLine="420" w:firstLineChars="200"/>
        <w:rPr>
          <w:szCs w:val="21"/>
        </w:rPr>
      </w:pPr>
      <w:r>
        <w:rPr>
          <w:rFonts w:hint="eastAsia"/>
          <w:szCs w:val="21"/>
        </w:rPr>
        <w:t>3.2.2  投标人在投标截止时间前修改投标函中的投标总报价，应同时修改第五章“工程量清单”中的相应报价。此修改须符合本章第4.3款的有关要求。</w:t>
      </w:r>
    </w:p>
    <w:p>
      <w:pPr>
        <w:spacing w:line="420" w:lineRule="exact"/>
        <w:ind w:firstLine="420" w:firstLineChars="200"/>
        <w:rPr>
          <w:szCs w:val="21"/>
        </w:rPr>
      </w:pPr>
      <w:r>
        <w:rPr>
          <w:rFonts w:hint="eastAsia"/>
          <w:szCs w:val="21"/>
        </w:rPr>
        <w:t>3.2.3  投标人如果发现工程量清单中的数量与图纸中数量（如有）不一致时，应立即通知招标人核查，除非招标人以书面方式予以更正。否则，应以工程量清单中列出的数量为准。</w:t>
      </w:r>
    </w:p>
    <w:p>
      <w:pPr>
        <w:spacing w:line="420" w:lineRule="exact"/>
        <w:ind w:firstLine="420" w:firstLineChars="200"/>
        <w:rPr>
          <w:szCs w:val="21"/>
        </w:rPr>
      </w:pPr>
      <w:r>
        <w:rPr>
          <w:rFonts w:hint="eastAsia"/>
          <w:szCs w:val="21"/>
        </w:rPr>
        <w:t>3.2.4  投标人应根据《浙江省公路水运建设工程安全生产费用管理暂行规定》（浙交</w:t>
      </w:r>
      <w:r>
        <w:rPr>
          <w:szCs w:val="21"/>
        </w:rPr>
        <w:t>[</w:t>
      </w:r>
      <w:r>
        <w:rPr>
          <w:rFonts w:hint="eastAsia"/>
          <w:szCs w:val="21"/>
        </w:rPr>
        <w:t>2009</w:t>
      </w:r>
      <w:r>
        <w:rPr>
          <w:szCs w:val="21"/>
        </w:rPr>
        <w:t>]</w:t>
      </w:r>
      <w:r>
        <w:rPr>
          <w:rFonts w:hint="eastAsia"/>
          <w:szCs w:val="21"/>
        </w:rPr>
        <w:t>228号），在投标总价中计入安全生产费用，安全生产费用应符合合同条款第9.2.5项的规定。工程量清单100章内列有上述安全生产费的支付子目，由投标人按招标文件的规定填写总额价。</w:t>
      </w:r>
    </w:p>
    <w:p>
      <w:pPr>
        <w:pStyle w:val="6"/>
        <w:spacing w:beforeLines="50" w:afterLines="50" w:line="420" w:lineRule="exact"/>
        <w:ind w:firstLine="420" w:firstLineChars="200"/>
        <w:rPr>
          <w:b w:val="0"/>
          <w:bCs w:val="0"/>
          <w:sz w:val="21"/>
          <w:szCs w:val="21"/>
        </w:rPr>
      </w:pPr>
      <w:bookmarkStart w:id="797" w:name="_Toc287853257"/>
      <w:bookmarkStart w:id="798" w:name="_Toc235846311"/>
      <w:bookmarkStart w:id="799" w:name="_Toc233423195"/>
      <w:bookmarkStart w:id="800" w:name="_Toc317"/>
      <w:bookmarkStart w:id="801" w:name="_Toc282778908"/>
      <w:bookmarkStart w:id="802" w:name="_Toc282779417"/>
      <w:bookmarkStart w:id="803" w:name="_Toc288546557"/>
      <w:bookmarkStart w:id="804" w:name="_Toc5888"/>
      <w:bookmarkStart w:id="805" w:name="_Toc13243"/>
      <w:bookmarkStart w:id="806" w:name="_Toc6126"/>
      <w:bookmarkStart w:id="807" w:name="_Toc233435922"/>
      <w:bookmarkStart w:id="808" w:name="_Toc283794105"/>
      <w:bookmarkStart w:id="809" w:name="_Toc233290310"/>
      <w:bookmarkStart w:id="810" w:name="_Toc17175"/>
      <w:bookmarkStart w:id="811" w:name="_Toc233429705"/>
      <w:bookmarkStart w:id="812" w:name="_Toc23673"/>
      <w:bookmarkStart w:id="813" w:name="_Toc7787"/>
      <w:bookmarkStart w:id="814" w:name="_Toc32172"/>
      <w:bookmarkStart w:id="815" w:name="_Toc288491433"/>
      <w:bookmarkStart w:id="816" w:name="_Toc282787348"/>
      <w:bookmarkStart w:id="817" w:name="_Toc22325"/>
      <w:bookmarkStart w:id="818" w:name="_Toc7163"/>
      <w:bookmarkStart w:id="819" w:name="_Toc16577"/>
      <w:bookmarkStart w:id="820" w:name="_Toc12914"/>
      <w:bookmarkStart w:id="821" w:name="_Toc19962"/>
      <w:bookmarkStart w:id="822" w:name="_Toc16302"/>
      <w:bookmarkStart w:id="823" w:name="_Toc1435"/>
      <w:bookmarkStart w:id="824" w:name="_Toc22080"/>
      <w:bookmarkStart w:id="825" w:name="_Toc233214764"/>
      <w:bookmarkStart w:id="826" w:name="_Toc18987"/>
      <w:bookmarkStart w:id="827" w:name="_Toc8731"/>
      <w:r>
        <w:rPr>
          <w:rFonts w:hint="eastAsia"/>
          <w:b w:val="0"/>
          <w:bCs w:val="0"/>
          <w:sz w:val="21"/>
          <w:szCs w:val="21"/>
        </w:rPr>
        <w:t>3.2.5  招标人不接受调价函。</w:t>
      </w:r>
    </w:p>
    <w:p>
      <w:pPr>
        <w:pStyle w:val="6"/>
        <w:spacing w:beforeLines="50" w:afterLines="50" w:line="420" w:lineRule="exact"/>
        <w:ind w:firstLine="420" w:firstLineChars="200"/>
        <w:rPr>
          <w:b w:val="0"/>
          <w:bCs w:val="0"/>
          <w:sz w:val="21"/>
          <w:szCs w:val="21"/>
        </w:rPr>
      </w:pPr>
      <w:r>
        <w:rPr>
          <w:rFonts w:hint="eastAsia"/>
          <w:b w:val="0"/>
          <w:bCs w:val="0"/>
          <w:sz w:val="21"/>
          <w:szCs w:val="21"/>
        </w:rPr>
        <w:t>3.2.6  在合同实施期间，不进行调价。</w:t>
      </w:r>
    </w:p>
    <w:p>
      <w:pPr>
        <w:pStyle w:val="6"/>
        <w:spacing w:beforeLines="50" w:afterLines="50" w:line="420" w:lineRule="exact"/>
        <w:rPr>
          <w:rFonts w:ascii="黑体" w:eastAsia="黑体"/>
          <w:b w:val="0"/>
          <w:sz w:val="21"/>
          <w:szCs w:val="21"/>
        </w:rPr>
      </w:pPr>
      <w:r>
        <w:rPr>
          <w:rFonts w:hint="eastAsia" w:eastAsia="黑体"/>
          <w:sz w:val="21"/>
          <w:szCs w:val="21"/>
        </w:rPr>
        <w:t>3.3</w:t>
      </w:r>
      <w:r>
        <w:rPr>
          <w:rFonts w:hint="eastAsia" w:ascii="黑体" w:eastAsia="黑体"/>
          <w:b w:val="0"/>
          <w:sz w:val="21"/>
          <w:szCs w:val="21"/>
        </w:rPr>
        <w:t xml:space="preserve"> 投标有效期</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pPr>
        <w:spacing w:line="420" w:lineRule="exact"/>
        <w:ind w:firstLine="420" w:firstLineChars="200"/>
        <w:rPr>
          <w:szCs w:val="21"/>
        </w:rPr>
      </w:pPr>
      <w:bookmarkStart w:id="828" w:name="_Toc235846312"/>
      <w:bookmarkStart w:id="829" w:name="_Toc233429706"/>
      <w:bookmarkStart w:id="830" w:name="_Toc233423196"/>
      <w:bookmarkStart w:id="831" w:name="_Toc233214765"/>
      <w:bookmarkStart w:id="832" w:name="_Toc233435923"/>
      <w:bookmarkStart w:id="833" w:name="_Toc233290311"/>
      <w:r>
        <w:rPr>
          <w:rFonts w:hint="eastAsia"/>
          <w:szCs w:val="21"/>
        </w:rPr>
        <w:t>3.3.1  在投标人须知前附表规定的投标有效期内，投标人不得要求撤销或修改其投标文件。</w:t>
      </w:r>
    </w:p>
    <w:p>
      <w:pPr>
        <w:spacing w:line="420" w:lineRule="exact"/>
        <w:ind w:firstLine="420" w:firstLineChars="200"/>
        <w:rPr>
          <w:szCs w:val="21"/>
        </w:rPr>
      </w:pPr>
      <w:r>
        <w:rPr>
          <w:rFonts w:hint="eastAsia"/>
          <w:szCs w:val="21"/>
        </w:rPr>
        <w:t xml:space="preserve">3.3.2  出现特殊情况需要延长投标有效期的，招标人以书面形式通知所有投标人延长投标有效期。投标人同意延长的，但不得要求或被允许修改或撤销其投标文件；投标人拒绝延长的，其投标失效。 </w:t>
      </w:r>
    </w:p>
    <w:bookmarkEnd w:id="828"/>
    <w:bookmarkEnd w:id="829"/>
    <w:bookmarkEnd w:id="830"/>
    <w:bookmarkEnd w:id="831"/>
    <w:bookmarkEnd w:id="832"/>
    <w:bookmarkEnd w:id="833"/>
    <w:p>
      <w:pPr>
        <w:pStyle w:val="6"/>
        <w:spacing w:beforeLines="50" w:afterLines="50" w:line="420" w:lineRule="exact"/>
        <w:rPr>
          <w:rFonts w:ascii="黑体" w:eastAsia="黑体"/>
          <w:b w:val="0"/>
          <w:sz w:val="21"/>
          <w:szCs w:val="21"/>
        </w:rPr>
      </w:pPr>
      <w:bookmarkStart w:id="834" w:name="_Toc3648"/>
      <w:bookmarkStart w:id="835" w:name="_Toc3481"/>
      <w:bookmarkStart w:id="836" w:name="_Toc16892"/>
      <w:bookmarkStart w:id="837" w:name="_Toc22198"/>
      <w:bookmarkStart w:id="838" w:name="_Toc23482"/>
      <w:bookmarkStart w:id="839" w:name="_Toc7349"/>
      <w:bookmarkStart w:id="840" w:name="_Toc15560"/>
      <w:bookmarkStart w:id="841" w:name="_Toc20095"/>
      <w:bookmarkStart w:id="842" w:name="_Toc6638"/>
      <w:bookmarkStart w:id="843" w:name="_Toc30611"/>
      <w:bookmarkStart w:id="844" w:name="_Toc10384"/>
      <w:bookmarkStart w:id="845" w:name="_Toc15833"/>
      <w:bookmarkStart w:id="846" w:name="_Toc10674"/>
      <w:bookmarkStart w:id="847" w:name="_Toc29150"/>
      <w:bookmarkStart w:id="848" w:name="_Toc7788"/>
      <w:bookmarkStart w:id="849" w:name="_Toc3218"/>
      <w:bookmarkStart w:id="850" w:name="_Toc20178"/>
      <w:bookmarkStart w:id="851" w:name="_Toc17164"/>
      <w:bookmarkStart w:id="852" w:name="_Toc27023"/>
      <w:bookmarkStart w:id="853" w:name="_Toc235846313"/>
      <w:bookmarkStart w:id="854" w:name="_Toc233435924"/>
      <w:bookmarkStart w:id="855" w:name="_Toc282787351"/>
      <w:bookmarkStart w:id="856" w:name="_Toc288546560"/>
      <w:bookmarkStart w:id="857" w:name="_Toc233214766"/>
      <w:bookmarkStart w:id="858" w:name="_Toc282778911"/>
      <w:bookmarkStart w:id="859" w:name="_Toc233429707"/>
      <w:bookmarkStart w:id="860" w:name="_Toc287853260"/>
      <w:bookmarkStart w:id="861" w:name="_Toc283794108"/>
      <w:bookmarkStart w:id="862" w:name="_Toc233290312"/>
      <w:bookmarkStart w:id="863" w:name="_Toc282779420"/>
      <w:bookmarkStart w:id="864" w:name="_Toc288491436"/>
      <w:bookmarkStart w:id="865" w:name="_Toc233423197"/>
      <w:r>
        <w:rPr>
          <w:rFonts w:hint="eastAsia" w:eastAsia="黑体"/>
          <w:sz w:val="21"/>
          <w:szCs w:val="21"/>
        </w:rPr>
        <w:t>3.4</w:t>
      </w:r>
      <w:r>
        <w:rPr>
          <w:rFonts w:hint="eastAsia" w:ascii="黑体" w:eastAsia="黑体"/>
          <w:b w:val="0"/>
          <w:sz w:val="21"/>
          <w:szCs w:val="21"/>
        </w:rPr>
        <w:t xml:space="preserve"> 投标保证金</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pPr>
        <w:spacing w:line="420" w:lineRule="exact"/>
        <w:ind w:firstLine="420" w:firstLineChars="200"/>
        <w:rPr>
          <w:rFonts w:ascii="宋体" w:hAnsi="宋体"/>
          <w:b/>
          <w:spacing w:val="-2"/>
          <w:szCs w:val="21"/>
        </w:rPr>
      </w:pPr>
      <w:r>
        <w:rPr>
          <w:rFonts w:hint="eastAsia"/>
          <w:szCs w:val="21"/>
        </w:rPr>
        <w:t>本项目不做要求。</w:t>
      </w:r>
    </w:p>
    <w:p>
      <w:pPr>
        <w:pStyle w:val="6"/>
        <w:spacing w:beforeLines="50" w:afterLines="50" w:line="420" w:lineRule="exact"/>
        <w:rPr>
          <w:rFonts w:ascii="黑体" w:eastAsia="黑体"/>
          <w:b w:val="0"/>
          <w:sz w:val="21"/>
          <w:szCs w:val="21"/>
        </w:rPr>
      </w:pPr>
      <w:bookmarkStart w:id="866" w:name="_Toc28260"/>
      <w:bookmarkStart w:id="867" w:name="_Toc24810"/>
      <w:bookmarkStart w:id="868" w:name="_Toc17195"/>
      <w:bookmarkStart w:id="869" w:name="_Toc32150"/>
      <w:bookmarkStart w:id="870" w:name="_Toc31010"/>
      <w:bookmarkStart w:id="871" w:name="_Toc13660"/>
      <w:bookmarkStart w:id="872" w:name="_Toc30124"/>
      <w:bookmarkStart w:id="873" w:name="_Toc25453"/>
      <w:bookmarkStart w:id="874" w:name="_Toc17843"/>
      <w:bookmarkStart w:id="875" w:name="_Toc1459"/>
      <w:bookmarkStart w:id="876" w:name="_Toc16679"/>
      <w:bookmarkStart w:id="877" w:name="_Toc27321"/>
      <w:bookmarkStart w:id="878" w:name="_Toc24975"/>
      <w:bookmarkStart w:id="879" w:name="_Toc9977"/>
      <w:bookmarkStart w:id="880" w:name="_Toc26822"/>
      <w:bookmarkStart w:id="881" w:name="_Toc7497"/>
      <w:bookmarkStart w:id="882" w:name="_Toc20157"/>
      <w:bookmarkStart w:id="883" w:name="_Toc24889"/>
      <w:r>
        <w:rPr>
          <w:rFonts w:eastAsia="黑体"/>
          <w:sz w:val="21"/>
          <w:szCs w:val="21"/>
        </w:rPr>
        <w:t>3.5</w:t>
      </w:r>
      <w:r>
        <w:rPr>
          <w:rFonts w:hint="eastAsia" w:ascii="黑体" w:eastAsia="黑体"/>
          <w:b w:val="0"/>
          <w:sz w:val="21"/>
          <w:szCs w:val="21"/>
        </w:rPr>
        <w:t xml:space="preserve">  资格审查资料</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p>
      <w:pPr>
        <w:spacing w:line="420" w:lineRule="exact"/>
        <w:ind w:firstLine="420" w:firstLineChars="200"/>
        <w:rPr>
          <w:szCs w:val="21"/>
        </w:rPr>
      </w:pPr>
      <w:bookmarkStart w:id="884" w:name="_Toc21484"/>
      <w:r>
        <w:rPr>
          <w:rFonts w:hint="eastAsia"/>
          <w:szCs w:val="21"/>
        </w:rPr>
        <w:t>3.5.1  “投标人基本情况表”应附企业法人营业执照副本（全本）的复印件（并加盖单位章）、施工资质证书副本（全本）的复印件（并加盖单位章）、安全生产许可证副本（全本）的复印件（并加盖单位章）、基本账户开户许可证的复印件（并加盖单位章）。</w:t>
      </w:r>
    </w:p>
    <w:p>
      <w:pPr>
        <w:spacing w:line="420" w:lineRule="exact"/>
        <w:ind w:firstLine="420" w:firstLineChars="200"/>
        <w:rPr>
          <w:szCs w:val="21"/>
        </w:rPr>
      </w:pPr>
      <w:r>
        <w:rPr>
          <w:rFonts w:hint="eastAsia"/>
          <w:szCs w:val="21"/>
        </w:rPr>
        <w:t>“拟委任的项目经理和项目总工资历表”应附项目经理（以及备选人）和项目总工（以及备选人）的身份证、职称证书以及资格审查条件所要求的其它相关证书（如建造师注册证书、安全生产考核合格证书等）的复印件，并应提供其担任类似项目的项目经理和项目总工的相关业绩证明材料复印件，并应附投标人所属社保机构出具的拟委任的项目经理和项目总工的社保缴费证明（并加盖缴费证明专用章）或其它能够证明拟委任的项目经理和项目总工参加社保的有效证明材料（并加盖社保机构单位章）。</w:t>
      </w:r>
    </w:p>
    <w:p>
      <w:pPr>
        <w:spacing w:line="420" w:lineRule="exact"/>
        <w:ind w:firstLine="420" w:firstLineChars="200"/>
        <w:rPr>
          <w:szCs w:val="21"/>
        </w:rPr>
      </w:pPr>
      <w:r>
        <w:rPr>
          <w:rFonts w:hint="eastAsia"/>
          <w:szCs w:val="21"/>
        </w:rPr>
        <w:t>3.5.2  “近年财务状况表”应附经会计师事务所或审计机构审计的财务会计报表，包括资产负债表、现金流量表、利润表和财务情况说明书的复印件，具体年份要求见投标人须知前附表。</w:t>
      </w:r>
    </w:p>
    <w:p>
      <w:pPr>
        <w:spacing w:line="420" w:lineRule="exact"/>
        <w:ind w:firstLine="420" w:firstLineChars="200"/>
        <w:rPr>
          <w:szCs w:val="21"/>
        </w:rPr>
      </w:pPr>
      <w:r>
        <w:rPr>
          <w:rFonts w:hint="eastAsia"/>
          <w:szCs w:val="21"/>
        </w:rPr>
        <w:t>3.5.3  “近年完成的类似项目情况表”应附中标通知书和（或）合同协议书、工程接收证书（工程交工验收证书）的复印件，具体年份要求见投标人须知前附表。每张表格只填写一个项目，并标明序号。</w:t>
      </w:r>
    </w:p>
    <w:p>
      <w:pPr>
        <w:spacing w:line="420" w:lineRule="exact"/>
        <w:ind w:firstLine="420" w:firstLineChars="200"/>
        <w:rPr>
          <w:szCs w:val="21"/>
        </w:rPr>
      </w:pPr>
      <w:r>
        <w:rPr>
          <w:rFonts w:hint="eastAsia"/>
          <w:szCs w:val="21"/>
        </w:rPr>
        <w:t>工程接收证书（工程交工验收证书）可以是发包人出具的公路工程（标段）交工验收证书或交（竣）工验收委员会出具的公路工程交（竣）工验收鉴定书或质量监督机构对各参建单位签发的工作综合评价等级证书。</w:t>
      </w:r>
    </w:p>
    <w:p>
      <w:pPr>
        <w:spacing w:line="420" w:lineRule="exact"/>
        <w:ind w:firstLine="420" w:firstLineChars="200"/>
        <w:rPr>
          <w:szCs w:val="21"/>
        </w:rPr>
      </w:pPr>
      <w:r>
        <w:rPr>
          <w:rFonts w:hint="eastAsia"/>
          <w:szCs w:val="21"/>
        </w:rPr>
        <w:t>3.5.4  “正在养护和新承接的项目情况表”应附中标通知书和（或）合同协议书复印件。每张表格只填写一个项目，并标明序号。</w:t>
      </w:r>
    </w:p>
    <w:p>
      <w:pPr>
        <w:spacing w:line="420" w:lineRule="exact"/>
        <w:ind w:firstLine="420" w:firstLineChars="200"/>
        <w:rPr>
          <w:szCs w:val="21"/>
        </w:rPr>
      </w:pPr>
      <w:r>
        <w:rPr>
          <w:rFonts w:hint="eastAsia"/>
          <w:szCs w:val="21"/>
        </w:rPr>
        <w:t>3.5.5  “近年发生的诉讼及仲裁情况”应说明相关情况，并附法院或仲裁机构作出的判决、裁决等有关法律文书复印件，具体年份要求见投标人须知前附表。</w:t>
      </w:r>
    </w:p>
    <w:p>
      <w:pPr>
        <w:spacing w:line="420" w:lineRule="exact"/>
        <w:ind w:firstLine="420" w:firstLineChars="200"/>
        <w:rPr>
          <w:szCs w:val="21"/>
        </w:rPr>
      </w:pPr>
      <w:r>
        <w:rPr>
          <w:rFonts w:hint="eastAsia"/>
          <w:szCs w:val="21"/>
        </w:rPr>
        <w:t>3.5.7  投标人在投标文件中填报的项目经理（以及备选人）和项目总工（以及备选人）不允许更换。</w:t>
      </w:r>
    </w:p>
    <w:p>
      <w:pPr>
        <w:spacing w:line="420" w:lineRule="exact"/>
        <w:ind w:firstLine="420" w:firstLineChars="200"/>
        <w:rPr>
          <w:szCs w:val="21"/>
        </w:rPr>
      </w:pPr>
      <w:r>
        <w:rPr>
          <w:rFonts w:hint="eastAsia"/>
          <w:szCs w:val="21"/>
        </w:rPr>
        <w:t>3.5.8  招标人将进一步核查投标人在投标文件中提供的材料，若在评标期间发现投标人提供了虚假资料，招标人有权对投标人的投标文件作废标处理；若在评标结果公示期间发现作为中标候选人的投标人提供了虚假资料，招标人有权取消其中标资格；若在合同实施期间发现投标人提供了虚假资料，招标人有权从工程支付款中扣除不超过10%签约合同价的金额作为违约金。同时招标人将投标人以上弄虚作假行为上报省级交通主管部门。</w:t>
      </w:r>
    </w:p>
    <w:p>
      <w:pPr>
        <w:pStyle w:val="6"/>
        <w:spacing w:beforeLines="50" w:afterLines="50" w:line="420" w:lineRule="exact"/>
        <w:rPr>
          <w:rFonts w:ascii="黑体" w:eastAsia="黑体"/>
          <w:b w:val="0"/>
          <w:sz w:val="21"/>
          <w:szCs w:val="21"/>
        </w:rPr>
      </w:pPr>
      <w:bookmarkStart w:id="885" w:name="_Toc4993"/>
      <w:bookmarkStart w:id="886" w:name="_Toc18119"/>
      <w:bookmarkStart w:id="887" w:name="_Toc504"/>
      <w:bookmarkStart w:id="888" w:name="_Toc10417"/>
      <w:bookmarkStart w:id="889" w:name="_Toc700"/>
      <w:bookmarkStart w:id="890" w:name="_Toc27616"/>
      <w:bookmarkStart w:id="891" w:name="_Toc30117"/>
      <w:bookmarkStart w:id="892" w:name="_Toc4861"/>
      <w:bookmarkStart w:id="893" w:name="_Toc15110"/>
      <w:bookmarkStart w:id="894" w:name="_Toc8315"/>
      <w:bookmarkStart w:id="895" w:name="_Toc2523"/>
      <w:bookmarkStart w:id="896" w:name="_Toc13969"/>
      <w:bookmarkStart w:id="897" w:name="_Toc21208"/>
      <w:bookmarkStart w:id="898" w:name="_Toc18231"/>
      <w:bookmarkStart w:id="899" w:name="_Toc17516"/>
      <w:bookmarkStart w:id="900" w:name="_Toc25719"/>
      <w:bookmarkStart w:id="901" w:name="_Toc18482"/>
      <w:bookmarkStart w:id="902" w:name="_Toc27749"/>
      <w:r>
        <w:rPr>
          <w:rFonts w:eastAsia="黑体"/>
          <w:sz w:val="21"/>
          <w:szCs w:val="21"/>
        </w:rPr>
        <w:t>3.6</w:t>
      </w:r>
      <w:r>
        <w:rPr>
          <w:rFonts w:hint="eastAsia" w:ascii="黑体" w:eastAsia="黑体"/>
          <w:b w:val="0"/>
          <w:sz w:val="21"/>
          <w:szCs w:val="21"/>
        </w:rPr>
        <w:t xml:space="preserve">  备选投标方案</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pPr>
        <w:spacing w:line="420" w:lineRule="exact"/>
        <w:ind w:firstLine="420" w:firstLineChars="200"/>
        <w:rPr>
          <w:szCs w:val="21"/>
        </w:rPr>
      </w:pPr>
      <w:bookmarkStart w:id="903" w:name="_Toc6925"/>
      <w:bookmarkStart w:id="904" w:name="_Toc287853262"/>
      <w:bookmarkStart w:id="905" w:name="_Toc233290314"/>
      <w:bookmarkStart w:id="906" w:name="_Toc17116"/>
      <w:bookmarkStart w:id="907" w:name="_Toc31877"/>
      <w:bookmarkStart w:id="908" w:name="_Toc30518"/>
      <w:bookmarkStart w:id="909" w:name="_Toc21196"/>
      <w:bookmarkStart w:id="910" w:name="_Toc2250"/>
      <w:bookmarkStart w:id="911" w:name="_Toc282779422"/>
      <w:bookmarkStart w:id="912" w:name="_Toc1390"/>
      <w:bookmarkStart w:id="913" w:name="_Toc32744"/>
      <w:bookmarkStart w:id="914" w:name="_Toc11324"/>
      <w:bookmarkStart w:id="915" w:name="_Toc233429709"/>
      <w:bookmarkStart w:id="916" w:name="_Toc22060"/>
      <w:bookmarkStart w:id="917" w:name="_Toc876"/>
      <w:bookmarkStart w:id="918" w:name="_Toc12100"/>
      <w:bookmarkStart w:id="919" w:name="_Toc235846315"/>
      <w:bookmarkStart w:id="920" w:name="_Toc7505"/>
      <w:bookmarkStart w:id="921" w:name="_Toc18378"/>
      <w:bookmarkStart w:id="922" w:name="_Toc233214768"/>
      <w:bookmarkStart w:id="923" w:name="_Toc233423199"/>
      <w:bookmarkStart w:id="924" w:name="_Toc14081"/>
      <w:bookmarkStart w:id="925" w:name="_Toc288546562"/>
      <w:bookmarkStart w:id="926" w:name="_Toc233435926"/>
      <w:bookmarkStart w:id="927" w:name="_Toc282778913"/>
      <w:bookmarkStart w:id="928" w:name="_Toc3367"/>
      <w:bookmarkStart w:id="929" w:name="_Toc282787353"/>
      <w:bookmarkStart w:id="930" w:name="_Toc26102"/>
      <w:bookmarkStart w:id="931" w:name="_Toc31833"/>
      <w:bookmarkStart w:id="932" w:name="_Toc28185"/>
      <w:bookmarkStart w:id="933" w:name="_Toc288491438"/>
      <w:bookmarkStart w:id="934" w:name="_Toc283794110"/>
      <w:r>
        <w:rPr>
          <w:rFonts w:hint="eastAsia"/>
          <w:szCs w:val="21"/>
        </w:rPr>
        <w:t>除投标人须知前附表另有规定外，投标人不得递交备选投标方案。允许投标人递交备选方案的只有中标人所递交的备选投标方案方可予以考虑。评标委员会认为中标人的备选投标方案优于其按照招标文件要求编制的投标方案的，中标人可以接受该备选投标方案。</w:t>
      </w:r>
    </w:p>
    <w:p>
      <w:pPr>
        <w:pStyle w:val="6"/>
        <w:spacing w:beforeLines="50" w:afterLines="50" w:line="420" w:lineRule="exact"/>
        <w:rPr>
          <w:rFonts w:eastAsia="黑体"/>
          <w:b w:val="0"/>
          <w:sz w:val="21"/>
          <w:szCs w:val="21"/>
        </w:rPr>
      </w:pPr>
      <w:r>
        <w:rPr>
          <w:rFonts w:eastAsia="黑体"/>
          <w:sz w:val="21"/>
          <w:szCs w:val="21"/>
        </w:rPr>
        <w:t>3.7</w:t>
      </w:r>
      <w:r>
        <w:rPr>
          <w:rFonts w:eastAsia="黑体"/>
          <w:b w:val="0"/>
          <w:sz w:val="21"/>
          <w:szCs w:val="21"/>
        </w:rPr>
        <w:t xml:space="preserve">  投标文件的编制</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p>
    <w:p>
      <w:pPr>
        <w:spacing w:line="420" w:lineRule="exact"/>
        <w:ind w:firstLine="420" w:firstLineChars="200"/>
        <w:rPr>
          <w:szCs w:val="21"/>
        </w:rPr>
      </w:pPr>
      <w:r>
        <w:rPr>
          <w:rFonts w:hint="eastAsia"/>
          <w:szCs w:val="21"/>
        </w:rPr>
        <w:t>3.7.1  投标文件应按第八章“投标文件格式”进行编写，如有必要，可以增加附页，作为投标文件的组成部分。其中，投标函附录在满足招标文件实质性要求的基础上，可以提出比招标文件要求更有利于招标人的承诺。</w:t>
      </w:r>
    </w:p>
    <w:p>
      <w:pPr>
        <w:spacing w:line="420" w:lineRule="exact"/>
        <w:ind w:firstLine="420" w:firstLineChars="200"/>
        <w:rPr>
          <w:szCs w:val="21"/>
        </w:rPr>
      </w:pPr>
      <w:r>
        <w:rPr>
          <w:rFonts w:hint="eastAsia"/>
          <w:szCs w:val="21"/>
        </w:rPr>
        <w:t>3.7.2  投标文件应当对招标文件有关工期、投标有效期、质量要求、招标范围等实质性内容作出响应。</w:t>
      </w:r>
    </w:p>
    <w:p>
      <w:pPr>
        <w:spacing w:line="420" w:lineRule="exact"/>
        <w:ind w:firstLine="420" w:firstLineChars="200"/>
        <w:rPr>
          <w:szCs w:val="21"/>
        </w:rPr>
      </w:pPr>
      <w:r>
        <w:rPr>
          <w:rFonts w:hint="eastAsia"/>
          <w:szCs w:val="21"/>
        </w:rPr>
        <w:t>3.7.3  投标文件应用不褪色的材料书写或打印，投标函及投标函附录、承诺函、已标价工程量清单（包括工程量清单说明、投标报价说明、计日工说明、其它说明及工程量清单各项表格〈工程量清单表4.1、表4.2、表4.3〉）、调价函及调价后的工程量清单（如有）的内容应由投标人的法定代表人或其委托代理人逐页签署姓名（本页正文内容已由投标人的法定代表人或其委托代理人签署姓名的可不签署）并逐页加盖投标人单位章（本页正文内容已加盖单位章的除外）。</w:t>
      </w:r>
    </w:p>
    <w:p>
      <w:pPr>
        <w:spacing w:line="420" w:lineRule="exact"/>
        <w:ind w:firstLine="420" w:firstLineChars="200"/>
        <w:rPr>
          <w:szCs w:val="21"/>
        </w:rPr>
      </w:pPr>
      <w:r>
        <w:rPr>
          <w:rFonts w:hint="eastAsia"/>
          <w:szCs w:val="21"/>
        </w:rPr>
        <w:t>如果投标文件由委托代理人签署，则投标人需提交附有法定代表人身份证明的授权委托书，授权委托书应按规定的书面方式出具，并由法定代表人和委托代理人亲笔签名，不得使用印章、签名章或其它电子制版签名。经公证机关对授权委托书中投标人法定代表人的签名、委托代理人的签名、投标人的单位章的真实性做出有效公证后，原件应装订在投标文件的正本之中。投标人无须再对法定代表人身份证明进行公证。公证书出具的日期应与授权委托书出具的日期同日或在其之后。</w:t>
      </w:r>
    </w:p>
    <w:p>
      <w:pPr>
        <w:spacing w:line="420" w:lineRule="exact"/>
        <w:ind w:firstLine="420" w:firstLineChars="200"/>
        <w:rPr>
          <w:szCs w:val="21"/>
        </w:rPr>
      </w:pPr>
      <w:r>
        <w:rPr>
          <w:rFonts w:hint="eastAsia"/>
          <w:szCs w:val="21"/>
        </w:rPr>
        <w:t>如果由投标人的法定代表人亲自签署投标文件，则不需提交授权委托书，但应经公证机关对法定代表人身份证明中法定代表人的签名、投标人的单位章的真实性做出有效公证后，将原件装订在投标文件的正本之中。公证书出具的日期应与法定代表人身份证明出具的日期同日或在其之后。</w:t>
      </w:r>
    </w:p>
    <w:p>
      <w:pPr>
        <w:spacing w:line="420" w:lineRule="exact"/>
        <w:ind w:firstLine="420" w:firstLineChars="200"/>
        <w:rPr>
          <w:szCs w:val="21"/>
        </w:rPr>
      </w:pPr>
      <w:r>
        <w:rPr>
          <w:rFonts w:hint="eastAsia"/>
          <w:szCs w:val="21"/>
        </w:rPr>
        <w:t>投标文件应尽量避免涂改、行间插字或删除。如果出现上述情况，改动之处应加盖单位章或由投标人的法定代表人或其授权的代理人签字确认。</w:t>
      </w:r>
    </w:p>
    <w:p>
      <w:pPr>
        <w:spacing w:line="420" w:lineRule="exact"/>
        <w:ind w:firstLine="420" w:firstLineChars="200"/>
        <w:rPr>
          <w:szCs w:val="21"/>
        </w:rPr>
      </w:pPr>
      <w:r>
        <w:rPr>
          <w:rFonts w:hint="eastAsia"/>
          <w:szCs w:val="21"/>
        </w:rPr>
        <w:t>签字或盖章的其它要求见投标人须知前附表。</w:t>
      </w:r>
    </w:p>
    <w:p>
      <w:pPr>
        <w:spacing w:line="420" w:lineRule="exact"/>
        <w:ind w:firstLine="420" w:firstLineChars="200"/>
        <w:rPr>
          <w:szCs w:val="21"/>
        </w:rPr>
      </w:pPr>
      <w:r>
        <w:rPr>
          <w:rFonts w:hint="eastAsia"/>
          <w:szCs w:val="21"/>
        </w:rPr>
        <w:t>3.7.4  投标文件正本一份，副本份数见投标人须知前附表。正本和副本的封面上应清楚地标记“正本”或“副本”的字样。当副本和正本不一致时，以正本为准。</w:t>
      </w:r>
    </w:p>
    <w:p>
      <w:pPr>
        <w:spacing w:line="420" w:lineRule="exact"/>
        <w:ind w:firstLine="420" w:firstLineChars="200"/>
        <w:rPr>
          <w:szCs w:val="21"/>
        </w:rPr>
      </w:pPr>
      <w:r>
        <w:rPr>
          <w:rFonts w:hint="eastAsia"/>
          <w:szCs w:val="21"/>
        </w:rPr>
        <w:t>3.7.5  投标文件的正本与副本应分别装订成册（A4纸幅），并编制目录、且逐页标注连续页码。投标文件不得采用活页夹装订。否则，招标人对由于投标文件装订松散而造成的丢失或其它后果不承担任何责任。装订的其它要求见投标人须知前附表。</w:t>
      </w:r>
    </w:p>
    <w:p>
      <w:pPr>
        <w:spacing w:beforeLines="100" w:afterLines="50" w:line="420" w:lineRule="exact"/>
        <w:rPr>
          <w:rFonts w:ascii="黑体" w:hAnsi="黑体" w:eastAsia="黑体" w:cs="黑体"/>
          <w:b/>
          <w:bCs/>
          <w:sz w:val="30"/>
          <w:szCs w:val="30"/>
        </w:rPr>
      </w:pPr>
      <w:bookmarkStart w:id="935" w:name="_Toc233290315"/>
      <w:bookmarkStart w:id="936" w:name="_Toc30903"/>
      <w:bookmarkStart w:id="937" w:name="_Toc29481"/>
      <w:bookmarkStart w:id="938" w:name="_Toc233429710"/>
      <w:bookmarkStart w:id="939" w:name="_Toc3399"/>
      <w:bookmarkStart w:id="940" w:name="_Toc288546563"/>
      <w:bookmarkStart w:id="941" w:name="_Toc287853263"/>
      <w:bookmarkStart w:id="942" w:name="_Toc21083"/>
      <w:bookmarkStart w:id="943" w:name="_Toc233423200"/>
      <w:bookmarkStart w:id="944" w:name="_Toc9118"/>
      <w:bookmarkStart w:id="945" w:name="_Toc282787354"/>
      <w:bookmarkStart w:id="946" w:name="_Toc2499"/>
      <w:bookmarkStart w:id="947" w:name="_Toc233435927"/>
      <w:bookmarkStart w:id="948" w:name="_Toc283794111"/>
      <w:bookmarkStart w:id="949" w:name="_Toc28361"/>
      <w:bookmarkStart w:id="950" w:name="_Toc13893"/>
      <w:bookmarkStart w:id="951" w:name="_Toc233214769"/>
      <w:bookmarkStart w:id="952" w:name="_Toc13223"/>
      <w:bookmarkStart w:id="953" w:name="_Toc7347"/>
      <w:bookmarkStart w:id="954" w:name="_Toc282778914"/>
      <w:bookmarkStart w:id="955" w:name="_Toc288491439"/>
      <w:bookmarkStart w:id="956" w:name="_Toc23218"/>
      <w:bookmarkStart w:id="957" w:name="_Toc14902"/>
      <w:bookmarkStart w:id="958" w:name="_Toc282779423"/>
      <w:bookmarkStart w:id="959" w:name="_Toc235846316"/>
      <w:bookmarkStart w:id="960" w:name="_Toc18998"/>
      <w:bookmarkStart w:id="961" w:name="_Toc27766"/>
      <w:r>
        <w:rPr>
          <w:rFonts w:hint="eastAsia" w:ascii="黑体" w:hAnsi="黑体" w:eastAsia="黑体" w:cs="黑体"/>
          <w:b/>
          <w:bCs/>
          <w:sz w:val="30"/>
          <w:szCs w:val="30"/>
        </w:rPr>
        <w:t>4．投标</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p>
    <w:p>
      <w:pPr>
        <w:spacing w:before="120" w:afterLines="50" w:line="420" w:lineRule="exact"/>
        <w:ind w:firstLine="210" w:firstLineChars="100"/>
        <w:rPr>
          <w:szCs w:val="21"/>
        </w:rPr>
      </w:pPr>
      <w:bookmarkStart w:id="962" w:name="_Toc7088"/>
      <w:bookmarkStart w:id="963" w:name="_Toc14648"/>
      <w:bookmarkStart w:id="964" w:name="_Toc24517"/>
      <w:bookmarkStart w:id="965" w:name="_Toc31388"/>
      <w:bookmarkStart w:id="966" w:name="_Toc233290316"/>
      <w:bookmarkStart w:id="967" w:name="_Toc287853264"/>
      <w:bookmarkStart w:id="968" w:name="_Toc282779424"/>
      <w:bookmarkStart w:id="969" w:name="_Toc288546564"/>
      <w:bookmarkStart w:id="970" w:name="_Toc283794112"/>
      <w:bookmarkStart w:id="971" w:name="_Toc28930"/>
      <w:bookmarkStart w:id="972" w:name="_Toc18441"/>
      <w:bookmarkStart w:id="973" w:name="_Toc233214770"/>
      <w:bookmarkStart w:id="974" w:name="_Toc31612"/>
      <w:bookmarkStart w:id="975" w:name="_Toc282778915"/>
      <w:bookmarkStart w:id="976" w:name="_Toc17095"/>
      <w:bookmarkStart w:id="977" w:name="_Toc2578"/>
      <w:bookmarkStart w:id="978" w:name="_Toc235846317"/>
      <w:bookmarkStart w:id="979" w:name="_Toc4744"/>
      <w:bookmarkStart w:id="980" w:name="_Toc17825"/>
      <w:bookmarkStart w:id="981" w:name="_Toc233435928"/>
      <w:bookmarkStart w:id="982" w:name="_Toc233429711"/>
      <w:bookmarkStart w:id="983" w:name="_Toc1418"/>
      <w:bookmarkStart w:id="984" w:name="_Toc14917"/>
      <w:bookmarkStart w:id="985" w:name="_Toc233423201"/>
      <w:bookmarkStart w:id="986" w:name="_Toc288491440"/>
      <w:bookmarkStart w:id="987" w:name="_Toc282787355"/>
      <w:bookmarkStart w:id="988" w:name="_Toc4320"/>
      <w:r>
        <w:rPr>
          <w:rFonts w:hint="eastAsia"/>
          <w:szCs w:val="21"/>
        </w:rPr>
        <w:t>4.1  投标文件的密封和标识</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p>
    <w:p>
      <w:pPr>
        <w:spacing w:line="420" w:lineRule="exact"/>
        <w:ind w:firstLine="420" w:firstLineChars="200"/>
        <w:rPr>
          <w:szCs w:val="21"/>
        </w:rPr>
      </w:pPr>
      <w:r>
        <w:rPr>
          <w:rFonts w:hint="eastAsia"/>
          <w:szCs w:val="21"/>
        </w:rPr>
        <w:t>4.1.1  投标文件的正本与副本应分别包装在内层封套里，投标文件电子文件应与正本包在同一个内层封套里，然后统一密封在一个外层封套中。内层和外层封套均应加贴封条，内层封套的封口处应加盖投标人单位章。外层封套上不应有任何投标人的识别标志。</w:t>
      </w:r>
    </w:p>
    <w:p>
      <w:pPr>
        <w:spacing w:line="420" w:lineRule="exact"/>
        <w:ind w:firstLine="420" w:firstLineChars="200"/>
        <w:rPr>
          <w:szCs w:val="21"/>
        </w:rPr>
      </w:pPr>
      <w:r>
        <w:rPr>
          <w:rFonts w:hint="eastAsia"/>
          <w:szCs w:val="21"/>
        </w:rPr>
        <w:t>4.1.2  投标文件的内层封套上应清楚地标记“正本”或“副本”字样，内、外层封套上应写明的其它内容见投标人须知前附表。</w:t>
      </w:r>
    </w:p>
    <w:p>
      <w:pPr>
        <w:spacing w:line="420" w:lineRule="exact"/>
        <w:ind w:firstLine="420" w:firstLineChars="200"/>
        <w:rPr>
          <w:szCs w:val="21"/>
        </w:rPr>
      </w:pPr>
      <w:bookmarkStart w:id="989" w:name="_Toc235846318"/>
      <w:bookmarkStart w:id="990" w:name="_Toc233290317"/>
      <w:bookmarkStart w:id="991" w:name="_Toc233435929"/>
      <w:bookmarkStart w:id="992" w:name="_Toc233429712"/>
      <w:bookmarkStart w:id="993" w:name="_Toc233214771"/>
      <w:bookmarkStart w:id="994" w:name="_Toc233423202"/>
      <w:r>
        <w:rPr>
          <w:rFonts w:hint="eastAsia"/>
          <w:szCs w:val="21"/>
        </w:rPr>
        <w:t>4.1.3  未按本章第4.1.1项或第4.1.2项要求密封、盖章和加写标记的投标文件，招标人不予受理。</w:t>
      </w:r>
    </w:p>
    <w:p>
      <w:pPr>
        <w:pStyle w:val="6"/>
        <w:spacing w:beforeLines="50" w:afterLines="50" w:line="420" w:lineRule="exact"/>
        <w:rPr>
          <w:rFonts w:ascii="黑体" w:eastAsia="黑体"/>
          <w:b w:val="0"/>
          <w:sz w:val="21"/>
          <w:szCs w:val="21"/>
        </w:rPr>
      </w:pPr>
      <w:bookmarkStart w:id="995" w:name="_Toc9185"/>
      <w:bookmarkStart w:id="996" w:name="_Toc288491441"/>
      <w:bookmarkStart w:id="997" w:name="_Toc16740"/>
      <w:bookmarkStart w:id="998" w:name="_Toc283794113"/>
      <w:bookmarkStart w:id="999" w:name="_Toc21646"/>
      <w:bookmarkStart w:id="1000" w:name="_Toc2717"/>
      <w:bookmarkStart w:id="1001" w:name="_Toc1463"/>
      <w:bookmarkStart w:id="1002" w:name="_Toc4492"/>
      <w:bookmarkStart w:id="1003" w:name="_Toc25416"/>
      <w:bookmarkStart w:id="1004" w:name="_Toc7146"/>
      <w:bookmarkStart w:id="1005" w:name="_Toc287853265"/>
      <w:bookmarkStart w:id="1006" w:name="_Toc12938"/>
      <w:bookmarkStart w:id="1007" w:name="_Toc25074"/>
      <w:bookmarkStart w:id="1008" w:name="_Toc282779425"/>
      <w:bookmarkStart w:id="1009" w:name="_Toc282778916"/>
      <w:bookmarkStart w:id="1010" w:name="_Toc288546565"/>
      <w:bookmarkStart w:id="1011" w:name="_Toc8980"/>
      <w:bookmarkStart w:id="1012" w:name="_Toc1487"/>
      <w:bookmarkStart w:id="1013" w:name="_Toc1223"/>
      <w:bookmarkStart w:id="1014" w:name="_Toc12208"/>
      <w:bookmarkStart w:id="1015" w:name="_Toc14377"/>
      <w:bookmarkStart w:id="1016" w:name="_Toc282787356"/>
      <w:bookmarkStart w:id="1017" w:name="_Toc2158"/>
      <w:bookmarkStart w:id="1018" w:name="_Toc8333"/>
      <w:bookmarkStart w:id="1019" w:name="_Toc5915"/>
      <w:bookmarkStart w:id="1020" w:name="_Toc1510"/>
      <w:r>
        <w:rPr>
          <w:rFonts w:eastAsia="黑体"/>
          <w:sz w:val="21"/>
          <w:szCs w:val="21"/>
        </w:rPr>
        <w:t>4.2</w:t>
      </w:r>
      <w:r>
        <w:rPr>
          <w:rFonts w:hint="eastAsia" w:ascii="黑体" w:eastAsia="黑体"/>
          <w:b w:val="0"/>
          <w:sz w:val="21"/>
          <w:szCs w:val="21"/>
        </w:rPr>
        <w:t xml:space="preserve">  投标文件的递交</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pPr>
        <w:spacing w:line="420" w:lineRule="exact"/>
        <w:ind w:firstLine="420" w:firstLineChars="200"/>
        <w:rPr>
          <w:szCs w:val="21"/>
        </w:rPr>
      </w:pPr>
      <w:r>
        <w:rPr>
          <w:rFonts w:hint="eastAsia"/>
          <w:szCs w:val="21"/>
        </w:rPr>
        <w:t>4.2.1  投标人应在本章第2.2.2项规定的投标截止时间前递交投标文件。</w:t>
      </w:r>
    </w:p>
    <w:p>
      <w:pPr>
        <w:spacing w:line="420" w:lineRule="exact"/>
        <w:ind w:firstLine="420" w:firstLineChars="200"/>
        <w:rPr>
          <w:szCs w:val="21"/>
        </w:rPr>
      </w:pPr>
      <w:r>
        <w:rPr>
          <w:rFonts w:hint="eastAsia"/>
          <w:szCs w:val="21"/>
        </w:rPr>
        <w:t>4.2.2  投标人递交投标文件的地点：见投标人须知前附表。</w:t>
      </w:r>
    </w:p>
    <w:p>
      <w:pPr>
        <w:spacing w:line="420" w:lineRule="exact"/>
        <w:ind w:firstLine="420" w:firstLineChars="200"/>
        <w:rPr>
          <w:szCs w:val="21"/>
        </w:rPr>
      </w:pPr>
      <w:r>
        <w:rPr>
          <w:rFonts w:hint="eastAsia"/>
          <w:szCs w:val="21"/>
        </w:rPr>
        <w:t>4.2.3  除投标人须知前附表另有规定外，投标人所递交的投标文件不予退还。</w:t>
      </w:r>
    </w:p>
    <w:p>
      <w:pPr>
        <w:spacing w:line="420" w:lineRule="exact"/>
        <w:ind w:firstLine="420" w:firstLineChars="200"/>
        <w:rPr>
          <w:szCs w:val="21"/>
        </w:rPr>
      </w:pPr>
      <w:r>
        <w:rPr>
          <w:rFonts w:hint="eastAsia"/>
          <w:szCs w:val="21"/>
        </w:rPr>
        <w:t>4.2.4  招标人收到投标文件后，向投标人出具签收凭证。</w:t>
      </w:r>
    </w:p>
    <w:p>
      <w:pPr>
        <w:spacing w:line="420" w:lineRule="exact"/>
        <w:ind w:firstLine="420" w:firstLineChars="200"/>
        <w:rPr>
          <w:szCs w:val="21"/>
        </w:rPr>
      </w:pPr>
      <w:r>
        <w:rPr>
          <w:rFonts w:hint="eastAsia"/>
          <w:szCs w:val="21"/>
        </w:rPr>
        <w:t>4.2.5  逾期送达的或者未送达指定地点的投标文件，招标人不予受理。</w:t>
      </w:r>
    </w:p>
    <w:p>
      <w:pPr>
        <w:spacing w:line="420" w:lineRule="exact"/>
        <w:ind w:firstLine="420" w:firstLineChars="200"/>
        <w:rPr>
          <w:szCs w:val="21"/>
        </w:rPr>
      </w:pPr>
      <w:r>
        <w:rPr>
          <w:rFonts w:hint="eastAsia"/>
          <w:szCs w:val="21"/>
        </w:rPr>
        <w:t>4.2.6  在特殊情况下，招标人如果决定延后投标截止时间，应在投标人须知前附表规定的时间前，以书面形式通知所有投标人延后投标截止时间。在此情况下，招标人和投标人的权利和义务相应延后至新的投标截止时间。</w:t>
      </w:r>
    </w:p>
    <w:p>
      <w:pPr>
        <w:pStyle w:val="6"/>
        <w:spacing w:beforeLines="50" w:afterLines="50" w:line="420" w:lineRule="exact"/>
        <w:rPr>
          <w:rFonts w:ascii="黑体" w:eastAsia="黑体"/>
          <w:b w:val="0"/>
          <w:sz w:val="21"/>
          <w:szCs w:val="21"/>
        </w:rPr>
      </w:pPr>
      <w:bookmarkStart w:id="1021" w:name="_Toc29091"/>
      <w:bookmarkStart w:id="1022" w:name="_Toc233423203"/>
      <w:bookmarkStart w:id="1023" w:name="_Toc235846319"/>
      <w:bookmarkStart w:id="1024" w:name="_Toc27831"/>
      <w:bookmarkStart w:id="1025" w:name="_Toc233214772"/>
      <w:bookmarkStart w:id="1026" w:name="_Toc10047"/>
      <w:bookmarkStart w:id="1027" w:name="_Toc13392"/>
      <w:bookmarkStart w:id="1028" w:name="_Toc30120"/>
      <w:bookmarkStart w:id="1029" w:name="_Toc288491442"/>
      <w:bookmarkStart w:id="1030" w:name="_Toc28231"/>
      <w:bookmarkStart w:id="1031" w:name="_Toc25535"/>
      <w:bookmarkStart w:id="1032" w:name="_Toc26522"/>
      <w:bookmarkStart w:id="1033" w:name="_Toc30321"/>
      <w:bookmarkStart w:id="1034" w:name="_Toc282779426"/>
      <w:bookmarkStart w:id="1035" w:name="_Toc15759"/>
      <w:bookmarkStart w:id="1036" w:name="_Toc24860"/>
      <w:bookmarkStart w:id="1037" w:name="_Toc288546566"/>
      <w:bookmarkStart w:id="1038" w:name="_Toc26649"/>
      <w:bookmarkStart w:id="1039" w:name="_Toc14244"/>
      <w:bookmarkStart w:id="1040" w:name="_Toc233435930"/>
      <w:bookmarkStart w:id="1041" w:name="_Toc233290318"/>
      <w:bookmarkStart w:id="1042" w:name="_Toc287853266"/>
      <w:bookmarkStart w:id="1043" w:name="_Toc283794114"/>
      <w:bookmarkStart w:id="1044" w:name="_Toc18411"/>
      <w:bookmarkStart w:id="1045" w:name="_Toc2786"/>
      <w:bookmarkStart w:id="1046" w:name="_Toc6296"/>
      <w:bookmarkStart w:id="1047" w:name="_Toc11719"/>
      <w:bookmarkStart w:id="1048" w:name="_Toc233429713"/>
      <w:bookmarkStart w:id="1049" w:name="_Toc5521"/>
      <w:bookmarkStart w:id="1050" w:name="_Toc16123"/>
      <w:bookmarkStart w:id="1051" w:name="_Toc282787357"/>
      <w:bookmarkStart w:id="1052" w:name="_Toc282778917"/>
      <w:r>
        <w:rPr>
          <w:rFonts w:eastAsia="黑体"/>
          <w:sz w:val="21"/>
          <w:szCs w:val="21"/>
        </w:rPr>
        <w:t>4.</w:t>
      </w:r>
      <w:r>
        <w:rPr>
          <w:rFonts w:hint="eastAsia" w:eastAsia="黑体"/>
          <w:sz w:val="21"/>
          <w:szCs w:val="21"/>
        </w:rPr>
        <w:t>3</w:t>
      </w:r>
      <w:r>
        <w:rPr>
          <w:rFonts w:hint="eastAsia" w:ascii="黑体" w:eastAsia="黑体"/>
          <w:b w:val="0"/>
          <w:sz w:val="21"/>
          <w:szCs w:val="21"/>
        </w:rPr>
        <w:t xml:space="preserve">  投标文件的修改与撤回</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p>
    <w:p>
      <w:pPr>
        <w:spacing w:line="420" w:lineRule="exact"/>
        <w:ind w:firstLine="420" w:firstLineChars="200"/>
        <w:rPr>
          <w:szCs w:val="21"/>
        </w:rPr>
      </w:pPr>
      <w:bookmarkStart w:id="1053" w:name="_Toc233423204"/>
      <w:bookmarkStart w:id="1054" w:name="_Toc233435931"/>
      <w:bookmarkStart w:id="1055" w:name="_Toc233214773"/>
      <w:bookmarkStart w:id="1056" w:name="_Toc233290319"/>
      <w:bookmarkStart w:id="1057" w:name="_Toc233429714"/>
      <w:bookmarkStart w:id="1058" w:name="_Toc235846320"/>
      <w:r>
        <w:rPr>
          <w:rFonts w:hint="eastAsia"/>
          <w:szCs w:val="21"/>
        </w:rPr>
        <w:t>4.3.1  在本章第2.2.2项规定的投标截止时间前，投标人可以修改或撤回已递交的投标文件，但应以书面形式通知招标人。</w:t>
      </w:r>
    </w:p>
    <w:p>
      <w:pPr>
        <w:spacing w:line="420" w:lineRule="exact"/>
        <w:ind w:firstLine="420" w:firstLineChars="200"/>
        <w:rPr>
          <w:szCs w:val="21"/>
        </w:rPr>
      </w:pPr>
      <w:r>
        <w:rPr>
          <w:rFonts w:hint="eastAsia"/>
          <w:szCs w:val="21"/>
        </w:rPr>
        <w:t>4.3.2  投标人修改或撤回已递交投标文件的书面通知应按照本章第3.7.3项的要求签字或盖章。招标人收到书面通知后，向投标人出具签收凭证。</w:t>
      </w:r>
    </w:p>
    <w:p>
      <w:pPr>
        <w:spacing w:line="420" w:lineRule="exact"/>
        <w:ind w:firstLine="420" w:firstLineChars="200"/>
        <w:rPr>
          <w:szCs w:val="21"/>
        </w:rPr>
      </w:pPr>
      <w:r>
        <w:rPr>
          <w:rFonts w:hint="eastAsia"/>
          <w:szCs w:val="21"/>
        </w:rPr>
        <w:t>4.3.3  修改的内容为投标文件的组成部分。修改的投标文件应按照本章第3条、第4条规定进行编制、密封、标记和递交，并标明“修改”字样。</w:t>
      </w:r>
    </w:p>
    <w:p>
      <w:pPr>
        <w:pStyle w:val="5"/>
        <w:spacing w:before="120" w:afterLines="50" w:line="420" w:lineRule="exact"/>
        <w:rPr>
          <w:bCs w:val="0"/>
          <w:spacing w:val="0"/>
          <w:sz w:val="30"/>
          <w:szCs w:val="30"/>
        </w:rPr>
      </w:pPr>
      <w:bookmarkStart w:id="1059" w:name="_Toc8350"/>
      <w:bookmarkStart w:id="1060" w:name="_Toc282779427"/>
      <w:bookmarkStart w:id="1061" w:name="_Toc743"/>
      <w:bookmarkStart w:id="1062" w:name="_Toc13536"/>
      <w:bookmarkStart w:id="1063" w:name="_Toc282778918"/>
      <w:bookmarkStart w:id="1064" w:name="_Toc288491443"/>
      <w:bookmarkStart w:id="1065" w:name="_Toc20763"/>
      <w:bookmarkStart w:id="1066" w:name="_Toc27620"/>
      <w:bookmarkStart w:id="1067" w:name="_Toc14335"/>
      <w:bookmarkStart w:id="1068" w:name="_Toc3891"/>
      <w:bookmarkStart w:id="1069" w:name="_Toc15246"/>
      <w:bookmarkStart w:id="1070" w:name="_Toc12665"/>
      <w:bookmarkStart w:id="1071" w:name="_Toc287853267"/>
      <w:bookmarkStart w:id="1072" w:name="_Toc27262"/>
      <w:bookmarkStart w:id="1073" w:name="_Toc7933"/>
      <w:bookmarkStart w:id="1074" w:name="_Toc2355"/>
      <w:bookmarkStart w:id="1075" w:name="_Toc15564"/>
      <w:bookmarkStart w:id="1076" w:name="_Toc282787358"/>
      <w:bookmarkStart w:id="1077" w:name="_Toc31178"/>
      <w:bookmarkStart w:id="1078" w:name="_Toc12275"/>
      <w:bookmarkStart w:id="1079" w:name="_Toc283794115"/>
      <w:bookmarkStart w:id="1080" w:name="_Toc31620"/>
      <w:bookmarkStart w:id="1081" w:name="_Toc10029"/>
      <w:bookmarkStart w:id="1082" w:name="_Toc13232"/>
      <w:bookmarkStart w:id="1083" w:name="_Toc288546567"/>
      <w:bookmarkStart w:id="1084" w:name="_Toc6515"/>
      <w:r>
        <w:rPr>
          <w:rFonts w:hint="eastAsia" w:ascii="Times New Roman" w:hAnsi="Times New Roman"/>
          <w:bCs w:val="0"/>
          <w:spacing w:val="0"/>
          <w:sz w:val="30"/>
          <w:szCs w:val="30"/>
        </w:rPr>
        <w:t>5</w:t>
      </w:r>
      <w:r>
        <w:rPr>
          <w:rFonts w:hint="eastAsia"/>
          <w:bCs w:val="0"/>
          <w:spacing w:val="0"/>
          <w:sz w:val="30"/>
          <w:szCs w:val="30"/>
        </w:rPr>
        <w:t>．开标</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p>
    <w:p>
      <w:pPr>
        <w:pStyle w:val="6"/>
        <w:spacing w:before="120" w:afterLines="50" w:line="420" w:lineRule="exact"/>
        <w:rPr>
          <w:rFonts w:ascii="黑体" w:eastAsia="黑体"/>
          <w:b w:val="0"/>
          <w:sz w:val="21"/>
          <w:szCs w:val="21"/>
        </w:rPr>
      </w:pPr>
      <w:bookmarkStart w:id="1085" w:name="_Toc17479"/>
      <w:bookmarkStart w:id="1086" w:name="_Toc17844"/>
      <w:bookmarkStart w:id="1087" w:name="_Toc282787359"/>
      <w:bookmarkStart w:id="1088" w:name="_Toc283794116"/>
      <w:bookmarkStart w:id="1089" w:name="_Toc31315"/>
      <w:bookmarkStart w:id="1090" w:name="_Toc21648"/>
      <w:bookmarkStart w:id="1091" w:name="_Toc233435932"/>
      <w:bookmarkStart w:id="1092" w:name="_Toc1449"/>
      <w:bookmarkStart w:id="1093" w:name="_Toc264"/>
      <w:bookmarkStart w:id="1094" w:name="_Toc288546568"/>
      <w:bookmarkStart w:id="1095" w:name="_Toc233423205"/>
      <w:bookmarkStart w:id="1096" w:name="_Toc31168"/>
      <w:bookmarkStart w:id="1097" w:name="_Toc6505"/>
      <w:bookmarkStart w:id="1098" w:name="_Toc13083"/>
      <w:bookmarkStart w:id="1099" w:name="_Toc233429715"/>
      <w:bookmarkStart w:id="1100" w:name="_Toc233214774"/>
      <w:bookmarkStart w:id="1101" w:name="_Toc9915"/>
      <w:bookmarkStart w:id="1102" w:name="_Toc12782"/>
      <w:bookmarkStart w:id="1103" w:name="_Toc27273"/>
      <w:bookmarkStart w:id="1104" w:name="_Toc287853268"/>
      <w:bookmarkStart w:id="1105" w:name="_Toc10067"/>
      <w:bookmarkStart w:id="1106" w:name="_Toc235846321"/>
      <w:bookmarkStart w:id="1107" w:name="_Toc282778919"/>
      <w:bookmarkStart w:id="1108" w:name="_Toc20159"/>
      <w:bookmarkStart w:id="1109" w:name="_Toc26458"/>
      <w:bookmarkStart w:id="1110" w:name="_Toc25778"/>
      <w:bookmarkStart w:id="1111" w:name="_Toc28219"/>
      <w:bookmarkStart w:id="1112" w:name="_Toc282779428"/>
      <w:bookmarkStart w:id="1113" w:name="_Toc10575"/>
      <w:bookmarkStart w:id="1114" w:name="_Toc233290320"/>
      <w:bookmarkStart w:id="1115" w:name="_Toc288491444"/>
      <w:bookmarkStart w:id="1116" w:name="_Toc489"/>
      <w:r>
        <w:rPr>
          <w:rFonts w:hint="eastAsia" w:eastAsia="黑体"/>
          <w:sz w:val="21"/>
          <w:szCs w:val="21"/>
        </w:rPr>
        <w:t>5.1</w:t>
      </w:r>
      <w:r>
        <w:rPr>
          <w:rFonts w:hint="eastAsia" w:ascii="黑体" w:eastAsia="黑体"/>
          <w:b w:val="0"/>
          <w:sz w:val="21"/>
          <w:szCs w:val="21"/>
        </w:rPr>
        <w:t xml:space="preserve">  开标时间和地点</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p>
    <w:p>
      <w:pPr>
        <w:spacing w:line="420" w:lineRule="exact"/>
        <w:ind w:firstLine="420" w:firstLineChars="200"/>
        <w:rPr>
          <w:szCs w:val="21"/>
        </w:rPr>
      </w:pPr>
      <w:bookmarkStart w:id="1117" w:name="_Toc282779429"/>
      <w:bookmarkStart w:id="1118" w:name="_Toc288491445"/>
      <w:bookmarkStart w:id="1119" w:name="_Toc233214775"/>
      <w:bookmarkStart w:id="1120" w:name="_Toc287853269"/>
      <w:bookmarkStart w:id="1121" w:name="_Toc288546569"/>
      <w:bookmarkStart w:id="1122" w:name="_Toc233290321"/>
      <w:bookmarkStart w:id="1123" w:name="_Toc233435933"/>
      <w:bookmarkStart w:id="1124" w:name="_Toc233423206"/>
      <w:bookmarkStart w:id="1125" w:name="_Toc235846322"/>
      <w:bookmarkStart w:id="1126" w:name="_Toc282778920"/>
      <w:bookmarkStart w:id="1127" w:name="_Toc233429716"/>
      <w:bookmarkStart w:id="1128" w:name="_Toc282787360"/>
      <w:bookmarkStart w:id="1129" w:name="_Toc283794117"/>
      <w:bookmarkStart w:id="1130" w:name="_Toc29170"/>
      <w:r>
        <w:rPr>
          <w:rFonts w:hint="eastAsia"/>
          <w:szCs w:val="21"/>
        </w:rPr>
        <w:t>招标人在本章第2.2.2项规定的投标截止时间（开标时间）和投标人须知前附表规定的地点公开开标，并邀请所有投标人的法定代表人或其委托代理人准时参加。</w:t>
      </w:r>
    </w:p>
    <w:p>
      <w:pPr>
        <w:spacing w:line="420" w:lineRule="exact"/>
        <w:ind w:firstLine="420" w:firstLineChars="200"/>
        <w:rPr>
          <w:szCs w:val="21"/>
        </w:rPr>
      </w:pPr>
      <w:r>
        <w:rPr>
          <w:rFonts w:hint="eastAsia"/>
          <w:szCs w:val="21"/>
        </w:rPr>
        <w:t>投标人若未派法定代表人或其委托代理人出席开标活动，视为该投标人默认开标结果。</w:t>
      </w:r>
      <w:bookmarkStart w:id="1131" w:name="_Toc24627"/>
      <w:bookmarkStart w:id="1132" w:name="_Toc15994"/>
      <w:bookmarkStart w:id="1133" w:name="_Toc28594"/>
      <w:bookmarkStart w:id="1134" w:name="_Toc9786"/>
      <w:bookmarkStart w:id="1135" w:name="_Toc16834"/>
      <w:bookmarkStart w:id="1136" w:name="_Toc5449"/>
      <w:bookmarkStart w:id="1137" w:name="_Toc18942"/>
      <w:bookmarkStart w:id="1138" w:name="_Toc15225"/>
      <w:bookmarkStart w:id="1139" w:name="_Toc31453"/>
      <w:bookmarkStart w:id="1140" w:name="_Toc12762"/>
      <w:bookmarkStart w:id="1141" w:name="_Toc22839"/>
      <w:bookmarkStart w:id="1142" w:name="_Toc25"/>
      <w:bookmarkStart w:id="1143" w:name="_Toc16951"/>
      <w:bookmarkStart w:id="1144" w:name="_Toc22247"/>
      <w:bookmarkStart w:id="1145" w:name="_Toc25986"/>
    </w:p>
    <w:p>
      <w:pPr>
        <w:spacing w:line="420" w:lineRule="exact"/>
        <w:ind w:firstLine="420" w:firstLineChars="200"/>
        <w:rPr>
          <w:szCs w:val="21"/>
        </w:rPr>
      </w:pPr>
    </w:p>
    <w:p>
      <w:pPr>
        <w:spacing w:line="420" w:lineRule="exact"/>
        <w:ind w:firstLine="420" w:firstLineChars="200"/>
        <w:rPr>
          <w:rFonts w:ascii="黑体" w:eastAsia="黑体"/>
          <w:szCs w:val="21"/>
        </w:rPr>
      </w:pPr>
      <w:r>
        <w:rPr>
          <w:rFonts w:hint="eastAsia" w:eastAsia="黑体"/>
          <w:szCs w:val="21"/>
        </w:rPr>
        <w:t>5.2</w:t>
      </w:r>
      <w:r>
        <w:rPr>
          <w:rFonts w:hint="eastAsia" w:ascii="黑体" w:eastAsia="黑体"/>
          <w:szCs w:val="21"/>
        </w:rPr>
        <w:t xml:space="preserve">  开标程序</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p>
      <w:pPr>
        <w:spacing w:line="420" w:lineRule="exact"/>
        <w:ind w:firstLine="420" w:firstLineChars="200"/>
        <w:rPr>
          <w:szCs w:val="21"/>
        </w:rPr>
      </w:pPr>
      <w:r>
        <w:rPr>
          <w:rFonts w:hint="eastAsia"/>
          <w:szCs w:val="21"/>
        </w:rPr>
        <w:t>5.2.1  主持人按下列程序进行开标：</w:t>
      </w:r>
    </w:p>
    <w:p>
      <w:pPr>
        <w:spacing w:line="420" w:lineRule="exact"/>
        <w:ind w:firstLine="420" w:firstLineChars="200"/>
        <w:rPr>
          <w:szCs w:val="21"/>
        </w:rPr>
      </w:pPr>
      <w:r>
        <w:rPr>
          <w:rFonts w:hint="eastAsia"/>
          <w:szCs w:val="21"/>
        </w:rPr>
        <w:t>（1）宣布开标纪律；</w:t>
      </w:r>
    </w:p>
    <w:p>
      <w:pPr>
        <w:spacing w:line="460" w:lineRule="exact"/>
        <w:ind w:firstLine="420" w:firstLineChars="200"/>
        <w:rPr>
          <w:rFonts w:ascii="宋体" w:hAnsi="宋体"/>
          <w:szCs w:val="21"/>
        </w:rPr>
      </w:pPr>
      <w:r>
        <w:rPr>
          <w:rFonts w:hint="eastAsia"/>
          <w:szCs w:val="21"/>
        </w:rPr>
        <w:t>（2）公布在投标截止时间前递交投标文件的投标人名称，并点名确认投标人是否派人到场；</w:t>
      </w:r>
    </w:p>
    <w:p>
      <w:pPr>
        <w:spacing w:line="420" w:lineRule="exact"/>
        <w:ind w:firstLine="420" w:firstLineChars="200"/>
        <w:rPr>
          <w:szCs w:val="21"/>
        </w:rPr>
      </w:pPr>
      <w:r>
        <w:rPr>
          <w:rFonts w:hint="eastAsia"/>
          <w:szCs w:val="21"/>
        </w:rPr>
        <w:t>（3）宣布开标人、唱标人、记录人、监标人（监督部门或公证机构的人员）等有关人员姓名；</w:t>
      </w:r>
    </w:p>
    <w:p>
      <w:pPr>
        <w:spacing w:line="420" w:lineRule="exact"/>
        <w:ind w:firstLine="420" w:firstLineChars="200"/>
        <w:rPr>
          <w:szCs w:val="21"/>
        </w:rPr>
      </w:pPr>
      <w:r>
        <w:rPr>
          <w:rFonts w:hint="eastAsia"/>
          <w:szCs w:val="21"/>
        </w:rPr>
        <w:t>（4）按照投标人须知前附表规定检查投标文件的密封情况；</w:t>
      </w:r>
    </w:p>
    <w:p>
      <w:pPr>
        <w:spacing w:line="420" w:lineRule="exact"/>
        <w:ind w:firstLine="420" w:firstLineChars="200"/>
        <w:rPr>
          <w:szCs w:val="21"/>
        </w:rPr>
      </w:pPr>
      <w:r>
        <w:rPr>
          <w:rFonts w:hint="eastAsia"/>
          <w:szCs w:val="21"/>
        </w:rPr>
        <w:t>（5）按照投标人须知前附表的规定确定并宣布投标文件开标顺序；</w:t>
      </w:r>
    </w:p>
    <w:p>
      <w:pPr>
        <w:spacing w:line="420" w:lineRule="exact"/>
        <w:ind w:firstLine="420" w:firstLineChars="200"/>
        <w:rPr>
          <w:szCs w:val="21"/>
        </w:rPr>
      </w:pPr>
      <w:r>
        <w:rPr>
          <w:rFonts w:hint="eastAsia"/>
          <w:szCs w:val="21"/>
        </w:rPr>
        <w:t>（6）设有标底的，公布标底；</w:t>
      </w:r>
    </w:p>
    <w:p>
      <w:pPr>
        <w:spacing w:line="420" w:lineRule="exact"/>
        <w:ind w:firstLine="420" w:firstLineChars="200"/>
        <w:rPr>
          <w:szCs w:val="21"/>
        </w:rPr>
      </w:pPr>
      <w:r>
        <w:rPr>
          <w:rFonts w:hint="eastAsia"/>
          <w:szCs w:val="21"/>
        </w:rPr>
        <w:t>（7）按照宣布的开标顺序当众开标，公布投标人名称、标段名称、投标报价（若投标函中的投标报价大小写金额不一致，应以大写金额为准）、质量目标、工期及其它内容，并记录在案；</w:t>
      </w:r>
    </w:p>
    <w:p>
      <w:pPr>
        <w:spacing w:line="420" w:lineRule="exact"/>
        <w:ind w:firstLine="420" w:firstLineChars="200"/>
        <w:rPr>
          <w:szCs w:val="21"/>
        </w:rPr>
      </w:pPr>
      <w:r>
        <w:rPr>
          <w:rFonts w:hint="eastAsia"/>
          <w:szCs w:val="21"/>
        </w:rPr>
        <w:t>（8）投标人代表、招标人代表、监标人、记录人等有关人员在开标记录上签字确认；</w:t>
      </w:r>
      <w:r>
        <w:rPr>
          <w:rFonts w:hint="eastAsia" w:ascii="宋体" w:hAnsi="宋体"/>
          <w:szCs w:val="21"/>
        </w:rPr>
        <w:t>投标人代表未在开标记录上签字的，均视为对开标结果予以默认；</w:t>
      </w:r>
    </w:p>
    <w:p>
      <w:pPr>
        <w:spacing w:line="420" w:lineRule="exact"/>
        <w:ind w:firstLine="420" w:firstLineChars="200"/>
        <w:rPr>
          <w:szCs w:val="21"/>
        </w:rPr>
      </w:pPr>
      <w:r>
        <w:rPr>
          <w:rFonts w:hint="eastAsia"/>
          <w:szCs w:val="21"/>
        </w:rPr>
        <w:t>（9）开标会议结束。</w:t>
      </w:r>
    </w:p>
    <w:p>
      <w:pPr>
        <w:spacing w:line="420" w:lineRule="exact"/>
        <w:ind w:firstLine="420" w:firstLineChars="200"/>
        <w:rPr>
          <w:szCs w:val="21"/>
        </w:rPr>
      </w:pPr>
      <w:r>
        <w:rPr>
          <w:rFonts w:hint="eastAsia"/>
          <w:szCs w:val="21"/>
        </w:rPr>
        <w:t>5.2.2  开标过程中，若招标人发现投标文件出现以下任一情况，经监标人确认后当场宣布为否决投标：</w:t>
      </w:r>
    </w:p>
    <w:p>
      <w:pPr>
        <w:spacing w:line="420" w:lineRule="exact"/>
        <w:ind w:firstLine="420" w:firstLineChars="200"/>
        <w:rPr>
          <w:szCs w:val="21"/>
        </w:rPr>
      </w:pPr>
      <w:r>
        <w:rPr>
          <w:rFonts w:hint="eastAsia"/>
          <w:szCs w:val="21"/>
        </w:rPr>
        <w:t>（1）未在投标函上填写投标总价；</w:t>
      </w:r>
    </w:p>
    <w:p>
      <w:pPr>
        <w:spacing w:line="420" w:lineRule="exact"/>
        <w:ind w:firstLine="420" w:firstLineChars="200"/>
        <w:rPr>
          <w:szCs w:val="21"/>
        </w:rPr>
      </w:pPr>
      <w:r>
        <w:rPr>
          <w:rFonts w:hint="eastAsia"/>
          <w:szCs w:val="21"/>
        </w:rPr>
        <w:t>（2）投标报价或调价函中的报价超出招标人公布的投标控制价（如有）。</w:t>
      </w:r>
    </w:p>
    <w:p>
      <w:pPr>
        <w:spacing w:line="460" w:lineRule="exact"/>
        <w:ind w:firstLine="420" w:firstLineChars="200"/>
        <w:rPr>
          <w:rFonts w:ascii="宋体" w:hAnsi="宋体"/>
          <w:szCs w:val="21"/>
        </w:rPr>
      </w:pPr>
      <w:r>
        <w:rPr>
          <w:rFonts w:hint="eastAsia"/>
          <w:szCs w:val="21"/>
        </w:rPr>
        <w:t>5.2.3  若招标人宣读的内容</w:t>
      </w:r>
      <w:r>
        <w:rPr>
          <w:rFonts w:hint="eastAsia" w:ascii="宋体" w:hAnsi="宋体"/>
          <w:szCs w:val="21"/>
        </w:rPr>
        <w:t>或记录结果</w:t>
      </w:r>
      <w:r>
        <w:rPr>
          <w:rFonts w:hint="eastAsia"/>
          <w:szCs w:val="21"/>
        </w:rPr>
        <w:t>与投标文件不符时，投标人有权在开标现场提出异议，经监标人当场核查确认之后，可重新宣读其投标文件</w:t>
      </w:r>
      <w:r>
        <w:rPr>
          <w:rFonts w:hint="eastAsia" w:ascii="宋体" w:hAnsi="宋体"/>
          <w:szCs w:val="21"/>
        </w:rPr>
        <w:t>或纠正记录结果</w:t>
      </w:r>
      <w:r>
        <w:rPr>
          <w:rFonts w:hint="eastAsia"/>
          <w:szCs w:val="21"/>
        </w:rPr>
        <w:t>。若投标人现场未提出异议，则认为投标人已确认招标人宣读的内容</w:t>
      </w:r>
      <w:r>
        <w:rPr>
          <w:rFonts w:hint="eastAsia" w:ascii="宋体" w:hAnsi="宋体"/>
          <w:szCs w:val="21"/>
        </w:rPr>
        <w:t>或记录结果。</w:t>
      </w:r>
    </w:p>
    <w:p>
      <w:pPr>
        <w:pStyle w:val="5"/>
        <w:spacing w:before="120" w:afterLines="50" w:line="420" w:lineRule="exact"/>
        <w:rPr>
          <w:bCs w:val="0"/>
          <w:spacing w:val="0"/>
          <w:sz w:val="30"/>
          <w:szCs w:val="30"/>
        </w:rPr>
      </w:pPr>
      <w:bookmarkStart w:id="1146" w:name="_Toc233290322"/>
      <w:bookmarkStart w:id="1147" w:name="_Toc17191"/>
      <w:bookmarkStart w:id="1148" w:name="_Toc29721"/>
      <w:bookmarkStart w:id="1149" w:name="_Toc288546570"/>
      <w:bookmarkStart w:id="1150" w:name="_Toc27985"/>
      <w:bookmarkStart w:id="1151" w:name="_Toc28256"/>
      <w:bookmarkStart w:id="1152" w:name="_Toc16725"/>
      <w:bookmarkStart w:id="1153" w:name="_Toc233429717"/>
      <w:bookmarkStart w:id="1154" w:name="_Toc288491446"/>
      <w:bookmarkStart w:id="1155" w:name="_Toc12917"/>
      <w:bookmarkStart w:id="1156" w:name="_Toc1674"/>
      <w:bookmarkStart w:id="1157" w:name="_Toc282779430"/>
      <w:bookmarkStart w:id="1158" w:name="_Toc233423207"/>
      <w:bookmarkStart w:id="1159" w:name="_Toc287853270"/>
      <w:bookmarkStart w:id="1160" w:name="_Toc235846323"/>
      <w:bookmarkStart w:id="1161" w:name="_Toc2908"/>
      <w:bookmarkStart w:id="1162" w:name="_Toc282778921"/>
      <w:bookmarkStart w:id="1163" w:name="_Toc23931"/>
      <w:bookmarkStart w:id="1164" w:name="_Toc1252"/>
      <w:bookmarkStart w:id="1165" w:name="_Toc283794118"/>
      <w:bookmarkStart w:id="1166" w:name="_Toc29727"/>
      <w:bookmarkStart w:id="1167" w:name="_Toc31798"/>
      <w:bookmarkStart w:id="1168" w:name="_Toc19450"/>
      <w:bookmarkStart w:id="1169" w:name="_Toc233214776"/>
      <w:bookmarkStart w:id="1170" w:name="_Toc10332"/>
      <w:bookmarkStart w:id="1171" w:name="_Toc4778"/>
      <w:bookmarkStart w:id="1172" w:name="_Toc26615"/>
      <w:bookmarkStart w:id="1173" w:name="_Toc21054"/>
      <w:bookmarkStart w:id="1174" w:name="_Toc26798"/>
      <w:bookmarkStart w:id="1175" w:name="_Toc282787361"/>
      <w:bookmarkStart w:id="1176" w:name="_Toc5921"/>
      <w:bookmarkStart w:id="1177" w:name="_Toc233435934"/>
      <w:r>
        <w:rPr>
          <w:rFonts w:hint="eastAsia" w:ascii="Times New Roman" w:hAnsi="Times New Roman"/>
          <w:bCs w:val="0"/>
          <w:spacing w:val="0"/>
          <w:sz w:val="30"/>
          <w:szCs w:val="30"/>
        </w:rPr>
        <w:t>6</w:t>
      </w:r>
      <w:r>
        <w:rPr>
          <w:rFonts w:hint="eastAsia"/>
          <w:bCs w:val="0"/>
          <w:spacing w:val="0"/>
          <w:sz w:val="30"/>
          <w:szCs w:val="30"/>
        </w:rPr>
        <w:t>．评标</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p>
    <w:p>
      <w:pPr>
        <w:pStyle w:val="6"/>
        <w:spacing w:before="120" w:afterLines="50" w:line="420" w:lineRule="exact"/>
        <w:rPr>
          <w:rFonts w:ascii="黑体" w:eastAsia="黑体"/>
          <w:b w:val="0"/>
          <w:sz w:val="21"/>
          <w:szCs w:val="21"/>
        </w:rPr>
      </w:pPr>
      <w:bookmarkStart w:id="1178" w:name="_Toc7986"/>
      <w:bookmarkStart w:id="1179" w:name="_Toc8945"/>
      <w:bookmarkStart w:id="1180" w:name="_Toc5189"/>
      <w:bookmarkStart w:id="1181" w:name="_Toc420"/>
      <w:bookmarkStart w:id="1182" w:name="_Toc1421"/>
      <w:bookmarkStart w:id="1183" w:name="_Toc233435935"/>
      <w:bookmarkStart w:id="1184" w:name="_Toc10444"/>
      <w:bookmarkStart w:id="1185" w:name="_Toc29809"/>
      <w:bookmarkStart w:id="1186" w:name="_Toc27379"/>
      <w:bookmarkStart w:id="1187" w:name="_Toc233429718"/>
      <w:bookmarkStart w:id="1188" w:name="_Toc287853271"/>
      <w:bookmarkStart w:id="1189" w:name="_Toc17059"/>
      <w:bookmarkStart w:id="1190" w:name="_Toc21811"/>
      <w:bookmarkStart w:id="1191" w:name="_Toc19572"/>
      <w:bookmarkStart w:id="1192" w:name="_Toc17832"/>
      <w:bookmarkStart w:id="1193" w:name="_Toc283794119"/>
      <w:bookmarkStart w:id="1194" w:name="_Toc282778922"/>
      <w:bookmarkStart w:id="1195" w:name="_Toc6477"/>
      <w:bookmarkStart w:id="1196" w:name="_Toc282779431"/>
      <w:bookmarkStart w:id="1197" w:name="_Toc288546571"/>
      <w:bookmarkStart w:id="1198" w:name="_Toc233214777"/>
      <w:bookmarkStart w:id="1199" w:name="_Toc233290323"/>
      <w:bookmarkStart w:id="1200" w:name="_Toc13485"/>
      <w:bookmarkStart w:id="1201" w:name="_Toc24575"/>
      <w:bookmarkStart w:id="1202" w:name="_Toc14313"/>
      <w:bookmarkStart w:id="1203" w:name="_Toc233423208"/>
      <w:bookmarkStart w:id="1204" w:name="_Toc288491447"/>
      <w:bookmarkStart w:id="1205" w:name="_Toc282787362"/>
      <w:bookmarkStart w:id="1206" w:name="_Toc6544"/>
      <w:bookmarkStart w:id="1207" w:name="_Toc235846324"/>
      <w:bookmarkStart w:id="1208" w:name="_Toc20814"/>
      <w:bookmarkStart w:id="1209" w:name="_Toc10074"/>
      <w:r>
        <w:rPr>
          <w:rFonts w:hint="eastAsia" w:eastAsia="黑体"/>
          <w:sz w:val="21"/>
          <w:szCs w:val="21"/>
        </w:rPr>
        <w:t>6.1</w:t>
      </w:r>
      <w:r>
        <w:rPr>
          <w:rFonts w:hint="eastAsia" w:ascii="黑体" w:eastAsia="黑体"/>
          <w:b w:val="0"/>
          <w:sz w:val="21"/>
          <w:szCs w:val="21"/>
        </w:rPr>
        <w:t xml:space="preserve">  评标委员会</w:t>
      </w:r>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p>
    <w:p>
      <w:pPr>
        <w:spacing w:line="420" w:lineRule="exact"/>
        <w:ind w:firstLine="420" w:firstLineChars="200"/>
        <w:rPr>
          <w:szCs w:val="21"/>
        </w:rPr>
      </w:pPr>
      <w:bookmarkStart w:id="1210" w:name="_Toc233429719"/>
      <w:bookmarkStart w:id="1211" w:name="_Toc233435936"/>
      <w:bookmarkStart w:id="1212" w:name="_Toc235846325"/>
      <w:bookmarkStart w:id="1213" w:name="_Toc233423209"/>
      <w:bookmarkStart w:id="1214" w:name="_Toc233290324"/>
      <w:bookmarkStart w:id="1215" w:name="_Toc233214778"/>
      <w:r>
        <w:rPr>
          <w:szCs w:val="21"/>
        </w:rPr>
        <w:t>6.1.1 评标由招标人依法组建的评标委员会负责。评标委员会由有关技术、经济等方面的专家组成。评标委员会成员人数以及技术、经济等方面专家的确定方式见投标人须知前附表。</w:t>
      </w:r>
    </w:p>
    <w:p>
      <w:pPr>
        <w:spacing w:line="420" w:lineRule="exact"/>
        <w:ind w:firstLine="420" w:firstLineChars="200"/>
        <w:rPr>
          <w:szCs w:val="21"/>
        </w:rPr>
      </w:pPr>
      <w:r>
        <w:rPr>
          <w:szCs w:val="21"/>
        </w:rPr>
        <w:t>6.1.2 评标委员会成员有下列情形之一的，应当回避：</w:t>
      </w:r>
    </w:p>
    <w:p>
      <w:pPr>
        <w:spacing w:line="420" w:lineRule="exact"/>
        <w:ind w:firstLine="420" w:firstLineChars="200"/>
        <w:rPr>
          <w:szCs w:val="21"/>
        </w:rPr>
      </w:pPr>
      <w:bookmarkStart w:id="1216" w:name="_Toc288491448"/>
      <w:bookmarkStart w:id="1217" w:name="_Toc160"/>
      <w:bookmarkStart w:id="1218" w:name="_Toc283794120"/>
      <w:bookmarkStart w:id="1219" w:name="_Toc282779432"/>
      <w:bookmarkStart w:id="1220" w:name="_Toc287853272"/>
      <w:bookmarkStart w:id="1221" w:name="_Toc288546572"/>
      <w:bookmarkStart w:id="1222" w:name="_Toc282787363"/>
      <w:bookmarkStart w:id="1223" w:name="_Toc282778923"/>
      <w:r>
        <w:rPr>
          <w:szCs w:val="21"/>
        </w:rPr>
        <w:t>（1）招标人或投标人的主要负责人的近亲属；</w:t>
      </w:r>
    </w:p>
    <w:p>
      <w:pPr>
        <w:spacing w:line="420" w:lineRule="exact"/>
        <w:ind w:firstLine="420" w:firstLineChars="200"/>
        <w:rPr>
          <w:szCs w:val="21"/>
        </w:rPr>
      </w:pPr>
      <w:r>
        <w:rPr>
          <w:szCs w:val="21"/>
        </w:rPr>
        <w:t>（2）项目主管部门或者行政监督部门的人员；</w:t>
      </w:r>
    </w:p>
    <w:p>
      <w:pPr>
        <w:spacing w:line="420" w:lineRule="exact"/>
        <w:ind w:firstLine="420" w:firstLineChars="200"/>
        <w:rPr>
          <w:szCs w:val="21"/>
        </w:rPr>
      </w:pPr>
      <w:r>
        <w:rPr>
          <w:szCs w:val="21"/>
        </w:rPr>
        <w:t>（3）与投标人有经济利益关系，可能影响对投标公正评审的；</w:t>
      </w:r>
    </w:p>
    <w:p>
      <w:pPr>
        <w:spacing w:line="420" w:lineRule="exact"/>
        <w:ind w:firstLine="420" w:firstLineChars="200"/>
        <w:rPr>
          <w:szCs w:val="21"/>
        </w:rPr>
      </w:pPr>
      <w:r>
        <w:rPr>
          <w:szCs w:val="21"/>
        </w:rPr>
        <w:t>（4）曾因在招标、评标以及其它与招标投标有关活动中从事违法行为而受过行政处罚或刑事处罚的。</w:t>
      </w:r>
    </w:p>
    <w:p>
      <w:pPr>
        <w:pStyle w:val="6"/>
        <w:spacing w:beforeLines="50" w:afterLines="50" w:line="420" w:lineRule="exact"/>
        <w:rPr>
          <w:rFonts w:ascii="黑体" w:eastAsia="黑体"/>
          <w:b w:val="0"/>
          <w:sz w:val="21"/>
          <w:szCs w:val="21"/>
        </w:rPr>
      </w:pPr>
      <w:bookmarkStart w:id="1224" w:name="_Toc3872"/>
      <w:bookmarkStart w:id="1225" w:name="_Toc242"/>
      <w:bookmarkStart w:id="1226" w:name="_Toc12277"/>
      <w:bookmarkStart w:id="1227" w:name="_Toc16571"/>
      <w:bookmarkStart w:id="1228" w:name="_Toc13685"/>
      <w:bookmarkStart w:id="1229" w:name="_Toc13160"/>
      <w:bookmarkStart w:id="1230" w:name="_Toc29190"/>
      <w:bookmarkStart w:id="1231" w:name="_Toc14989"/>
      <w:bookmarkStart w:id="1232" w:name="_Toc13501"/>
      <w:bookmarkStart w:id="1233" w:name="_Toc4425"/>
      <w:bookmarkStart w:id="1234" w:name="_Toc3454"/>
      <w:bookmarkStart w:id="1235" w:name="_Toc22138"/>
      <w:bookmarkStart w:id="1236" w:name="_Toc11994"/>
      <w:bookmarkStart w:id="1237" w:name="_Toc23086"/>
      <w:bookmarkStart w:id="1238" w:name="_Toc8572"/>
      <w:bookmarkStart w:id="1239" w:name="_Toc9250"/>
      <w:bookmarkStart w:id="1240" w:name="_Toc3583"/>
      <w:bookmarkStart w:id="1241" w:name="_Toc13163"/>
      <w:r>
        <w:rPr>
          <w:rFonts w:hint="eastAsia" w:eastAsia="黑体"/>
          <w:sz w:val="21"/>
          <w:szCs w:val="21"/>
        </w:rPr>
        <w:t>6.2</w:t>
      </w:r>
      <w:r>
        <w:rPr>
          <w:rFonts w:hint="eastAsia" w:ascii="黑体" w:eastAsia="黑体"/>
          <w:b w:val="0"/>
          <w:sz w:val="21"/>
          <w:szCs w:val="21"/>
        </w:rPr>
        <w:t xml:space="preserve">  评标原则</w:t>
      </w:r>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p>
    <w:p>
      <w:pPr>
        <w:spacing w:line="420" w:lineRule="exact"/>
        <w:ind w:firstLine="420" w:firstLineChars="200"/>
        <w:rPr>
          <w:szCs w:val="21"/>
        </w:rPr>
      </w:pPr>
      <w:r>
        <w:rPr>
          <w:rFonts w:hint="eastAsia"/>
          <w:szCs w:val="21"/>
        </w:rPr>
        <w:t>评标活动遵循公平、公正、科学和择优的原则。</w:t>
      </w:r>
    </w:p>
    <w:p>
      <w:pPr>
        <w:pStyle w:val="6"/>
        <w:spacing w:beforeLines="50" w:afterLines="50" w:line="420" w:lineRule="exact"/>
        <w:rPr>
          <w:rFonts w:ascii="黑体" w:eastAsia="黑体"/>
          <w:b w:val="0"/>
          <w:sz w:val="21"/>
          <w:szCs w:val="21"/>
        </w:rPr>
      </w:pPr>
      <w:bookmarkStart w:id="1242" w:name="_Toc287853273"/>
      <w:bookmarkStart w:id="1243" w:name="_Toc8081"/>
      <w:bookmarkStart w:id="1244" w:name="_Toc9981"/>
      <w:bookmarkStart w:id="1245" w:name="_Toc22040"/>
      <w:bookmarkStart w:id="1246" w:name="_Toc282778924"/>
      <w:bookmarkStart w:id="1247" w:name="_Toc288546573"/>
      <w:bookmarkStart w:id="1248" w:name="_Toc8707"/>
      <w:bookmarkStart w:id="1249" w:name="_Toc29322"/>
      <w:bookmarkStart w:id="1250" w:name="_Toc10844"/>
      <w:bookmarkStart w:id="1251" w:name="_Toc5268"/>
      <w:bookmarkStart w:id="1252" w:name="_Toc2118"/>
      <w:bookmarkStart w:id="1253" w:name="_Toc5810"/>
      <w:bookmarkStart w:id="1254" w:name="_Toc763"/>
      <w:bookmarkStart w:id="1255" w:name="_Toc27268"/>
      <w:bookmarkStart w:id="1256" w:name="_Toc288491449"/>
      <w:bookmarkStart w:id="1257" w:name="_Toc282787364"/>
      <w:bookmarkStart w:id="1258" w:name="_Toc233214779"/>
      <w:bookmarkStart w:id="1259" w:name="_Toc20552"/>
      <w:bookmarkStart w:id="1260" w:name="_Toc283794121"/>
      <w:bookmarkStart w:id="1261" w:name="_Toc22104"/>
      <w:bookmarkStart w:id="1262" w:name="_Toc235846326"/>
      <w:bookmarkStart w:id="1263" w:name="_Toc24321"/>
      <w:bookmarkStart w:id="1264" w:name="_Toc233429720"/>
      <w:bookmarkStart w:id="1265" w:name="_Toc17918"/>
      <w:bookmarkStart w:id="1266" w:name="_Toc6095"/>
      <w:bookmarkStart w:id="1267" w:name="_Toc282779433"/>
      <w:bookmarkStart w:id="1268" w:name="_Toc233290325"/>
      <w:bookmarkStart w:id="1269" w:name="_Toc233435937"/>
      <w:bookmarkStart w:id="1270" w:name="_Toc2154"/>
      <w:bookmarkStart w:id="1271" w:name="_Toc233423210"/>
      <w:bookmarkStart w:id="1272" w:name="_Toc20450"/>
      <w:bookmarkStart w:id="1273" w:name="_Toc13419"/>
      <w:r>
        <w:rPr>
          <w:rFonts w:hint="eastAsia" w:eastAsia="黑体"/>
          <w:sz w:val="21"/>
          <w:szCs w:val="21"/>
        </w:rPr>
        <w:t>6.3</w:t>
      </w:r>
      <w:r>
        <w:rPr>
          <w:rFonts w:hint="eastAsia" w:ascii="黑体" w:eastAsia="黑体"/>
          <w:b w:val="0"/>
          <w:sz w:val="21"/>
          <w:szCs w:val="21"/>
        </w:rPr>
        <w:t xml:space="preserve">  评标</w:t>
      </w:r>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p>
    <w:p>
      <w:pPr>
        <w:spacing w:line="420" w:lineRule="exact"/>
        <w:ind w:firstLine="420" w:firstLineChars="200"/>
        <w:rPr>
          <w:szCs w:val="21"/>
        </w:rPr>
      </w:pPr>
      <w:r>
        <w:rPr>
          <w:rFonts w:hint="eastAsia"/>
          <w:szCs w:val="21"/>
        </w:rPr>
        <w:t>评标委员会按照第三章“评标办法”规定的方法、评审因素、标准和程序对投标文件进行评审。第三章“评标办法”没有规定的方法、评审因素和标准，不作为评标依据。</w:t>
      </w:r>
    </w:p>
    <w:p>
      <w:pPr>
        <w:pStyle w:val="5"/>
        <w:spacing w:before="120" w:afterLines="50" w:line="420" w:lineRule="exact"/>
        <w:rPr>
          <w:bCs w:val="0"/>
          <w:spacing w:val="0"/>
          <w:sz w:val="30"/>
          <w:szCs w:val="30"/>
        </w:rPr>
      </w:pPr>
      <w:bookmarkStart w:id="1274" w:name="_Toc282787365"/>
      <w:bookmarkStart w:id="1275" w:name="_Toc5721"/>
      <w:bookmarkStart w:id="1276" w:name="_Toc5125"/>
      <w:bookmarkStart w:id="1277" w:name="_Toc233214780"/>
      <w:bookmarkStart w:id="1278" w:name="_Toc4253"/>
      <w:bookmarkStart w:id="1279" w:name="_Toc27660"/>
      <w:bookmarkStart w:id="1280" w:name="_Toc282778925"/>
      <w:bookmarkStart w:id="1281" w:name="_Toc26349"/>
      <w:bookmarkStart w:id="1282" w:name="_Toc30480"/>
      <w:bookmarkStart w:id="1283" w:name="_Toc6945"/>
      <w:bookmarkStart w:id="1284" w:name="_Toc8860"/>
      <w:bookmarkStart w:id="1285" w:name="_Toc282779434"/>
      <w:bookmarkStart w:id="1286" w:name="_Toc233290326"/>
      <w:bookmarkStart w:id="1287" w:name="_Toc27871"/>
      <w:bookmarkStart w:id="1288" w:name="_Toc288546574"/>
      <w:bookmarkStart w:id="1289" w:name="_Toc24646"/>
      <w:bookmarkStart w:id="1290" w:name="_Toc25020"/>
      <w:bookmarkStart w:id="1291" w:name="_Toc283794122"/>
      <w:bookmarkStart w:id="1292" w:name="_Toc233423211"/>
      <w:bookmarkStart w:id="1293" w:name="_Toc235846327"/>
      <w:bookmarkStart w:id="1294" w:name="_Toc233429721"/>
      <w:bookmarkStart w:id="1295" w:name="_Toc287853274"/>
      <w:bookmarkStart w:id="1296" w:name="_Toc233435938"/>
      <w:bookmarkStart w:id="1297" w:name="_Toc19714"/>
      <w:bookmarkStart w:id="1298" w:name="_Toc23719"/>
      <w:bookmarkStart w:id="1299" w:name="_Toc23894"/>
      <w:bookmarkStart w:id="1300" w:name="_Toc15068"/>
      <w:bookmarkStart w:id="1301" w:name="_Toc24964"/>
      <w:bookmarkStart w:id="1302" w:name="_Toc288491450"/>
      <w:bookmarkStart w:id="1303" w:name="_Toc26135"/>
      <w:bookmarkStart w:id="1304" w:name="_Toc21270"/>
      <w:bookmarkStart w:id="1305" w:name="_Toc30469"/>
      <w:r>
        <w:rPr>
          <w:rFonts w:hint="eastAsia" w:ascii="Times New Roman" w:hAnsi="Times New Roman"/>
          <w:bCs w:val="0"/>
          <w:spacing w:val="0"/>
          <w:sz w:val="30"/>
          <w:szCs w:val="30"/>
        </w:rPr>
        <w:t>7</w:t>
      </w:r>
      <w:r>
        <w:rPr>
          <w:rFonts w:hint="eastAsia"/>
          <w:bCs w:val="0"/>
          <w:spacing w:val="0"/>
          <w:sz w:val="30"/>
          <w:szCs w:val="30"/>
        </w:rPr>
        <w:t>．合同授予</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p>
    <w:p>
      <w:pPr>
        <w:pStyle w:val="6"/>
        <w:spacing w:before="120" w:afterLines="50" w:line="420" w:lineRule="exact"/>
        <w:rPr>
          <w:rFonts w:ascii="黑体" w:eastAsia="黑体"/>
          <w:b w:val="0"/>
          <w:sz w:val="21"/>
          <w:szCs w:val="21"/>
        </w:rPr>
      </w:pPr>
      <w:bookmarkStart w:id="1306" w:name="_Toc233423212"/>
      <w:bookmarkStart w:id="1307" w:name="_Toc9581"/>
      <w:bookmarkStart w:id="1308" w:name="_Toc288491451"/>
      <w:bookmarkStart w:id="1309" w:name="_Toc380"/>
      <w:bookmarkStart w:id="1310" w:name="_Toc7031"/>
      <w:bookmarkStart w:id="1311" w:name="_Toc287853275"/>
      <w:bookmarkStart w:id="1312" w:name="_Toc14522"/>
      <w:bookmarkStart w:id="1313" w:name="_Toc233290327"/>
      <w:bookmarkStart w:id="1314" w:name="_Toc233429722"/>
      <w:bookmarkStart w:id="1315" w:name="_Toc233435939"/>
      <w:bookmarkStart w:id="1316" w:name="_Toc288546575"/>
      <w:bookmarkStart w:id="1317" w:name="_Toc13795"/>
      <w:bookmarkStart w:id="1318" w:name="_Toc803"/>
      <w:bookmarkStart w:id="1319" w:name="_Toc10007"/>
      <w:bookmarkStart w:id="1320" w:name="_Toc13595"/>
      <w:bookmarkStart w:id="1321" w:name="_Toc12220"/>
      <w:bookmarkStart w:id="1322" w:name="_Toc20331"/>
      <w:bookmarkStart w:id="1323" w:name="_Toc282778926"/>
      <w:bookmarkStart w:id="1324" w:name="_Toc282787366"/>
      <w:bookmarkStart w:id="1325" w:name="_Toc235846328"/>
      <w:bookmarkStart w:id="1326" w:name="_Toc20169"/>
      <w:bookmarkStart w:id="1327" w:name="_Toc7864"/>
      <w:bookmarkStart w:id="1328" w:name="_Toc15524"/>
      <w:bookmarkStart w:id="1329" w:name="_Toc17217"/>
      <w:bookmarkStart w:id="1330" w:name="_Toc31198"/>
      <w:bookmarkStart w:id="1331" w:name="_Toc283794123"/>
      <w:bookmarkStart w:id="1332" w:name="_Toc16813"/>
      <w:bookmarkStart w:id="1333" w:name="_Toc233214781"/>
      <w:bookmarkStart w:id="1334" w:name="_Toc282779435"/>
      <w:bookmarkStart w:id="1335" w:name="_Toc19150"/>
      <w:bookmarkStart w:id="1336" w:name="_Toc32330"/>
      <w:bookmarkStart w:id="1337" w:name="_Toc20464"/>
      <w:r>
        <w:rPr>
          <w:rFonts w:hint="eastAsia" w:eastAsia="黑体"/>
          <w:sz w:val="21"/>
          <w:szCs w:val="21"/>
        </w:rPr>
        <w:t>7.1</w:t>
      </w:r>
      <w:r>
        <w:rPr>
          <w:rFonts w:hint="eastAsia" w:ascii="黑体" w:eastAsia="黑体"/>
          <w:b w:val="0"/>
          <w:sz w:val="21"/>
          <w:szCs w:val="21"/>
        </w:rPr>
        <w:t xml:space="preserve">  定标方式</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p>
    <w:p>
      <w:pPr>
        <w:spacing w:line="300" w:lineRule="exact"/>
        <w:ind w:left="479" w:leftChars="228"/>
        <w:rPr>
          <w:szCs w:val="21"/>
        </w:rPr>
      </w:pPr>
      <w:r>
        <w:rPr>
          <w:rFonts w:hint="eastAsia"/>
          <w:szCs w:val="21"/>
        </w:rPr>
        <w:t>除投标人须知前附表规定评标委员会直接确定中标人外，招标人依据评标委员会推</w:t>
      </w:r>
    </w:p>
    <w:bookmarkEnd w:id="1210"/>
    <w:bookmarkEnd w:id="1211"/>
    <w:bookmarkEnd w:id="1212"/>
    <w:bookmarkEnd w:id="1213"/>
    <w:bookmarkEnd w:id="1214"/>
    <w:bookmarkEnd w:id="1215"/>
    <w:p>
      <w:pPr>
        <w:spacing w:line="420" w:lineRule="exact"/>
        <w:rPr>
          <w:szCs w:val="21"/>
        </w:rPr>
      </w:pPr>
      <w:r>
        <w:rPr>
          <w:rFonts w:hint="eastAsia"/>
          <w:szCs w:val="21"/>
        </w:rPr>
        <w:t>荐的中标候选人确定中标人，评标委员会推荐中标候选人的人数见投标人须知前附表。</w:t>
      </w:r>
    </w:p>
    <w:p>
      <w:pPr>
        <w:pStyle w:val="6"/>
        <w:spacing w:beforeLines="50" w:afterLines="50" w:line="420" w:lineRule="exact"/>
        <w:rPr>
          <w:rFonts w:ascii="黑体" w:eastAsia="黑体"/>
          <w:b w:val="0"/>
          <w:sz w:val="21"/>
          <w:szCs w:val="21"/>
        </w:rPr>
      </w:pPr>
      <w:bookmarkStart w:id="1338" w:name="_Toc282787367"/>
      <w:bookmarkStart w:id="1339" w:name="_Toc10626"/>
      <w:bookmarkStart w:id="1340" w:name="_Toc1244"/>
      <w:bookmarkStart w:id="1341" w:name="_Toc23940"/>
      <w:bookmarkStart w:id="1342" w:name="_Toc23201"/>
      <w:bookmarkStart w:id="1343" w:name="_Toc288491452"/>
      <w:bookmarkStart w:id="1344" w:name="_Toc16619"/>
      <w:bookmarkStart w:id="1345" w:name="_Toc15036"/>
      <w:bookmarkStart w:id="1346" w:name="_Toc282779436"/>
      <w:bookmarkStart w:id="1347" w:name="_Toc233429723"/>
      <w:bookmarkStart w:id="1348" w:name="_Toc7536"/>
      <w:bookmarkStart w:id="1349" w:name="_Toc288546576"/>
      <w:bookmarkStart w:id="1350" w:name="_Toc25803"/>
      <w:bookmarkStart w:id="1351" w:name="_Toc13330"/>
      <w:bookmarkStart w:id="1352" w:name="_Toc233435940"/>
      <w:bookmarkStart w:id="1353" w:name="_Toc26107"/>
      <w:bookmarkStart w:id="1354" w:name="_Toc28912"/>
      <w:bookmarkStart w:id="1355" w:name="_Toc283794124"/>
      <w:bookmarkStart w:id="1356" w:name="_Toc9229"/>
      <w:bookmarkStart w:id="1357" w:name="_Toc287853276"/>
      <w:bookmarkStart w:id="1358" w:name="_Toc233214782"/>
      <w:bookmarkStart w:id="1359" w:name="_Toc14048"/>
      <w:bookmarkStart w:id="1360" w:name="_Toc282778927"/>
      <w:bookmarkStart w:id="1361" w:name="_Toc16033"/>
      <w:bookmarkStart w:id="1362" w:name="_Toc233290328"/>
      <w:bookmarkStart w:id="1363" w:name="_Toc13659"/>
      <w:bookmarkStart w:id="1364" w:name="_Toc235846329"/>
      <w:bookmarkStart w:id="1365" w:name="_Toc233423213"/>
      <w:bookmarkStart w:id="1366" w:name="_Toc29449"/>
      <w:bookmarkStart w:id="1367" w:name="_Toc13509"/>
      <w:bookmarkStart w:id="1368" w:name="_Toc11173"/>
      <w:bookmarkStart w:id="1369" w:name="_Toc1643"/>
      <w:r>
        <w:rPr>
          <w:rFonts w:hint="eastAsia" w:eastAsia="黑体"/>
          <w:sz w:val="21"/>
          <w:szCs w:val="21"/>
        </w:rPr>
        <w:t>7.2</w:t>
      </w:r>
      <w:r>
        <w:rPr>
          <w:rFonts w:hint="eastAsia" w:ascii="黑体" w:eastAsia="黑体"/>
          <w:b w:val="0"/>
          <w:sz w:val="21"/>
          <w:szCs w:val="21"/>
        </w:rPr>
        <w:t xml:space="preserve">  中标通知</w:t>
      </w:r>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p>
    <w:p>
      <w:pPr>
        <w:spacing w:line="420" w:lineRule="exact"/>
        <w:ind w:firstLine="420" w:firstLineChars="200"/>
        <w:rPr>
          <w:szCs w:val="21"/>
        </w:rPr>
      </w:pPr>
      <w:bookmarkStart w:id="1370" w:name="_Toc233290329"/>
      <w:bookmarkStart w:id="1371" w:name="_Toc233435941"/>
      <w:bookmarkStart w:id="1372" w:name="_Toc7966"/>
      <w:bookmarkStart w:id="1373" w:name="_Toc288546577"/>
      <w:bookmarkStart w:id="1374" w:name="_Toc233423214"/>
      <w:bookmarkStart w:id="1375" w:name="_Toc233214783"/>
      <w:bookmarkStart w:id="1376" w:name="_Toc235846330"/>
      <w:bookmarkStart w:id="1377" w:name="_Toc282779437"/>
      <w:bookmarkStart w:id="1378" w:name="_Toc288491453"/>
      <w:bookmarkStart w:id="1379" w:name="_Toc283794125"/>
      <w:bookmarkStart w:id="1380" w:name="_Toc233429724"/>
      <w:bookmarkStart w:id="1381" w:name="_Toc287853277"/>
      <w:bookmarkStart w:id="1382" w:name="_Toc282778928"/>
      <w:bookmarkStart w:id="1383" w:name="_Toc282787368"/>
      <w:r>
        <w:rPr>
          <w:rFonts w:hint="eastAsia"/>
          <w:szCs w:val="21"/>
        </w:rPr>
        <w:t>在本章第3.3款规定的投标有效期内，招标人以书面形式向中标人发出中标通知书，同时将中标结果通知未中标的投标人。</w:t>
      </w:r>
    </w:p>
    <w:p>
      <w:pPr>
        <w:pStyle w:val="6"/>
        <w:spacing w:beforeLines="50" w:afterLines="50" w:line="420" w:lineRule="exact"/>
        <w:rPr>
          <w:rFonts w:ascii="黑体" w:eastAsia="黑体"/>
          <w:b w:val="0"/>
          <w:sz w:val="21"/>
          <w:szCs w:val="21"/>
        </w:rPr>
      </w:pPr>
      <w:bookmarkStart w:id="1384" w:name="_Toc26457"/>
      <w:bookmarkStart w:id="1385" w:name="_Toc19467"/>
      <w:bookmarkStart w:id="1386" w:name="_Toc28017"/>
      <w:bookmarkStart w:id="1387" w:name="_Toc13137"/>
      <w:bookmarkStart w:id="1388" w:name="_Toc21127"/>
      <w:bookmarkStart w:id="1389" w:name="_Toc23056"/>
      <w:bookmarkStart w:id="1390" w:name="_Toc28638"/>
      <w:bookmarkStart w:id="1391" w:name="_Toc26869"/>
      <w:bookmarkStart w:id="1392" w:name="_Toc16701"/>
      <w:bookmarkStart w:id="1393" w:name="_Toc28220"/>
      <w:bookmarkStart w:id="1394" w:name="_Toc26331"/>
      <w:bookmarkStart w:id="1395" w:name="_Toc4204"/>
      <w:bookmarkStart w:id="1396" w:name="_Toc15213"/>
      <w:bookmarkStart w:id="1397" w:name="_Toc14990"/>
      <w:bookmarkStart w:id="1398" w:name="_Toc21930"/>
      <w:bookmarkStart w:id="1399" w:name="_Toc64"/>
      <w:bookmarkStart w:id="1400" w:name="_Toc658"/>
      <w:bookmarkStart w:id="1401" w:name="_Toc12801"/>
      <w:r>
        <w:rPr>
          <w:rFonts w:hint="eastAsia" w:eastAsia="黑体"/>
          <w:sz w:val="21"/>
          <w:szCs w:val="21"/>
        </w:rPr>
        <w:t>7.3</w:t>
      </w:r>
      <w:r>
        <w:rPr>
          <w:rFonts w:hint="eastAsia" w:ascii="黑体" w:eastAsia="黑体"/>
          <w:b w:val="0"/>
          <w:sz w:val="21"/>
          <w:szCs w:val="21"/>
        </w:rPr>
        <w:t xml:space="preserve">  履约担保</w:t>
      </w:r>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p>
    <w:p>
      <w:pPr>
        <w:spacing w:line="420" w:lineRule="exact"/>
        <w:ind w:firstLine="420" w:firstLineChars="200"/>
        <w:rPr>
          <w:szCs w:val="21"/>
        </w:rPr>
      </w:pPr>
      <w:bookmarkStart w:id="1402" w:name="_Toc233435942"/>
      <w:bookmarkStart w:id="1403" w:name="_Toc233290330"/>
      <w:bookmarkStart w:id="1404" w:name="_Toc235846331"/>
      <w:bookmarkStart w:id="1405" w:name="_Toc233423215"/>
      <w:bookmarkStart w:id="1406" w:name="_Toc233429725"/>
      <w:bookmarkStart w:id="1407" w:name="_Toc233214784"/>
      <w:r>
        <w:rPr>
          <w:rFonts w:hint="eastAsia"/>
          <w:szCs w:val="21"/>
        </w:rPr>
        <w:t>7.3.1  在签订合同前，中标人应按投标人须知前附表规定的金额、担保形式和招标文件第四章“合同条款及格式”规定的履约担保格式向招标人提交履约担保。</w:t>
      </w:r>
    </w:p>
    <w:p>
      <w:pPr>
        <w:spacing w:line="420" w:lineRule="exact"/>
        <w:ind w:firstLine="420" w:firstLineChars="200"/>
        <w:rPr>
          <w:szCs w:val="21"/>
        </w:rPr>
      </w:pPr>
      <w:r>
        <w:rPr>
          <w:rFonts w:hint="eastAsia"/>
          <w:szCs w:val="21"/>
        </w:rPr>
        <w:t>7.3.2  中标人不能按本章第7.3.1项要求提交履约担保的，视为放弃中标。</w:t>
      </w:r>
    </w:p>
    <w:p>
      <w:pPr>
        <w:pStyle w:val="6"/>
        <w:spacing w:beforeLines="50" w:afterLines="50" w:line="420" w:lineRule="exact"/>
        <w:rPr>
          <w:rFonts w:ascii="黑体" w:eastAsia="黑体"/>
          <w:b w:val="0"/>
          <w:sz w:val="21"/>
          <w:szCs w:val="21"/>
        </w:rPr>
      </w:pPr>
      <w:bookmarkStart w:id="1408" w:name="_Toc282778929"/>
      <w:bookmarkStart w:id="1409" w:name="_Toc4490"/>
      <w:bookmarkStart w:id="1410" w:name="_Toc17960"/>
      <w:bookmarkStart w:id="1411" w:name="_Toc288491454"/>
      <w:bookmarkStart w:id="1412" w:name="_Toc287853278"/>
      <w:bookmarkStart w:id="1413" w:name="_Toc288546578"/>
      <w:bookmarkStart w:id="1414" w:name="_Toc20791"/>
      <w:bookmarkStart w:id="1415" w:name="_Toc13194"/>
      <w:bookmarkStart w:id="1416" w:name="_Toc17692"/>
      <w:bookmarkStart w:id="1417" w:name="_Toc24424"/>
      <w:bookmarkStart w:id="1418" w:name="_Toc12327"/>
      <w:bookmarkStart w:id="1419" w:name="_Toc13640"/>
      <w:bookmarkStart w:id="1420" w:name="_Toc19405"/>
      <w:bookmarkStart w:id="1421" w:name="_Toc20992"/>
      <w:bookmarkStart w:id="1422" w:name="_Toc15513"/>
      <w:bookmarkStart w:id="1423" w:name="_Toc17018"/>
      <w:bookmarkStart w:id="1424" w:name="_Toc282779438"/>
      <w:bookmarkStart w:id="1425" w:name="_Toc18505"/>
      <w:bookmarkStart w:id="1426" w:name="_Toc282787369"/>
      <w:bookmarkStart w:id="1427" w:name="_Toc29590"/>
      <w:bookmarkStart w:id="1428" w:name="_Toc15859"/>
      <w:bookmarkStart w:id="1429" w:name="_Toc283794126"/>
      <w:bookmarkStart w:id="1430" w:name="_Toc22475"/>
      <w:bookmarkStart w:id="1431" w:name="_Toc4879"/>
      <w:bookmarkStart w:id="1432" w:name="_Toc31828"/>
      <w:bookmarkStart w:id="1433" w:name="_Toc27943"/>
      <w:r>
        <w:rPr>
          <w:rFonts w:hint="eastAsia" w:eastAsia="黑体"/>
          <w:sz w:val="21"/>
          <w:szCs w:val="21"/>
        </w:rPr>
        <w:t>7.4</w:t>
      </w:r>
      <w:r>
        <w:rPr>
          <w:rFonts w:hint="eastAsia" w:ascii="黑体" w:eastAsia="黑体"/>
          <w:b w:val="0"/>
          <w:sz w:val="21"/>
          <w:szCs w:val="21"/>
        </w:rPr>
        <w:t xml:space="preserve">  签订合同</w:t>
      </w:r>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p>
    <w:p>
      <w:pPr>
        <w:spacing w:line="420" w:lineRule="exact"/>
        <w:ind w:firstLine="420" w:firstLineChars="200"/>
        <w:rPr>
          <w:szCs w:val="21"/>
        </w:rPr>
      </w:pPr>
      <w:r>
        <w:rPr>
          <w:rFonts w:hint="eastAsia"/>
          <w:szCs w:val="21"/>
        </w:rPr>
        <w:t>7.4.1  招标人和中标人应当自中标通知书发出之日起30天内，根据招标文件和中标人的投标文件订立书面合同。</w:t>
      </w:r>
      <w:r>
        <w:rPr>
          <w:rFonts w:hint="eastAsia" w:ascii="宋体" w:hAnsi="宋体"/>
          <w:szCs w:val="21"/>
        </w:rPr>
        <w:t>发出中标通知书后，</w:t>
      </w:r>
      <w:r>
        <w:rPr>
          <w:rFonts w:hint="eastAsia"/>
          <w:szCs w:val="21"/>
        </w:rPr>
        <w:t>中标人无正当理由拒签合同的</w:t>
      </w:r>
      <w:r>
        <w:rPr>
          <w:rFonts w:hint="eastAsia" w:ascii="宋体" w:hAnsi="宋体"/>
          <w:szCs w:val="21"/>
        </w:rPr>
        <w:t>，在签订合同时向招标人提出附加条件，</w:t>
      </w:r>
      <w:r>
        <w:rPr>
          <w:rFonts w:hint="eastAsia"/>
          <w:szCs w:val="21"/>
        </w:rPr>
        <w:t>招标人取消其中标资格；给招标人造成的损失超过的，中标人应当予以赔偿。</w:t>
      </w:r>
    </w:p>
    <w:p>
      <w:pPr>
        <w:spacing w:line="420" w:lineRule="exact"/>
        <w:ind w:firstLine="420" w:firstLineChars="200"/>
        <w:rPr>
          <w:szCs w:val="21"/>
        </w:rPr>
      </w:pPr>
      <w:r>
        <w:rPr>
          <w:rFonts w:hint="eastAsia"/>
          <w:szCs w:val="21"/>
        </w:rPr>
        <w:t>7.4.2  发出中标通知书后，招标人无正当理由拒签合同的，给中标人造成损失的，应当赔偿损失。</w:t>
      </w:r>
    </w:p>
    <w:p>
      <w:pPr>
        <w:spacing w:line="420" w:lineRule="exact"/>
        <w:ind w:firstLine="420" w:firstLineChars="200"/>
        <w:rPr>
          <w:szCs w:val="21"/>
        </w:rPr>
      </w:pPr>
      <w:r>
        <w:rPr>
          <w:rFonts w:hint="eastAsia"/>
          <w:szCs w:val="21"/>
        </w:rPr>
        <w:t>7.4.3  签约合同价的确定原则如下：</w:t>
      </w:r>
    </w:p>
    <w:p>
      <w:pPr>
        <w:spacing w:line="420" w:lineRule="exact"/>
        <w:ind w:firstLine="420" w:firstLineChars="200"/>
        <w:rPr>
          <w:szCs w:val="21"/>
        </w:rPr>
      </w:pPr>
      <w:r>
        <w:rPr>
          <w:rFonts w:hint="eastAsia"/>
          <w:szCs w:val="21"/>
        </w:rPr>
        <w:t>（1）按照评标办法规定对投标报价进行修正后，若修正后的最终报价小于开标时的投标函文字报价，则签订合同时以修正后的最终投标报价为准；</w:t>
      </w:r>
    </w:p>
    <w:p>
      <w:pPr>
        <w:spacing w:line="420" w:lineRule="exact"/>
        <w:ind w:firstLine="420" w:firstLineChars="200"/>
        <w:rPr>
          <w:szCs w:val="21"/>
        </w:rPr>
      </w:pPr>
      <w:r>
        <w:rPr>
          <w:rFonts w:hint="eastAsia"/>
          <w:szCs w:val="21"/>
        </w:rPr>
        <w:t>（2）按照评标办法规定对投标报价进行修正后若修正后的最终报价大于开标时的投标函文字报价，则签订合同时以开标时的投标函文字报价为准，同时按比例修正相应子目的单价或合价。</w:t>
      </w:r>
    </w:p>
    <w:p>
      <w:pPr>
        <w:spacing w:line="420" w:lineRule="exact"/>
        <w:ind w:firstLine="420" w:firstLineChars="200"/>
        <w:rPr>
          <w:szCs w:val="21"/>
        </w:rPr>
      </w:pPr>
      <w:r>
        <w:rPr>
          <w:rFonts w:hint="eastAsia"/>
          <w:szCs w:val="21"/>
        </w:rPr>
        <w:t>7.4.4  合同协议书经双方法定代表人或其授权的代理人签署并加盖单位章后生效。若为联合体投标，则联合体各成员的法定代表人或其授权的代理人都应在合同协议书上签署并加盖单位章。发包人和中标人在签订合同协议书的同时需按照本招标文件规定的格式和要求签订廉政合同及安全生产合同，明确双方在廉政建设和安全生产方面的权利和义务以及应承担的违约责任。</w:t>
      </w:r>
    </w:p>
    <w:p>
      <w:pPr>
        <w:spacing w:line="420" w:lineRule="exact"/>
        <w:ind w:firstLine="420" w:firstLineChars="200"/>
        <w:rPr>
          <w:szCs w:val="21"/>
        </w:rPr>
      </w:pPr>
      <w:r>
        <w:rPr>
          <w:rFonts w:hint="eastAsia"/>
          <w:szCs w:val="21"/>
        </w:rPr>
        <w:t>7.4.5  如果根据本章第3.5.3项（适用于已进行资格预审的）、第3.5.8项（适用于未进行资格预审的）、第7.3.2项或第7.4.1项规定，招标人取消了中标人的招标资格，在此情况下可将合同授予下一个中标候选人，或者按规定重新组织招标。</w:t>
      </w:r>
    </w:p>
    <w:p>
      <w:pPr>
        <w:pStyle w:val="5"/>
        <w:spacing w:before="120" w:afterLines="50" w:line="420" w:lineRule="exact"/>
        <w:rPr>
          <w:bCs w:val="0"/>
          <w:spacing w:val="0"/>
          <w:sz w:val="30"/>
          <w:szCs w:val="30"/>
        </w:rPr>
      </w:pPr>
      <w:bookmarkStart w:id="1434" w:name="_Toc3755"/>
      <w:bookmarkStart w:id="1435" w:name="_Toc14382"/>
      <w:bookmarkStart w:id="1436" w:name="_Toc3672"/>
      <w:bookmarkStart w:id="1437" w:name="_Toc233214785"/>
      <w:bookmarkStart w:id="1438" w:name="_Toc18857"/>
      <w:bookmarkStart w:id="1439" w:name="_Toc1072"/>
      <w:bookmarkStart w:id="1440" w:name="_Toc282779439"/>
      <w:bookmarkStart w:id="1441" w:name="_Toc233290331"/>
      <w:bookmarkStart w:id="1442" w:name="_Toc287853279"/>
      <w:bookmarkStart w:id="1443" w:name="_Toc27595"/>
      <w:bookmarkStart w:id="1444" w:name="_Toc283794127"/>
      <w:bookmarkStart w:id="1445" w:name="_Toc233429726"/>
      <w:bookmarkStart w:id="1446" w:name="_Toc17827"/>
      <w:bookmarkStart w:id="1447" w:name="_Toc18863"/>
      <w:bookmarkStart w:id="1448" w:name="_Toc6678"/>
      <w:bookmarkStart w:id="1449" w:name="_Toc27462"/>
      <w:bookmarkStart w:id="1450" w:name="_Toc233435943"/>
      <w:bookmarkStart w:id="1451" w:name="_Toc31448"/>
      <w:bookmarkStart w:id="1452" w:name="_Toc288546579"/>
      <w:bookmarkStart w:id="1453" w:name="_Toc288491455"/>
      <w:bookmarkStart w:id="1454" w:name="_Toc30059"/>
      <w:bookmarkStart w:id="1455" w:name="_Toc28676"/>
      <w:bookmarkStart w:id="1456" w:name="_Toc10140"/>
      <w:bookmarkStart w:id="1457" w:name="_Toc3018"/>
      <w:bookmarkStart w:id="1458" w:name="_Toc235846332"/>
      <w:bookmarkStart w:id="1459" w:name="_Toc282787370"/>
      <w:bookmarkStart w:id="1460" w:name="_Toc24232"/>
      <w:bookmarkStart w:id="1461" w:name="_Toc3593"/>
      <w:bookmarkStart w:id="1462" w:name="_Toc282778930"/>
      <w:bookmarkStart w:id="1463" w:name="_Toc32672"/>
      <w:bookmarkStart w:id="1464" w:name="_Toc233423216"/>
      <w:bookmarkStart w:id="1465" w:name="_Toc10942"/>
      <w:r>
        <w:rPr>
          <w:rFonts w:hint="eastAsia" w:ascii="Times New Roman" w:hAnsi="Times New Roman"/>
          <w:bCs w:val="0"/>
          <w:spacing w:val="0"/>
          <w:sz w:val="30"/>
          <w:szCs w:val="30"/>
        </w:rPr>
        <w:t>8</w:t>
      </w:r>
      <w:r>
        <w:rPr>
          <w:rFonts w:hint="eastAsia"/>
          <w:bCs w:val="0"/>
          <w:spacing w:val="0"/>
          <w:sz w:val="30"/>
          <w:szCs w:val="30"/>
        </w:rPr>
        <w:t>．重新招标和不再招标</w:t>
      </w:r>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p>
    <w:p>
      <w:pPr>
        <w:pStyle w:val="6"/>
        <w:spacing w:before="120" w:afterLines="50" w:line="420" w:lineRule="exact"/>
        <w:rPr>
          <w:rFonts w:ascii="黑体" w:eastAsia="黑体"/>
          <w:b w:val="0"/>
          <w:sz w:val="21"/>
          <w:szCs w:val="21"/>
        </w:rPr>
      </w:pPr>
      <w:bookmarkStart w:id="1466" w:name="_Toc27715"/>
      <w:bookmarkStart w:id="1467" w:name="_Toc2300"/>
      <w:bookmarkStart w:id="1468" w:name="_Toc28566"/>
      <w:bookmarkStart w:id="1469" w:name="_Toc23753"/>
      <w:bookmarkStart w:id="1470" w:name="_Toc9909"/>
      <w:bookmarkStart w:id="1471" w:name="_Toc26289"/>
      <w:bookmarkStart w:id="1472" w:name="_Toc287853280"/>
      <w:bookmarkStart w:id="1473" w:name="_Toc25125"/>
      <w:bookmarkStart w:id="1474" w:name="_Toc24937"/>
      <w:bookmarkStart w:id="1475" w:name="_Toc233435944"/>
      <w:bookmarkStart w:id="1476" w:name="_Toc233290332"/>
      <w:bookmarkStart w:id="1477" w:name="_Toc21381"/>
      <w:bookmarkStart w:id="1478" w:name="_Toc233214786"/>
      <w:bookmarkStart w:id="1479" w:name="_Toc282778931"/>
      <w:bookmarkStart w:id="1480" w:name="_Toc4395"/>
      <w:bookmarkStart w:id="1481" w:name="_Toc288491456"/>
      <w:bookmarkStart w:id="1482" w:name="_Toc288546580"/>
      <w:bookmarkStart w:id="1483" w:name="_Toc20349"/>
      <w:bookmarkStart w:id="1484" w:name="_Toc283794128"/>
      <w:bookmarkStart w:id="1485" w:name="_Toc30227"/>
      <w:bookmarkStart w:id="1486" w:name="_Toc282787371"/>
      <w:bookmarkStart w:id="1487" w:name="_Toc10193"/>
      <w:bookmarkStart w:id="1488" w:name="_Toc19338"/>
      <w:bookmarkStart w:id="1489" w:name="_Toc282779440"/>
      <w:bookmarkStart w:id="1490" w:name="_Toc11620"/>
      <w:bookmarkStart w:id="1491" w:name="_Toc235846333"/>
      <w:bookmarkStart w:id="1492" w:name="_Toc19206"/>
      <w:bookmarkStart w:id="1493" w:name="_Toc233423217"/>
      <w:bookmarkStart w:id="1494" w:name="_Toc21552"/>
      <w:bookmarkStart w:id="1495" w:name="_Toc233429727"/>
      <w:bookmarkStart w:id="1496" w:name="_Toc9021"/>
      <w:bookmarkStart w:id="1497" w:name="_Toc4493"/>
      <w:r>
        <w:rPr>
          <w:rFonts w:hint="eastAsia" w:eastAsia="黑体"/>
          <w:sz w:val="21"/>
          <w:szCs w:val="21"/>
        </w:rPr>
        <w:t>8.1</w:t>
      </w:r>
      <w:r>
        <w:rPr>
          <w:rFonts w:hint="eastAsia" w:ascii="黑体" w:eastAsia="黑体"/>
          <w:b w:val="0"/>
          <w:sz w:val="21"/>
          <w:szCs w:val="21"/>
        </w:rPr>
        <w:t xml:space="preserve">  重新招标</w:t>
      </w:r>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p>
    <w:p>
      <w:pPr>
        <w:spacing w:line="420" w:lineRule="exact"/>
        <w:ind w:firstLine="420" w:firstLineChars="200"/>
        <w:rPr>
          <w:szCs w:val="21"/>
        </w:rPr>
      </w:pPr>
      <w:r>
        <w:rPr>
          <w:rFonts w:hint="eastAsia"/>
          <w:szCs w:val="21"/>
        </w:rPr>
        <w:t>有下列情形之一的，招标人将重新招标：</w:t>
      </w:r>
    </w:p>
    <w:p>
      <w:pPr>
        <w:spacing w:line="420" w:lineRule="exact"/>
        <w:ind w:firstLine="420" w:firstLineChars="200"/>
        <w:rPr>
          <w:szCs w:val="21"/>
        </w:rPr>
      </w:pPr>
      <w:r>
        <w:rPr>
          <w:rFonts w:hint="eastAsia"/>
          <w:szCs w:val="21"/>
        </w:rPr>
        <w:t>（1）投标截止时间止，投标人少于3个的；</w:t>
      </w:r>
    </w:p>
    <w:p>
      <w:pPr>
        <w:spacing w:line="420" w:lineRule="exact"/>
        <w:ind w:firstLine="420" w:firstLineChars="200"/>
        <w:rPr>
          <w:szCs w:val="21"/>
        </w:rPr>
      </w:pPr>
      <w:r>
        <w:rPr>
          <w:rFonts w:hint="eastAsia"/>
          <w:szCs w:val="21"/>
        </w:rPr>
        <w:t>（2）经评标委员会评审后否决所有投标的；</w:t>
      </w:r>
    </w:p>
    <w:p>
      <w:pPr>
        <w:spacing w:line="420" w:lineRule="exact"/>
        <w:ind w:firstLine="420" w:firstLineChars="200"/>
        <w:rPr>
          <w:szCs w:val="21"/>
        </w:rPr>
      </w:pPr>
      <w:r>
        <w:rPr>
          <w:rFonts w:hint="eastAsia"/>
          <w:szCs w:val="21"/>
        </w:rPr>
        <w:t>（3）中标候选人均未与招标人签订合同的；</w:t>
      </w:r>
    </w:p>
    <w:p>
      <w:pPr>
        <w:spacing w:line="420" w:lineRule="exact"/>
        <w:ind w:firstLine="420" w:firstLineChars="200"/>
        <w:rPr>
          <w:szCs w:val="21"/>
        </w:rPr>
      </w:pPr>
      <w:r>
        <w:rPr>
          <w:rFonts w:hint="eastAsia"/>
          <w:szCs w:val="21"/>
        </w:rPr>
        <w:t>（4）法律规定的其它情形。</w:t>
      </w:r>
    </w:p>
    <w:p>
      <w:pPr>
        <w:pStyle w:val="6"/>
        <w:spacing w:beforeLines="50" w:afterLines="50" w:line="420" w:lineRule="exact"/>
        <w:rPr>
          <w:rFonts w:ascii="黑体" w:eastAsia="黑体"/>
          <w:b w:val="0"/>
          <w:sz w:val="21"/>
          <w:szCs w:val="21"/>
        </w:rPr>
      </w:pPr>
      <w:bookmarkStart w:id="1498" w:name="_Toc282778932"/>
      <w:bookmarkStart w:id="1499" w:name="_Toc11119"/>
      <w:bookmarkStart w:id="1500" w:name="_Toc235846334"/>
      <w:bookmarkStart w:id="1501" w:name="_Toc282787372"/>
      <w:bookmarkStart w:id="1502" w:name="_Toc233429728"/>
      <w:bookmarkStart w:id="1503" w:name="_Toc24903"/>
      <w:bookmarkStart w:id="1504" w:name="_Toc17068"/>
      <w:bookmarkStart w:id="1505" w:name="_Toc24913"/>
      <w:bookmarkStart w:id="1506" w:name="_Toc10850"/>
      <w:bookmarkStart w:id="1507" w:name="_Toc28959"/>
      <w:bookmarkStart w:id="1508" w:name="_Toc25894"/>
      <w:bookmarkStart w:id="1509" w:name="_Toc9243"/>
      <w:bookmarkStart w:id="1510" w:name="_Toc1771"/>
      <w:bookmarkStart w:id="1511" w:name="_Toc233423218"/>
      <w:bookmarkStart w:id="1512" w:name="_Toc233214787"/>
      <w:bookmarkStart w:id="1513" w:name="_Toc29625"/>
      <w:bookmarkStart w:id="1514" w:name="_Toc30364"/>
      <w:bookmarkStart w:id="1515" w:name="_Toc282779441"/>
      <w:bookmarkStart w:id="1516" w:name="_Toc25994"/>
      <w:bookmarkStart w:id="1517" w:name="_Toc287853281"/>
      <w:bookmarkStart w:id="1518" w:name="_Toc1687"/>
      <w:bookmarkStart w:id="1519" w:name="_Toc20391"/>
      <w:bookmarkStart w:id="1520" w:name="_Toc288491457"/>
      <w:bookmarkStart w:id="1521" w:name="_Toc288546581"/>
      <w:bookmarkStart w:id="1522" w:name="_Toc2113"/>
      <w:bookmarkStart w:id="1523" w:name="_Toc1752"/>
      <w:bookmarkStart w:id="1524" w:name="_Toc9861"/>
      <w:bookmarkStart w:id="1525" w:name="_Toc18281"/>
      <w:bookmarkStart w:id="1526" w:name="_Toc233290333"/>
      <w:bookmarkStart w:id="1527" w:name="_Toc9464"/>
      <w:bookmarkStart w:id="1528" w:name="_Toc283794129"/>
      <w:bookmarkStart w:id="1529" w:name="_Toc233435945"/>
      <w:r>
        <w:rPr>
          <w:rFonts w:hint="eastAsia" w:eastAsia="黑体"/>
          <w:sz w:val="21"/>
          <w:szCs w:val="21"/>
        </w:rPr>
        <w:t>8.2</w:t>
      </w:r>
      <w:r>
        <w:rPr>
          <w:rFonts w:hint="eastAsia" w:ascii="黑体" w:eastAsia="黑体"/>
          <w:b w:val="0"/>
          <w:sz w:val="21"/>
          <w:szCs w:val="21"/>
        </w:rPr>
        <w:t xml:space="preserve">  不再招标</w:t>
      </w:r>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p>
    <w:p>
      <w:pPr>
        <w:spacing w:line="420" w:lineRule="exact"/>
        <w:ind w:firstLine="420" w:firstLineChars="200"/>
        <w:rPr>
          <w:szCs w:val="21"/>
        </w:rPr>
      </w:pPr>
      <w:r>
        <w:rPr>
          <w:rFonts w:hint="eastAsia"/>
          <w:szCs w:val="21"/>
        </w:rPr>
        <w:t>重新招标后投标人仍少于3个或者所有投标被否决的，属于必须审批或核准的养护工程项目，经原审批或核准部门批准后不再进行招标。</w:t>
      </w:r>
    </w:p>
    <w:p>
      <w:pPr>
        <w:pStyle w:val="5"/>
        <w:spacing w:before="120" w:afterLines="50" w:line="420" w:lineRule="exact"/>
        <w:rPr>
          <w:bCs w:val="0"/>
          <w:spacing w:val="0"/>
          <w:sz w:val="30"/>
          <w:szCs w:val="30"/>
        </w:rPr>
      </w:pPr>
      <w:bookmarkStart w:id="1530" w:name="_Toc958"/>
      <w:bookmarkStart w:id="1531" w:name="_Toc29796"/>
      <w:bookmarkStart w:id="1532" w:name="_Toc282779442"/>
      <w:bookmarkStart w:id="1533" w:name="_Toc28396"/>
      <w:bookmarkStart w:id="1534" w:name="_Toc288491458"/>
      <w:bookmarkStart w:id="1535" w:name="_Toc287853282"/>
      <w:bookmarkStart w:id="1536" w:name="_Toc233423219"/>
      <w:bookmarkStart w:id="1537" w:name="_Toc32139"/>
      <w:bookmarkStart w:id="1538" w:name="_Toc20061"/>
      <w:bookmarkStart w:id="1539" w:name="_Toc283794130"/>
      <w:bookmarkStart w:id="1540" w:name="_Toc7856"/>
      <w:bookmarkStart w:id="1541" w:name="_Toc16253"/>
      <w:bookmarkStart w:id="1542" w:name="_Toc288546582"/>
      <w:bookmarkStart w:id="1543" w:name="_Toc5892"/>
      <w:bookmarkStart w:id="1544" w:name="_Toc16603"/>
      <w:bookmarkStart w:id="1545" w:name="_Toc7810"/>
      <w:bookmarkStart w:id="1546" w:name="_Toc6726"/>
      <w:bookmarkStart w:id="1547" w:name="_Toc233290334"/>
      <w:bookmarkStart w:id="1548" w:name="_Toc16049"/>
      <w:bookmarkStart w:id="1549" w:name="_Toc233429729"/>
      <w:bookmarkStart w:id="1550" w:name="_Toc28499"/>
      <w:bookmarkStart w:id="1551" w:name="_Toc233214788"/>
      <w:bookmarkStart w:id="1552" w:name="_Toc31736"/>
      <w:bookmarkStart w:id="1553" w:name="_Toc20221"/>
      <w:bookmarkStart w:id="1554" w:name="_Toc29369"/>
      <w:bookmarkStart w:id="1555" w:name="_Toc282778933"/>
      <w:bookmarkStart w:id="1556" w:name="_Toc13706"/>
      <w:bookmarkStart w:id="1557" w:name="_Toc23037"/>
      <w:bookmarkStart w:id="1558" w:name="_Toc235846335"/>
      <w:bookmarkStart w:id="1559" w:name="_Toc233435946"/>
      <w:bookmarkStart w:id="1560" w:name="_Toc282787373"/>
      <w:bookmarkStart w:id="1561" w:name="_Toc30562"/>
      <w:r>
        <w:rPr>
          <w:rFonts w:hint="eastAsia" w:ascii="Times New Roman" w:hAnsi="Times New Roman"/>
          <w:bCs w:val="0"/>
          <w:spacing w:val="0"/>
          <w:sz w:val="30"/>
          <w:szCs w:val="30"/>
        </w:rPr>
        <w:t>9</w:t>
      </w:r>
      <w:r>
        <w:rPr>
          <w:rFonts w:hint="eastAsia"/>
          <w:bCs w:val="0"/>
          <w:spacing w:val="0"/>
          <w:sz w:val="30"/>
          <w:szCs w:val="30"/>
        </w:rPr>
        <w:t>．纪律和监督</w:t>
      </w:r>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p>
    <w:p>
      <w:pPr>
        <w:pStyle w:val="6"/>
        <w:spacing w:before="120" w:afterLines="50" w:line="420" w:lineRule="exact"/>
        <w:rPr>
          <w:rFonts w:ascii="黑体" w:eastAsia="黑体"/>
          <w:b w:val="0"/>
          <w:sz w:val="21"/>
          <w:szCs w:val="21"/>
        </w:rPr>
      </w:pPr>
      <w:bookmarkStart w:id="1562" w:name="_Toc283794131"/>
      <w:bookmarkStart w:id="1563" w:name="_Toc14443"/>
      <w:bookmarkStart w:id="1564" w:name="_Toc31025"/>
      <w:bookmarkStart w:id="1565" w:name="_Toc1716"/>
      <w:bookmarkStart w:id="1566" w:name="_Toc7917"/>
      <w:bookmarkStart w:id="1567" w:name="_Toc26136"/>
      <w:bookmarkStart w:id="1568" w:name="_Toc287853283"/>
      <w:bookmarkStart w:id="1569" w:name="_Toc15094"/>
      <w:bookmarkStart w:id="1570" w:name="_Toc12702"/>
      <w:bookmarkStart w:id="1571" w:name="_Toc3027"/>
      <w:bookmarkStart w:id="1572" w:name="_Toc18571"/>
      <w:bookmarkStart w:id="1573" w:name="_Toc233429730"/>
      <w:bookmarkStart w:id="1574" w:name="_Toc22324"/>
      <w:bookmarkStart w:id="1575" w:name="_Toc235846336"/>
      <w:bookmarkStart w:id="1576" w:name="_Toc6484"/>
      <w:bookmarkStart w:id="1577" w:name="_Toc288491459"/>
      <w:bookmarkStart w:id="1578" w:name="_Toc6205"/>
      <w:bookmarkStart w:id="1579" w:name="_Toc16748"/>
      <w:bookmarkStart w:id="1580" w:name="_Toc15205"/>
      <w:bookmarkStart w:id="1581" w:name="_Toc233214789"/>
      <w:bookmarkStart w:id="1582" w:name="_Toc282779443"/>
      <w:bookmarkStart w:id="1583" w:name="_Toc29229"/>
      <w:bookmarkStart w:id="1584" w:name="_Toc288546583"/>
      <w:bookmarkStart w:id="1585" w:name="_Toc233435947"/>
      <w:bookmarkStart w:id="1586" w:name="_Toc282778934"/>
      <w:bookmarkStart w:id="1587" w:name="_Toc13498"/>
      <w:bookmarkStart w:id="1588" w:name="_Toc21795"/>
      <w:bookmarkStart w:id="1589" w:name="_Toc12689"/>
      <w:bookmarkStart w:id="1590" w:name="_Toc282787374"/>
      <w:bookmarkStart w:id="1591" w:name="_Toc233290335"/>
      <w:bookmarkStart w:id="1592" w:name="_Toc4247"/>
      <w:bookmarkStart w:id="1593" w:name="_Toc233423220"/>
      <w:r>
        <w:rPr>
          <w:rFonts w:hint="eastAsia" w:eastAsia="黑体"/>
          <w:sz w:val="21"/>
          <w:szCs w:val="21"/>
        </w:rPr>
        <w:t>9.1</w:t>
      </w:r>
      <w:r>
        <w:rPr>
          <w:rFonts w:hint="eastAsia" w:ascii="黑体" w:eastAsia="黑体"/>
          <w:b w:val="0"/>
          <w:sz w:val="21"/>
          <w:szCs w:val="21"/>
        </w:rPr>
        <w:t xml:space="preserve">  对招标人的纪律要求</w:t>
      </w:r>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p>
    <w:p>
      <w:pPr>
        <w:spacing w:line="420" w:lineRule="exact"/>
        <w:ind w:firstLine="420" w:firstLineChars="200"/>
        <w:rPr>
          <w:szCs w:val="21"/>
        </w:rPr>
      </w:pPr>
      <w:r>
        <w:rPr>
          <w:rFonts w:hint="eastAsia"/>
          <w:szCs w:val="21"/>
        </w:rPr>
        <w:t>招标人不得泄漏招标投标活动中应当保密的情况和资料，不得与投标人串通损害国家利益、社会公共利益或者他人合法权益。</w:t>
      </w:r>
    </w:p>
    <w:p>
      <w:pPr>
        <w:pStyle w:val="6"/>
        <w:spacing w:beforeLines="50" w:afterLines="50" w:line="420" w:lineRule="exact"/>
        <w:rPr>
          <w:rFonts w:ascii="黑体" w:eastAsia="黑体"/>
          <w:b w:val="0"/>
          <w:sz w:val="21"/>
          <w:szCs w:val="21"/>
        </w:rPr>
      </w:pPr>
      <w:bookmarkStart w:id="1594" w:name="_Toc283794132"/>
      <w:bookmarkStart w:id="1595" w:name="_Toc288491460"/>
      <w:bookmarkStart w:id="1596" w:name="_Toc14527"/>
      <w:bookmarkStart w:id="1597" w:name="_Toc12138"/>
      <w:bookmarkStart w:id="1598" w:name="_Toc638"/>
      <w:bookmarkStart w:id="1599" w:name="_Toc2742"/>
      <w:bookmarkStart w:id="1600" w:name="_Toc282787375"/>
      <w:bookmarkStart w:id="1601" w:name="_Toc282779444"/>
      <w:bookmarkStart w:id="1602" w:name="_Toc16475"/>
      <w:bookmarkStart w:id="1603" w:name="_Toc282778935"/>
      <w:bookmarkStart w:id="1604" w:name="_Toc21136"/>
      <w:bookmarkStart w:id="1605" w:name="_Toc288546584"/>
      <w:bookmarkStart w:id="1606" w:name="_Toc6224"/>
      <w:bookmarkStart w:id="1607" w:name="_Toc233423221"/>
      <w:bookmarkStart w:id="1608" w:name="_Toc32257"/>
      <w:bookmarkStart w:id="1609" w:name="_Toc233290336"/>
      <w:bookmarkStart w:id="1610" w:name="_Toc4595"/>
      <w:bookmarkStart w:id="1611" w:name="_Toc233429731"/>
      <w:bookmarkStart w:id="1612" w:name="_Toc235846337"/>
      <w:bookmarkStart w:id="1613" w:name="_Toc27736"/>
      <w:bookmarkStart w:id="1614" w:name="_Toc287853284"/>
      <w:bookmarkStart w:id="1615" w:name="_Toc12704"/>
      <w:bookmarkStart w:id="1616" w:name="_Toc11964"/>
      <w:bookmarkStart w:id="1617" w:name="_Toc25370"/>
      <w:bookmarkStart w:id="1618" w:name="_Toc10105"/>
      <w:bookmarkStart w:id="1619" w:name="_Toc8241"/>
      <w:bookmarkStart w:id="1620" w:name="_Toc6530"/>
      <w:bookmarkStart w:id="1621" w:name="_Toc233214790"/>
      <w:bookmarkStart w:id="1622" w:name="_Toc233435948"/>
      <w:bookmarkStart w:id="1623" w:name="_Toc14084"/>
      <w:bookmarkStart w:id="1624" w:name="_Toc3846"/>
      <w:bookmarkStart w:id="1625" w:name="_Toc27009"/>
      <w:r>
        <w:rPr>
          <w:rFonts w:hint="eastAsia" w:eastAsia="黑体"/>
          <w:sz w:val="21"/>
          <w:szCs w:val="21"/>
        </w:rPr>
        <w:t>9.2</w:t>
      </w:r>
      <w:r>
        <w:rPr>
          <w:rFonts w:hint="eastAsia" w:ascii="黑体" w:eastAsia="黑体"/>
          <w:b w:val="0"/>
          <w:sz w:val="21"/>
          <w:szCs w:val="21"/>
        </w:rPr>
        <w:t xml:space="preserve">  对投标人的纪律要求</w:t>
      </w:r>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p>
    <w:p>
      <w:pPr>
        <w:spacing w:line="420" w:lineRule="exact"/>
        <w:ind w:firstLine="420" w:firstLineChars="200"/>
        <w:rPr>
          <w:szCs w:val="21"/>
        </w:rPr>
      </w:pPr>
      <w:r>
        <w:rPr>
          <w:rFonts w:hint="eastAsia"/>
          <w:szCs w:val="21"/>
        </w:rPr>
        <w:t>投标人不得相互串通投标或者与招标人串通投标，不得向招标人或者评标委员会成员行贿谋取中标，不得以他人名义投标或者以其它方式弄虚作假骗取中标；投标人不得以任何方式干扰、影响评标工作。</w:t>
      </w:r>
    </w:p>
    <w:p>
      <w:pPr>
        <w:pStyle w:val="6"/>
        <w:spacing w:beforeLines="50" w:afterLines="50" w:line="420" w:lineRule="exact"/>
        <w:rPr>
          <w:rFonts w:ascii="黑体" w:eastAsia="黑体"/>
          <w:b w:val="0"/>
          <w:sz w:val="21"/>
          <w:szCs w:val="21"/>
        </w:rPr>
      </w:pPr>
      <w:bookmarkStart w:id="1626" w:name="_Toc13772"/>
      <w:bookmarkStart w:id="1627" w:name="_Toc4161"/>
      <w:bookmarkStart w:id="1628" w:name="_Toc233435949"/>
      <w:bookmarkStart w:id="1629" w:name="_Toc3644"/>
      <w:bookmarkStart w:id="1630" w:name="_Toc29845"/>
      <w:bookmarkStart w:id="1631" w:name="_Toc1334"/>
      <w:bookmarkStart w:id="1632" w:name="_Toc233423222"/>
      <w:bookmarkStart w:id="1633" w:name="_Toc5552"/>
      <w:bookmarkStart w:id="1634" w:name="_Toc30482"/>
      <w:bookmarkStart w:id="1635" w:name="_Toc288491461"/>
      <w:bookmarkStart w:id="1636" w:name="_Toc3188"/>
      <w:bookmarkStart w:id="1637" w:name="_Toc282779445"/>
      <w:bookmarkStart w:id="1638" w:name="_Toc233429732"/>
      <w:bookmarkStart w:id="1639" w:name="_Toc287853285"/>
      <w:bookmarkStart w:id="1640" w:name="_Toc30759"/>
      <w:bookmarkStart w:id="1641" w:name="_Toc235846338"/>
      <w:bookmarkStart w:id="1642" w:name="_Toc233214791"/>
      <w:bookmarkStart w:id="1643" w:name="_Toc283794133"/>
      <w:bookmarkStart w:id="1644" w:name="_Toc17205"/>
      <w:bookmarkStart w:id="1645" w:name="_Toc17549"/>
      <w:bookmarkStart w:id="1646" w:name="_Toc21838"/>
      <w:bookmarkStart w:id="1647" w:name="_Toc288546585"/>
      <w:bookmarkStart w:id="1648" w:name="_Toc10911"/>
      <w:bookmarkStart w:id="1649" w:name="_Toc10108"/>
      <w:bookmarkStart w:id="1650" w:name="_Toc636"/>
      <w:bookmarkStart w:id="1651" w:name="_Toc16824"/>
      <w:bookmarkStart w:id="1652" w:name="_Toc19789"/>
      <w:bookmarkStart w:id="1653" w:name="_Toc282787376"/>
      <w:bookmarkStart w:id="1654" w:name="_Toc32760"/>
      <w:bookmarkStart w:id="1655" w:name="_Toc282778936"/>
      <w:bookmarkStart w:id="1656" w:name="_Toc233290337"/>
      <w:bookmarkStart w:id="1657" w:name="_Toc24093"/>
      <w:r>
        <w:rPr>
          <w:rFonts w:hint="eastAsia" w:eastAsia="黑体"/>
          <w:sz w:val="21"/>
          <w:szCs w:val="21"/>
        </w:rPr>
        <w:t>9.3</w:t>
      </w:r>
      <w:r>
        <w:rPr>
          <w:rFonts w:hint="eastAsia" w:ascii="黑体" w:eastAsia="黑体"/>
          <w:b w:val="0"/>
          <w:sz w:val="21"/>
          <w:szCs w:val="21"/>
        </w:rPr>
        <w:t xml:space="preserve">  对评标委员会的纪律要求</w:t>
      </w:r>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p>
    <w:p>
      <w:pPr>
        <w:spacing w:line="400" w:lineRule="exact"/>
        <w:ind w:firstLine="420" w:firstLineChars="200"/>
        <w:rPr>
          <w:szCs w:val="21"/>
        </w:rPr>
      </w:pPr>
      <w:r>
        <w:rPr>
          <w:rFonts w:hint="eastAsia"/>
          <w:szCs w:val="21"/>
        </w:rPr>
        <w:t>评标委员会成员不得收受他人的财物或者其它好处，不得向他人透漏对投标文件的评审和比较、中标候选人的推荐情况以及评标有关的其它情况。在评标活动中，评标委员会成员不得擅离职守，影响评标程序正常进行，不得使用第三章“评标办法”没有规定的评审因素和标准进行评标。</w:t>
      </w:r>
    </w:p>
    <w:p>
      <w:pPr>
        <w:pStyle w:val="6"/>
        <w:spacing w:beforeLines="50" w:afterLines="50" w:line="400" w:lineRule="exact"/>
        <w:rPr>
          <w:rFonts w:ascii="黑体" w:eastAsia="黑体"/>
          <w:b w:val="0"/>
          <w:sz w:val="21"/>
          <w:szCs w:val="21"/>
        </w:rPr>
      </w:pPr>
      <w:bookmarkStart w:id="1658" w:name="_Toc24754"/>
      <w:bookmarkStart w:id="1659" w:name="_Toc28"/>
      <w:bookmarkStart w:id="1660" w:name="_Toc7575"/>
      <w:bookmarkStart w:id="1661" w:name="_Toc9578"/>
      <w:bookmarkStart w:id="1662" w:name="_Toc233214792"/>
      <w:bookmarkStart w:id="1663" w:name="_Toc235846339"/>
      <w:bookmarkStart w:id="1664" w:name="_Toc233290338"/>
      <w:bookmarkStart w:id="1665" w:name="_Toc16075"/>
      <w:bookmarkStart w:id="1666" w:name="_Toc18641"/>
      <w:bookmarkStart w:id="1667" w:name="_Toc282779446"/>
      <w:bookmarkStart w:id="1668" w:name="_Toc288491462"/>
      <w:bookmarkStart w:id="1669" w:name="_Toc233435950"/>
      <w:bookmarkStart w:id="1670" w:name="_Toc3105"/>
      <w:bookmarkStart w:id="1671" w:name="_Toc12959"/>
      <w:bookmarkStart w:id="1672" w:name="_Toc1358"/>
      <w:bookmarkStart w:id="1673" w:name="_Toc2055"/>
      <w:bookmarkStart w:id="1674" w:name="_Toc233429733"/>
      <w:bookmarkStart w:id="1675" w:name="_Toc283794134"/>
      <w:bookmarkStart w:id="1676" w:name="_Toc18368"/>
      <w:bookmarkStart w:id="1677" w:name="_Toc282778937"/>
      <w:bookmarkStart w:id="1678" w:name="_Toc28505"/>
      <w:bookmarkStart w:id="1679" w:name="_Toc6439"/>
      <w:bookmarkStart w:id="1680" w:name="_Toc29252"/>
      <w:bookmarkStart w:id="1681" w:name="_Toc233423223"/>
      <w:bookmarkStart w:id="1682" w:name="_Toc15272"/>
      <w:bookmarkStart w:id="1683" w:name="_Toc282787377"/>
      <w:bookmarkStart w:id="1684" w:name="_Toc18996"/>
      <w:bookmarkStart w:id="1685" w:name="_Toc288546586"/>
      <w:bookmarkStart w:id="1686" w:name="_Toc27119"/>
      <w:bookmarkStart w:id="1687" w:name="_Toc371"/>
      <w:bookmarkStart w:id="1688" w:name="_Toc13034"/>
      <w:bookmarkStart w:id="1689" w:name="_Toc287853286"/>
      <w:r>
        <w:rPr>
          <w:rFonts w:hint="eastAsia" w:eastAsia="黑体"/>
          <w:sz w:val="21"/>
          <w:szCs w:val="21"/>
        </w:rPr>
        <w:t>9.4</w:t>
      </w:r>
      <w:r>
        <w:rPr>
          <w:rFonts w:hint="eastAsia" w:ascii="黑体" w:eastAsia="黑体"/>
          <w:b w:val="0"/>
          <w:sz w:val="21"/>
          <w:szCs w:val="21"/>
        </w:rPr>
        <w:t xml:space="preserve">  对与评标活动有关的工作人员的纪律要求</w:t>
      </w:r>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p>
    <w:p>
      <w:pPr>
        <w:spacing w:line="400" w:lineRule="exact"/>
        <w:ind w:firstLine="420" w:firstLineChars="200"/>
        <w:rPr>
          <w:szCs w:val="21"/>
        </w:rPr>
      </w:pPr>
      <w:bookmarkStart w:id="1690" w:name="_Toc152042355"/>
      <w:r>
        <w:rPr>
          <w:rFonts w:hint="eastAsia"/>
          <w:szCs w:val="21"/>
        </w:rPr>
        <w:t>与评标活动有关的工作人员不得收受他人的财物或者其它好处，不得向他人透漏对投标文件的评审和比较、中标候选人的推荐情况以及评标有关的其它情况。在评标活动中，与评标活动有关的工作人员不得擅离职守，影响评标程序正常进行。</w:t>
      </w:r>
      <w:bookmarkEnd w:id="1690"/>
    </w:p>
    <w:p>
      <w:pPr>
        <w:pStyle w:val="6"/>
        <w:spacing w:beforeLines="50" w:afterLines="50" w:line="420" w:lineRule="exact"/>
        <w:rPr>
          <w:rFonts w:ascii="黑体" w:eastAsia="黑体"/>
          <w:b w:val="0"/>
          <w:sz w:val="21"/>
          <w:szCs w:val="21"/>
        </w:rPr>
      </w:pPr>
      <w:bookmarkStart w:id="1691" w:name="_Toc16848"/>
      <w:bookmarkStart w:id="1692" w:name="_Toc4951"/>
      <w:bookmarkStart w:id="1693" w:name="_Toc13764"/>
      <w:bookmarkStart w:id="1694" w:name="_Toc21276"/>
      <w:bookmarkStart w:id="1695" w:name="_Toc287853287"/>
      <w:bookmarkStart w:id="1696" w:name="_Toc31588"/>
      <w:bookmarkStart w:id="1697" w:name="_Toc235846340"/>
      <w:bookmarkStart w:id="1698" w:name="_Toc282779447"/>
      <w:bookmarkStart w:id="1699" w:name="_Toc233290339"/>
      <w:bookmarkStart w:id="1700" w:name="_Toc12173"/>
      <w:bookmarkStart w:id="1701" w:name="_Toc16568"/>
      <w:bookmarkStart w:id="1702" w:name="_Toc21833"/>
      <w:bookmarkStart w:id="1703" w:name="_Toc1778"/>
      <w:bookmarkStart w:id="1704" w:name="_Toc1698"/>
      <w:bookmarkStart w:id="1705" w:name="_Toc288546587"/>
      <w:bookmarkStart w:id="1706" w:name="_Toc5596"/>
      <w:bookmarkStart w:id="1707" w:name="_Toc7567"/>
      <w:bookmarkStart w:id="1708" w:name="_Toc233214793"/>
      <w:bookmarkStart w:id="1709" w:name="_Toc233423224"/>
      <w:bookmarkStart w:id="1710" w:name="_Toc31758"/>
      <w:bookmarkStart w:id="1711" w:name="_Toc282787378"/>
      <w:bookmarkStart w:id="1712" w:name="_Toc282778938"/>
      <w:bookmarkStart w:id="1713" w:name="_Toc1250"/>
      <w:bookmarkStart w:id="1714" w:name="_Toc288491463"/>
      <w:bookmarkStart w:id="1715" w:name="_Toc233429734"/>
      <w:bookmarkStart w:id="1716" w:name="_Toc32429"/>
      <w:bookmarkStart w:id="1717" w:name="_Toc233435951"/>
      <w:bookmarkStart w:id="1718" w:name="_Toc31166"/>
      <w:bookmarkStart w:id="1719" w:name="_Toc2856"/>
      <w:bookmarkStart w:id="1720" w:name="_Toc283794135"/>
      <w:bookmarkStart w:id="1721" w:name="_Toc32424"/>
      <w:bookmarkStart w:id="1722" w:name="_Toc18690"/>
      <w:r>
        <w:rPr>
          <w:rFonts w:hint="eastAsia" w:eastAsia="黑体"/>
          <w:sz w:val="21"/>
          <w:szCs w:val="21"/>
        </w:rPr>
        <w:t>9.5</w:t>
      </w:r>
      <w:r>
        <w:rPr>
          <w:rFonts w:hint="eastAsia" w:ascii="黑体" w:eastAsia="黑体"/>
          <w:b w:val="0"/>
          <w:sz w:val="21"/>
          <w:szCs w:val="21"/>
        </w:rPr>
        <w:t xml:space="preserve">  投诉</w:t>
      </w:r>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p>
    <w:p>
      <w:pPr>
        <w:spacing w:line="420" w:lineRule="exact"/>
        <w:ind w:firstLine="420" w:firstLineChars="200"/>
        <w:rPr>
          <w:szCs w:val="21"/>
        </w:rPr>
      </w:pPr>
      <w:r>
        <w:rPr>
          <w:rFonts w:hint="eastAsia"/>
          <w:szCs w:val="21"/>
        </w:rPr>
        <w:t>投标人和其他利害关系人认为本次招标活动违反法律、法规和规章规定的，有权向有关行政监督部门投诉。</w:t>
      </w:r>
    </w:p>
    <w:p>
      <w:pPr>
        <w:spacing w:line="420" w:lineRule="exact"/>
        <w:ind w:firstLine="420" w:firstLineChars="200"/>
        <w:rPr>
          <w:szCs w:val="21"/>
        </w:rPr>
      </w:pPr>
      <w:r>
        <w:rPr>
          <w:rFonts w:hint="eastAsia"/>
          <w:szCs w:val="21"/>
        </w:rPr>
        <w:t>监督部门的联系方式见投标人须知前附表。</w:t>
      </w:r>
    </w:p>
    <w:p>
      <w:pPr>
        <w:pStyle w:val="5"/>
        <w:spacing w:before="120" w:after="120" w:line="420" w:lineRule="exact"/>
        <w:rPr>
          <w:bCs w:val="0"/>
          <w:spacing w:val="0"/>
          <w:sz w:val="30"/>
          <w:szCs w:val="30"/>
        </w:rPr>
      </w:pPr>
      <w:bookmarkStart w:id="1723" w:name="_Toc233290340"/>
      <w:bookmarkStart w:id="1724" w:name="_Toc17822"/>
      <w:bookmarkStart w:id="1725" w:name="_Toc21092"/>
      <w:bookmarkStart w:id="1726" w:name="_Toc288491464"/>
      <w:bookmarkStart w:id="1727" w:name="_Toc233423225"/>
      <w:bookmarkStart w:id="1728" w:name="_Toc233214794"/>
      <w:bookmarkStart w:id="1729" w:name="_Toc233429735"/>
      <w:bookmarkStart w:id="1730" w:name="_Toc17743"/>
      <w:bookmarkStart w:id="1731" w:name="_Toc283794136"/>
      <w:bookmarkStart w:id="1732" w:name="_Toc288546588"/>
      <w:bookmarkStart w:id="1733" w:name="_Toc14625"/>
      <w:bookmarkStart w:id="1734" w:name="_Toc282779448"/>
      <w:bookmarkStart w:id="1735" w:name="_Toc233435952"/>
      <w:bookmarkStart w:id="1736" w:name="_Toc27510"/>
      <w:bookmarkStart w:id="1737" w:name="_Toc9451"/>
      <w:bookmarkStart w:id="1738" w:name="_Toc5265"/>
      <w:bookmarkStart w:id="1739" w:name="_Toc282787379"/>
      <w:bookmarkStart w:id="1740" w:name="_Toc4327"/>
      <w:bookmarkStart w:id="1741" w:name="_Toc282778939"/>
      <w:bookmarkStart w:id="1742" w:name="_Toc22611"/>
      <w:bookmarkStart w:id="1743" w:name="_Toc227"/>
      <w:bookmarkStart w:id="1744" w:name="_Toc17452"/>
      <w:bookmarkStart w:id="1745" w:name="_Toc18466"/>
      <w:bookmarkStart w:id="1746" w:name="_Toc26738"/>
      <w:bookmarkStart w:id="1747" w:name="_Toc16073"/>
      <w:bookmarkStart w:id="1748" w:name="_Toc27678"/>
      <w:bookmarkStart w:id="1749" w:name="_Toc14243"/>
      <w:bookmarkStart w:id="1750" w:name="_Toc287853288"/>
      <w:bookmarkStart w:id="1751" w:name="_Toc12312"/>
      <w:bookmarkStart w:id="1752" w:name="_Toc235846341"/>
      <w:bookmarkStart w:id="1753" w:name="_Toc706"/>
      <w:bookmarkStart w:id="1754" w:name="_Toc7409"/>
      <w:r>
        <w:rPr>
          <w:rFonts w:hint="eastAsia" w:ascii="Times New Roman" w:hAnsi="Times New Roman"/>
          <w:bCs w:val="0"/>
          <w:spacing w:val="0"/>
          <w:sz w:val="30"/>
          <w:szCs w:val="30"/>
        </w:rPr>
        <w:t>10</w:t>
      </w:r>
      <w:r>
        <w:rPr>
          <w:rFonts w:hint="eastAsia"/>
          <w:bCs w:val="0"/>
          <w:spacing w:val="0"/>
          <w:sz w:val="30"/>
          <w:szCs w:val="30"/>
        </w:rPr>
        <w:t>．需要补充的其它内容</w:t>
      </w:r>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p>
    <w:p>
      <w:pPr>
        <w:spacing w:line="400" w:lineRule="exact"/>
        <w:ind w:firstLine="420" w:firstLineChars="200"/>
        <w:rPr>
          <w:szCs w:val="21"/>
        </w:rPr>
      </w:pPr>
      <w:r>
        <w:rPr>
          <w:rFonts w:hint="eastAsia"/>
          <w:szCs w:val="21"/>
        </w:rPr>
        <w:t>10.1  自购买招标文件之日起，投标人应保证其提供的联系方式（电话、传真、电子邮件）一直有效，以保证往来函件（招标文件的澄清、修改等）能及时通知投标人，并能及时反馈信息，否则招标人不承担由此引起的一切后果。</w:t>
      </w:r>
    </w:p>
    <w:p>
      <w:pPr>
        <w:spacing w:line="400" w:lineRule="exact"/>
        <w:ind w:firstLine="420" w:firstLineChars="200"/>
        <w:rPr>
          <w:szCs w:val="21"/>
        </w:rPr>
      </w:pPr>
      <w:r>
        <w:rPr>
          <w:rFonts w:hint="eastAsia"/>
          <w:szCs w:val="21"/>
        </w:rPr>
        <w:t>需要补充的其它内容：见投标人须知前附表。</w:t>
      </w:r>
    </w:p>
    <w:p>
      <w:pPr>
        <w:pStyle w:val="6"/>
        <w:spacing w:after="0" w:line="415" w:lineRule="auto"/>
        <w:rPr>
          <w:rFonts w:ascii="黑体" w:eastAsia="黑体"/>
          <w:b w:val="0"/>
          <w:sz w:val="24"/>
          <w:szCs w:val="24"/>
        </w:rPr>
      </w:pPr>
      <w:bookmarkStart w:id="1755" w:name="_Toc282787380"/>
      <w:bookmarkStart w:id="1756" w:name="_Toc16667"/>
      <w:bookmarkStart w:id="1757" w:name="_Toc17851"/>
      <w:bookmarkStart w:id="1758" w:name="_Toc4418"/>
      <w:bookmarkStart w:id="1759" w:name="_Toc5075"/>
      <w:bookmarkStart w:id="1760" w:name="_Toc13155"/>
      <w:bookmarkStart w:id="1761" w:name="_Toc11840"/>
      <w:bookmarkStart w:id="1762" w:name="_Toc6268"/>
      <w:bookmarkStart w:id="1763" w:name="_Toc6138"/>
      <w:bookmarkStart w:id="1764" w:name="_Toc31534"/>
      <w:bookmarkStart w:id="1765" w:name="_Toc23557"/>
      <w:bookmarkStart w:id="1766" w:name="_Toc25959"/>
      <w:bookmarkStart w:id="1767" w:name="_Toc288491465"/>
      <w:bookmarkStart w:id="1768" w:name="_Toc287853289"/>
      <w:bookmarkStart w:id="1769" w:name="_Toc11069"/>
      <w:bookmarkStart w:id="1770" w:name="_Toc5714"/>
      <w:bookmarkStart w:id="1771" w:name="_Toc6124"/>
      <w:bookmarkStart w:id="1772" w:name="_Toc288546589"/>
      <w:bookmarkStart w:id="1773" w:name="_Toc19255"/>
      <w:bookmarkStart w:id="1774" w:name="_Toc283794137"/>
      <w:bookmarkStart w:id="1775" w:name="_Toc13585"/>
      <w:bookmarkStart w:id="1776" w:name="_Toc23980"/>
      <w:bookmarkStart w:id="1777" w:name="_Toc282778940"/>
      <w:bookmarkStart w:id="1778" w:name="_Toc282779449"/>
      <w:bookmarkStart w:id="1779" w:name="_Toc16976"/>
    </w:p>
    <w:p>
      <w:pPr>
        <w:rPr>
          <w:rFonts w:ascii="黑体" w:eastAsia="黑体"/>
          <w:sz w:val="24"/>
        </w:rPr>
      </w:pPr>
    </w:p>
    <w:p>
      <w:pPr>
        <w:pStyle w:val="18"/>
        <w:rPr>
          <w:rFonts w:ascii="黑体" w:eastAsia="黑体"/>
          <w:b w:val="0"/>
          <w:sz w:val="24"/>
          <w:szCs w:val="24"/>
        </w:rPr>
      </w:pPr>
    </w:p>
    <w:p>
      <w:pPr>
        <w:rPr>
          <w:rFonts w:ascii="黑体" w:eastAsia="黑体"/>
          <w:sz w:val="24"/>
        </w:rPr>
      </w:pPr>
    </w:p>
    <w:p>
      <w:pPr>
        <w:pStyle w:val="18"/>
        <w:rPr>
          <w:rFonts w:ascii="黑体" w:eastAsia="黑体"/>
          <w:b w:val="0"/>
          <w:sz w:val="24"/>
          <w:szCs w:val="24"/>
        </w:rPr>
      </w:pPr>
    </w:p>
    <w:p>
      <w:pPr>
        <w:rPr>
          <w:rFonts w:ascii="黑体" w:eastAsia="黑体"/>
          <w:sz w:val="24"/>
        </w:rPr>
      </w:pPr>
    </w:p>
    <w:p>
      <w:pPr>
        <w:pStyle w:val="18"/>
        <w:rPr>
          <w:rFonts w:ascii="黑体" w:eastAsia="黑体"/>
          <w:b w:val="0"/>
          <w:sz w:val="24"/>
          <w:szCs w:val="24"/>
        </w:rPr>
      </w:pPr>
    </w:p>
    <w:p>
      <w:pPr>
        <w:rPr>
          <w:rFonts w:ascii="黑体" w:eastAsia="黑体"/>
          <w:sz w:val="24"/>
        </w:rPr>
      </w:pPr>
    </w:p>
    <w:p>
      <w:pPr>
        <w:pStyle w:val="18"/>
      </w:pPr>
    </w:p>
    <w:p/>
    <w:p>
      <w:pPr>
        <w:pStyle w:val="2"/>
        <w:ind w:firstLine="0" w:firstLineChars="0"/>
      </w:pPr>
    </w:p>
    <w:p>
      <w:pPr>
        <w:rPr>
          <w:rFonts w:ascii="黑体" w:eastAsia="黑体"/>
          <w:sz w:val="24"/>
        </w:rPr>
      </w:pPr>
      <w:r>
        <w:rPr>
          <w:rFonts w:hint="eastAsia" w:ascii="黑体" w:eastAsia="黑体"/>
          <w:sz w:val="24"/>
        </w:rPr>
        <w:br w:type="page"/>
      </w:r>
    </w:p>
    <w:p>
      <w:pPr>
        <w:pStyle w:val="6"/>
        <w:spacing w:after="0" w:line="415" w:lineRule="auto"/>
        <w:rPr>
          <w:rFonts w:ascii="黑体" w:eastAsia="黑体"/>
          <w:b w:val="0"/>
          <w:sz w:val="24"/>
          <w:szCs w:val="24"/>
        </w:rPr>
      </w:pPr>
      <w:r>
        <w:rPr>
          <w:rFonts w:hint="eastAsia" w:ascii="黑体" w:eastAsia="黑体"/>
          <w:b w:val="0"/>
          <w:sz w:val="24"/>
          <w:szCs w:val="24"/>
        </w:rPr>
        <w:t>附表一  开标记录表</w:t>
      </w:r>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p>
    <w:tbl>
      <w:tblPr>
        <w:tblStyle w:val="20"/>
        <w:tblpPr w:leftFromText="180" w:rightFromText="180" w:vertAnchor="text" w:horzAnchor="margin" w:tblpXSpec="center" w:tblpY="676"/>
        <w:tblW w:w="624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02"/>
        <w:gridCol w:w="453"/>
        <w:gridCol w:w="454"/>
        <w:gridCol w:w="454"/>
        <w:gridCol w:w="454"/>
        <w:gridCol w:w="453"/>
        <w:gridCol w:w="454"/>
        <w:gridCol w:w="454"/>
        <w:gridCol w:w="454"/>
        <w:gridCol w:w="453"/>
        <w:gridCol w:w="454"/>
        <w:gridCol w:w="454"/>
        <w:gridCol w:w="45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683" w:hRule="atLeast"/>
        </w:trPr>
        <w:tc>
          <w:tcPr>
            <w:tcW w:w="802" w:type="dxa"/>
            <w:tcBorders>
              <w:top w:val="single" w:color="auto" w:sz="12" w:space="0"/>
              <w:bottom w:val="single" w:color="auto" w:sz="4" w:space="0"/>
            </w:tcBorders>
            <w:textDirection w:val="btLr"/>
            <w:vAlign w:val="center"/>
          </w:tcPr>
          <w:p>
            <w:pPr>
              <w:spacing w:line="200" w:lineRule="exact"/>
              <w:jc w:val="center"/>
              <w:rPr>
                <w:sz w:val="18"/>
                <w:szCs w:val="18"/>
              </w:rPr>
            </w:pPr>
            <w:r>
              <w:rPr>
                <w:rFonts w:hint="eastAsia"/>
                <w:sz w:val="18"/>
                <w:szCs w:val="18"/>
              </w:rPr>
              <w:t>联系电话</w:t>
            </w:r>
          </w:p>
        </w:tc>
        <w:tc>
          <w:tcPr>
            <w:tcW w:w="453" w:type="dxa"/>
            <w:tcBorders>
              <w:top w:val="single" w:color="auto" w:sz="12" w:space="0"/>
              <w:bottom w:val="single" w:color="auto" w:sz="4" w:space="0"/>
            </w:tcBorders>
            <w:textDirection w:val="lrTbV"/>
            <w:vAlign w:val="center"/>
          </w:tcPr>
          <w:p>
            <w:pPr>
              <w:spacing w:line="200" w:lineRule="exact"/>
              <w:rPr>
                <w:sz w:val="18"/>
                <w:szCs w:val="18"/>
              </w:rPr>
            </w:pPr>
          </w:p>
        </w:tc>
        <w:tc>
          <w:tcPr>
            <w:tcW w:w="454" w:type="dxa"/>
            <w:tcBorders>
              <w:top w:val="single" w:color="auto" w:sz="12" w:space="0"/>
              <w:bottom w:val="single" w:color="auto" w:sz="4" w:space="0"/>
            </w:tcBorders>
            <w:textDirection w:val="lrTbV"/>
            <w:vAlign w:val="center"/>
          </w:tcPr>
          <w:p>
            <w:pPr>
              <w:spacing w:line="200" w:lineRule="exact"/>
              <w:rPr>
                <w:sz w:val="18"/>
                <w:szCs w:val="18"/>
              </w:rPr>
            </w:pPr>
          </w:p>
        </w:tc>
        <w:tc>
          <w:tcPr>
            <w:tcW w:w="454" w:type="dxa"/>
            <w:tcBorders>
              <w:top w:val="single" w:color="auto" w:sz="12" w:space="0"/>
              <w:bottom w:val="single" w:color="auto" w:sz="4" w:space="0"/>
            </w:tcBorders>
            <w:textDirection w:val="lrTbV"/>
            <w:vAlign w:val="center"/>
          </w:tcPr>
          <w:p>
            <w:pPr>
              <w:spacing w:line="200" w:lineRule="exact"/>
              <w:rPr>
                <w:sz w:val="18"/>
                <w:szCs w:val="18"/>
              </w:rPr>
            </w:pPr>
          </w:p>
        </w:tc>
        <w:tc>
          <w:tcPr>
            <w:tcW w:w="454" w:type="dxa"/>
            <w:tcBorders>
              <w:top w:val="single" w:color="auto" w:sz="12" w:space="0"/>
              <w:bottom w:val="single" w:color="auto" w:sz="4" w:space="0"/>
            </w:tcBorders>
            <w:textDirection w:val="lrTbV"/>
            <w:vAlign w:val="center"/>
          </w:tcPr>
          <w:p>
            <w:pPr>
              <w:spacing w:line="200" w:lineRule="exact"/>
              <w:rPr>
                <w:sz w:val="18"/>
                <w:szCs w:val="18"/>
              </w:rPr>
            </w:pPr>
          </w:p>
        </w:tc>
        <w:tc>
          <w:tcPr>
            <w:tcW w:w="453" w:type="dxa"/>
            <w:tcBorders>
              <w:top w:val="single" w:color="auto" w:sz="12" w:space="0"/>
              <w:bottom w:val="single" w:color="auto" w:sz="4" w:space="0"/>
            </w:tcBorders>
            <w:textDirection w:val="lrTbV"/>
            <w:vAlign w:val="center"/>
          </w:tcPr>
          <w:p>
            <w:pPr>
              <w:spacing w:line="200" w:lineRule="exact"/>
              <w:rPr>
                <w:sz w:val="18"/>
                <w:szCs w:val="18"/>
              </w:rPr>
            </w:pPr>
          </w:p>
        </w:tc>
        <w:tc>
          <w:tcPr>
            <w:tcW w:w="454" w:type="dxa"/>
            <w:tcBorders>
              <w:top w:val="single" w:color="auto" w:sz="12" w:space="0"/>
              <w:bottom w:val="single" w:color="auto" w:sz="4" w:space="0"/>
            </w:tcBorders>
            <w:textDirection w:val="lrTbV"/>
            <w:vAlign w:val="center"/>
          </w:tcPr>
          <w:p>
            <w:pPr>
              <w:spacing w:line="200" w:lineRule="exact"/>
              <w:rPr>
                <w:sz w:val="18"/>
                <w:szCs w:val="18"/>
              </w:rPr>
            </w:pPr>
          </w:p>
        </w:tc>
        <w:tc>
          <w:tcPr>
            <w:tcW w:w="454" w:type="dxa"/>
            <w:tcBorders>
              <w:top w:val="single" w:color="auto" w:sz="12" w:space="0"/>
              <w:bottom w:val="single" w:color="auto" w:sz="4" w:space="0"/>
            </w:tcBorders>
            <w:textDirection w:val="lrTbV"/>
            <w:vAlign w:val="center"/>
          </w:tcPr>
          <w:p>
            <w:pPr>
              <w:spacing w:line="200" w:lineRule="exact"/>
              <w:rPr>
                <w:sz w:val="18"/>
                <w:szCs w:val="18"/>
              </w:rPr>
            </w:pPr>
          </w:p>
        </w:tc>
        <w:tc>
          <w:tcPr>
            <w:tcW w:w="454" w:type="dxa"/>
            <w:tcBorders>
              <w:top w:val="single" w:color="auto" w:sz="12" w:space="0"/>
              <w:bottom w:val="single" w:color="auto" w:sz="4" w:space="0"/>
            </w:tcBorders>
            <w:textDirection w:val="lrTbV"/>
            <w:vAlign w:val="center"/>
          </w:tcPr>
          <w:p>
            <w:pPr>
              <w:spacing w:line="200" w:lineRule="exact"/>
              <w:rPr>
                <w:sz w:val="18"/>
                <w:szCs w:val="18"/>
              </w:rPr>
            </w:pPr>
          </w:p>
        </w:tc>
        <w:tc>
          <w:tcPr>
            <w:tcW w:w="453" w:type="dxa"/>
            <w:tcBorders>
              <w:top w:val="single" w:color="auto" w:sz="12" w:space="0"/>
              <w:bottom w:val="single" w:color="auto" w:sz="6" w:space="0"/>
            </w:tcBorders>
            <w:textDirection w:val="lrTbV"/>
            <w:vAlign w:val="center"/>
          </w:tcPr>
          <w:p>
            <w:pPr>
              <w:spacing w:line="200" w:lineRule="exact"/>
              <w:rPr>
                <w:sz w:val="18"/>
                <w:szCs w:val="18"/>
              </w:rPr>
            </w:pPr>
          </w:p>
        </w:tc>
        <w:tc>
          <w:tcPr>
            <w:tcW w:w="454" w:type="dxa"/>
            <w:tcBorders>
              <w:top w:val="single" w:color="auto" w:sz="12" w:space="0"/>
              <w:bottom w:val="single" w:color="auto" w:sz="6" w:space="0"/>
            </w:tcBorders>
            <w:textDirection w:val="lrTbV"/>
            <w:vAlign w:val="center"/>
          </w:tcPr>
          <w:p>
            <w:pPr>
              <w:spacing w:line="200" w:lineRule="exact"/>
              <w:rPr>
                <w:sz w:val="18"/>
                <w:szCs w:val="18"/>
              </w:rPr>
            </w:pPr>
          </w:p>
        </w:tc>
        <w:tc>
          <w:tcPr>
            <w:tcW w:w="454" w:type="dxa"/>
            <w:tcBorders>
              <w:top w:val="single" w:color="auto" w:sz="12" w:space="0"/>
              <w:bottom w:val="single" w:color="auto" w:sz="6" w:space="0"/>
            </w:tcBorders>
            <w:textDirection w:val="lrTbV"/>
            <w:vAlign w:val="center"/>
          </w:tcPr>
          <w:p>
            <w:pPr>
              <w:spacing w:line="200" w:lineRule="exact"/>
              <w:rPr>
                <w:sz w:val="18"/>
                <w:szCs w:val="18"/>
              </w:rPr>
            </w:pPr>
          </w:p>
        </w:tc>
        <w:tc>
          <w:tcPr>
            <w:tcW w:w="454" w:type="dxa"/>
            <w:tcBorders>
              <w:top w:val="single" w:color="auto" w:sz="12" w:space="0"/>
              <w:bottom w:val="single" w:color="auto" w:sz="6" w:space="0"/>
            </w:tcBorders>
            <w:textDirection w:val="lrTbV"/>
            <w:vAlign w:val="center"/>
          </w:tcPr>
          <w:p>
            <w:pPr>
              <w:spacing w:line="200" w:lineRule="exact"/>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58" w:hRule="atLeast"/>
        </w:trPr>
        <w:tc>
          <w:tcPr>
            <w:tcW w:w="802" w:type="dxa"/>
            <w:tcBorders>
              <w:top w:val="single" w:color="auto" w:sz="4" w:space="0"/>
              <w:bottom w:val="single" w:color="auto" w:sz="4" w:space="0"/>
            </w:tcBorders>
            <w:textDirection w:val="btLr"/>
            <w:vAlign w:val="center"/>
          </w:tcPr>
          <w:p>
            <w:pPr>
              <w:spacing w:line="200" w:lineRule="exact"/>
              <w:jc w:val="center"/>
              <w:rPr>
                <w:sz w:val="18"/>
                <w:szCs w:val="18"/>
              </w:rPr>
            </w:pPr>
            <w:r>
              <w:rPr>
                <w:rFonts w:hint="eastAsia"/>
                <w:sz w:val="18"/>
                <w:szCs w:val="18"/>
              </w:rPr>
              <w:t>投标人</w:t>
            </w:r>
          </w:p>
          <w:p>
            <w:pPr>
              <w:spacing w:line="200" w:lineRule="exact"/>
              <w:jc w:val="center"/>
              <w:rPr>
                <w:sz w:val="18"/>
                <w:szCs w:val="18"/>
              </w:rPr>
            </w:pPr>
            <w:r>
              <w:rPr>
                <w:rFonts w:hint="eastAsia"/>
                <w:sz w:val="18"/>
                <w:szCs w:val="18"/>
              </w:rPr>
              <w:t>代表签字</w:t>
            </w:r>
          </w:p>
        </w:tc>
        <w:tc>
          <w:tcPr>
            <w:tcW w:w="453" w:type="dxa"/>
            <w:tcBorders>
              <w:top w:val="single" w:color="auto" w:sz="4" w:space="0"/>
              <w:bottom w:val="single" w:color="auto" w:sz="6" w:space="0"/>
            </w:tcBorders>
            <w:textDirection w:val="lrTbV"/>
            <w:vAlign w:val="center"/>
          </w:tcPr>
          <w:p>
            <w:pPr>
              <w:spacing w:line="200" w:lineRule="exact"/>
              <w:rPr>
                <w:sz w:val="18"/>
                <w:szCs w:val="18"/>
              </w:rPr>
            </w:pPr>
          </w:p>
        </w:tc>
        <w:tc>
          <w:tcPr>
            <w:tcW w:w="454" w:type="dxa"/>
            <w:tcBorders>
              <w:top w:val="single" w:color="auto" w:sz="4" w:space="0"/>
              <w:bottom w:val="single" w:color="auto" w:sz="6" w:space="0"/>
            </w:tcBorders>
            <w:textDirection w:val="lrTbV"/>
            <w:vAlign w:val="center"/>
          </w:tcPr>
          <w:p>
            <w:pPr>
              <w:spacing w:line="200" w:lineRule="exact"/>
              <w:rPr>
                <w:sz w:val="18"/>
                <w:szCs w:val="18"/>
              </w:rPr>
            </w:pPr>
          </w:p>
        </w:tc>
        <w:tc>
          <w:tcPr>
            <w:tcW w:w="454" w:type="dxa"/>
            <w:tcBorders>
              <w:top w:val="single" w:color="auto" w:sz="4" w:space="0"/>
              <w:bottom w:val="single" w:color="auto" w:sz="6" w:space="0"/>
            </w:tcBorders>
            <w:textDirection w:val="lrTbV"/>
            <w:vAlign w:val="center"/>
          </w:tcPr>
          <w:p>
            <w:pPr>
              <w:spacing w:line="200" w:lineRule="exact"/>
              <w:rPr>
                <w:sz w:val="18"/>
                <w:szCs w:val="18"/>
              </w:rPr>
            </w:pPr>
          </w:p>
        </w:tc>
        <w:tc>
          <w:tcPr>
            <w:tcW w:w="454" w:type="dxa"/>
            <w:tcBorders>
              <w:top w:val="single" w:color="auto" w:sz="4" w:space="0"/>
              <w:bottom w:val="single" w:color="auto" w:sz="6" w:space="0"/>
            </w:tcBorders>
            <w:textDirection w:val="lrTbV"/>
            <w:vAlign w:val="center"/>
          </w:tcPr>
          <w:p>
            <w:pPr>
              <w:spacing w:line="200" w:lineRule="exact"/>
              <w:rPr>
                <w:sz w:val="18"/>
                <w:szCs w:val="18"/>
              </w:rPr>
            </w:pPr>
          </w:p>
        </w:tc>
        <w:tc>
          <w:tcPr>
            <w:tcW w:w="453" w:type="dxa"/>
            <w:tcBorders>
              <w:top w:val="single" w:color="auto" w:sz="4" w:space="0"/>
              <w:bottom w:val="single" w:color="auto" w:sz="6" w:space="0"/>
            </w:tcBorders>
            <w:textDirection w:val="lrTbV"/>
            <w:vAlign w:val="center"/>
          </w:tcPr>
          <w:p>
            <w:pPr>
              <w:spacing w:line="200" w:lineRule="exact"/>
              <w:rPr>
                <w:sz w:val="18"/>
                <w:szCs w:val="18"/>
              </w:rPr>
            </w:pPr>
          </w:p>
        </w:tc>
        <w:tc>
          <w:tcPr>
            <w:tcW w:w="454" w:type="dxa"/>
            <w:tcBorders>
              <w:top w:val="single" w:color="auto" w:sz="4" w:space="0"/>
              <w:bottom w:val="single" w:color="auto" w:sz="6" w:space="0"/>
            </w:tcBorders>
            <w:textDirection w:val="lrTbV"/>
            <w:vAlign w:val="center"/>
          </w:tcPr>
          <w:p>
            <w:pPr>
              <w:spacing w:line="200" w:lineRule="exact"/>
              <w:rPr>
                <w:sz w:val="18"/>
                <w:szCs w:val="18"/>
              </w:rPr>
            </w:pPr>
          </w:p>
        </w:tc>
        <w:tc>
          <w:tcPr>
            <w:tcW w:w="454" w:type="dxa"/>
            <w:tcBorders>
              <w:top w:val="single" w:color="auto" w:sz="4" w:space="0"/>
              <w:bottom w:val="single" w:color="auto" w:sz="6" w:space="0"/>
            </w:tcBorders>
            <w:textDirection w:val="lrTbV"/>
            <w:vAlign w:val="center"/>
          </w:tcPr>
          <w:p>
            <w:pPr>
              <w:spacing w:line="200" w:lineRule="exact"/>
              <w:rPr>
                <w:sz w:val="18"/>
                <w:szCs w:val="18"/>
              </w:rPr>
            </w:pPr>
          </w:p>
        </w:tc>
        <w:tc>
          <w:tcPr>
            <w:tcW w:w="454" w:type="dxa"/>
            <w:tcBorders>
              <w:top w:val="single" w:color="auto" w:sz="4" w:space="0"/>
              <w:bottom w:val="single" w:color="auto" w:sz="6" w:space="0"/>
            </w:tcBorders>
            <w:textDirection w:val="lrTbV"/>
            <w:vAlign w:val="center"/>
          </w:tcPr>
          <w:p>
            <w:pPr>
              <w:spacing w:line="200" w:lineRule="exact"/>
              <w:rPr>
                <w:sz w:val="18"/>
                <w:szCs w:val="18"/>
              </w:rPr>
            </w:pPr>
          </w:p>
        </w:tc>
        <w:tc>
          <w:tcPr>
            <w:tcW w:w="453" w:type="dxa"/>
            <w:tcBorders>
              <w:top w:val="single" w:color="auto" w:sz="6" w:space="0"/>
              <w:bottom w:val="single" w:color="auto" w:sz="6" w:space="0"/>
            </w:tcBorders>
            <w:textDirection w:val="lrTbV"/>
            <w:vAlign w:val="center"/>
          </w:tcPr>
          <w:p>
            <w:pPr>
              <w:spacing w:line="200" w:lineRule="exact"/>
              <w:rPr>
                <w:sz w:val="18"/>
                <w:szCs w:val="18"/>
              </w:rPr>
            </w:pPr>
          </w:p>
        </w:tc>
        <w:tc>
          <w:tcPr>
            <w:tcW w:w="454" w:type="dxa"/>
            <w:tcBorders>
              <w:top w:val="single" w:color="auto" w:sz="6" w:space="0"/>
              <w:bottom w:val="single" w:color="auto" w:sz="6" w:space="0"/>
            </w:tcBorders>
            <w:textDirection w:val="lrTbV"/>
            <w:vAlign w:val="center"/>
          </w:tcPr>
          <w:p>
            <w:pPr>
              <w:spacing w:line="200" w:lineRule="exact"/>
              <w:rPr>
                <w:sz w:val="18"/>
                <w:szCs w:val="18"/>
              </w:rPr>
            </w:pPr>
          </w:p>
        </w:tc>
        <w:tc>
          <w:tcPr>
            <w:tcW w:w="454" w:type="dxa"/>
            <w:tcBorders>
              <w:top w:val="single" w:color="auto" w:sz="6" w:space="0"/>
              <w:bottom w:val="single" w:color="auto" w:sz="6" w:space="0"/>
            </w:tcBorders>
            <w:textDirection w:val="lrTbV"/>
            <w:vAlign w:val="center"/>
          </w:tcPr>
          <w:p>
            <w:pPr>
              <w:spacing w:line="200" w:lineRule="exact"/>
              <w:rPr>
                <w:sz w:val="18"/>
                <w:szCs w:val="18"/>
              </w:rPr>
            </w:pPr>
          </w:p>
        </w:tc>
        <w:tc>
          <w:tcPr>
            <w:tcW w:w="454" w:type="dxa"/>
            <w:tcBorders>
              <w:top w:val="single" w:color="auto" w:sz="6" w:space="0"/>
              <w:bottom w:val="single" w:color="auto" w:sz="6" w:space="0"/>
            </w:tcBorders>
            <w:textDirection w:val="lrTbV"/>
            <w:vAlign w:val="center"/>
          </w:tcPr>
          <w:p>
            <w:pPr>
              <w:spacing w:line="200" w:lineRule="exact"/>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58" w:hRule="atLeast"/>
        </w:trPr>
        <w:tc>
          <w:tcPr>
            <w:tcW w:w="802" w:type="dxa"/>
            <w:tcBorders>
              <w:top w:val="single" w:color="auto" w:sz="4" w:space="0"/>
              <w:bottom w:val="single" w:color="auto" w:sz="4" w:space="0"/>
            </w:tcBorders>
            <w:textDirection w:val="btLr"/>
            <w:vAlign w:val="center"/>
          </w:tcPr>
          <w:p>
            <w:pPr>
              <w:spacing w:line="200" w:lineRule="exact"/>
              <w:jc w:val="center"/>
              <w:rPr>
                <w:sz w:val="18"/>
                <w:szCs w:val="18"/>
              </w:rPr>
            </w:pPr>
            <w:r>
              <w:rPr>
                <w:rFonts w:hint="eastAsia"/>
                <w:sz w:val="18"/>
                <w:szCs w:val="18"/>
              </w:rPr>
              <w:t>项目经理</w:t>
            </w:r>
          </w:p>
        </w:tc>
        <w:tc>
          <w:tcPr>
            <w:tcW w:w="453" w:type="dxa"/>
            <w:tcBorders>
              <w:top w:val="single" w:color="auto" w:sz="4" w:space="0"/>
              <w:bottom w:val="single" w:color="auto" w:sz="6" w:space="0"/>
            </w:tcBorders>
            <w:textDirection w:val="lrTbV"/>
            <w:vAlign w:val="center"/>
          </w:tcPr>
          <w:p>
            <w:pPr>
              <w:spacing w:line="200" w:lineRule="exact"/>
              <w:rPr>
                <w:sz w:val="18"/>
                <w:szCs w:val="18"/>
              </w:rPr>
            </w:pPr>
          </w:p>
        </w:tc>
        <w:tc>
          <w:tcPr>
            <w:tcW w:w="454" w:type="dxa"/>
            <w:tcBorders>
              <w:top w:val="single" w:color="auto" w:sz="4" w:space="0"/>
              <w:bottom w:val="single" w:color="auto" w:sz="6" w:space="0"/>
            </w:tcBorders>
            <w:textDirection w:val="lrTbV"/>
            <w:vAlign w:val="center"/>
          </w:tcPr>
          <w:p>
            <w:pPr>
              <w:spacing w:line="200" w:lineRule="exact"/>
              <w:rPr>
                <w:sz w:val="18"/>
                <w:szCs w:val="18"/>
              </w:rPr>
            </w:pPr>
          </w:p>
        </w:tc>
        <w:tc>
          <w:tcPr>
            <w:tcW w:w="454" w:type="dxa"/>
            <w:tcBorders>
              <w:top w:val="single" w:color="auto" w:sz="4" w:space="0"/>
              <w:bottom w:val="single" w:color="auto" w:sz="6" w:space="0"/>
            </w:tcBorders>
            <w:textDirection w:val="lrTbV"/>
            <w:vAlign w:val="center"/>
          </w:tcPr>
          <w:p>
            <w:pPr>
              <w:spacing w:line="200" w:lineRule="exact"/>
              <w:rPr>
                <w:sz w:val="18"/>
                <w:szCs w:val="18"/>
              </w:rPr>
            </w:pPr>
          </w:p>
        </w:tc>
        <w:tc>
          <w:tcPr>
            <w:tcW w:w="454" w:type="dxa"/>
            <w:tcBorders>
              <w:top w:val="single" w:color="auto" w:sz="4" w:space="0"/>
              <w:bottom w:val="single" w:color="auto" w:sz="6" w:space="0"/>
            </w:tcBorders>
            <w:textDirection w:val="lrTbV"/>
            <w:vAlign w:val="center"/>
          </w:tcPr>
          <w:p>
            <w:pPr>
              <w:spacing w:line="200" w:lineRule="exact"/>
              <w:rPr>
                <w:sz w:val="18"/>
                <w:szCs w:val="18"/>
              </w:rPr>
            </w:pPr>
          </w:p>
        </w:tc>
        <w:tc>
          <w:tcPr>
            <w:tcW w:w="453" w:type="dxa"/>
            <w:tcBorders>
              <w:top w:val="single" w:color="auto" w:sz="4" w:space="0"/>
              <w:bottom w:val="single" w:color="auto" w:sz="6" w:space="0"/>
            </w:tcBorders>
            <w:textDirection w:val="lrTbV"/>
            <w:vAlign w:val="center"/>
          </w:tcPr>
          <w:p>
            <w:pPr>
              <w:spacing w:line="200" w:lineRule="exact"/>
              <w:rPr>
                <w:sz w:val="18"/>
                <w:szCs w:val="18"/>
              </w:rPr>
            </w:pPr>
          </w:p>
        </w:tc>
        <w:tc>
          <w:tcPr>
            <w:tcW w:w="454" w:type="dxa"/>
            <w:tcBorders>
              <w:top w:val="single" w:color="auto" w:sz="4" w:space="0"/>
              <w:bottom w:val="single" w:color="auto" w:sz="6" w:space="0"/>
            </w:tcBorders>
            <w:textDirection w:val="lrTbV"/>
            <w:vAlign w:val="center"/>
          </w:tcPr>
          <w:p>
            <w:pPr>
              <w:spacing w:line="200" w:lineRule="exact"/>
              <w:rPr>
                <w:sz w:val="18"/>
                <w:szCs w:val="18"/>
              </w:rPr>
            </w:pPr>
          </w:p>
        </w:tc>
        <w:tc>
          <w:tcPr>
            <w:tcW w:w="454" w:type="dxa"/>
            <w:tcBorders>
              <w:top w:val="single" w:color="auto" w:sz="4" w:space="0"/>
              <w:bottom w:val="single" w:color="auto" w:sz="6" w:space="0"/>
            </w:tcBorders>
            <w:textDirection w:val="lrTbV"/>
            <w:vAlign w:val="center"/>
          </w:tcPr>
          <w:p>
            <w:pPr>
              <w:spacing w:line="200" w:lineRule="exact"/>
              <w:rPr>
                <w:sz w:val="18"/>
                <w:szCs w:val="18"/>
              </w:rPr>
            </w:pPr>
          </w:p>
        </w:tc>
        <w:tc>
          <w:tcPr>
            <w:tcW w:w="454" w:type="dxa"/>
            <w:tcBorders>
              <w:top w:val="single" w:color="auto" w:sz="4" w:space="0"/>
              <w:bottom w:val="single" w:color="auto" w:sz="6" w:space="0"/>
            </w:tcBorders>
            <w:textDirection w:val="lrTbV"/>
            <w:vAlign w:val="center"/>
          </w:tcPr>
          <w:p>
            <w:pPr>
              <w:spacing w:line="200" w:lineRule="exact"/>
              <w:rPr>
                <w:sz w:val="18"/>
                <w:szCs w:val="18"/>
              </w:rPr>
            </w:pPr>
          </w:p>
        </w:tc>
        <w:tc>
          <w:tcPr>
            <w:tcW w:w="453" w:type="dxa"/>
            <w:tcBorders>
              <w:top w:val="single" w:color="auto" w:sz="6" w:space="0"/>
              <w:bottom w:val="single" w:color="auto" w:sz="6" w:space="0"/>
            </w:tcBorders>
            <w:textDirection w:val="lrTbV"/>
            <w:vAlign w:val="center"/>
          </w:tcPr>
          <w:p>
            <w:pPr>
              <w:spacing w:line="200" w:lineRule="exact"/>
              <w:rPr>
                <w:sz w:val="18"/>
                <w:szCs w:val="18"/>
              </w:rPr>
            </w:pPr>
          </w:p>
        </w:tc>
        <w:tc>
          <w:tcPr>
            <w:tcW w:w="454" w:type="dxa"/>
            <w:tcBorders>
              <w:top w:val="single" w:color="auto" w:sz="6" w:space="0"/>
              <w:bottom w:val="single" w:color="auto" w:sz="6" w:space="0"/>
            </w:tcBorders>
            <w:textDirection w:val="lrTbV"/>
            <w:vAlign w:val="center"/>
          </w:tcPr>
          <w:p>
            <w:pPr>
              <w:spacing w:line="200" w:lineRule="exact"/>
              <w:rPr>
                <w:sz w:val="18"/>
                <w:szCs w:val="18"/>
              </w:rPr>
            </w:pPr>
          </w:p>
        </w:tc>
        <w:tc>
          <w:tcPr>
            <w:tcW w:w="454" w:type="dxa"/>
            <w:tcBorders>
              <w:top w:val="single" w:color="auto" w:sz="6" w:space="0"/>
              <w:bottom w:val="single" w:color="auto" w:sz="6" w:space="0"/>
            </w:tcBorders>
            <w:textDirection w:val="lrTbV"/>
            <w:vAlign w:val="center"/>
          </w:tcPr>
          <w:p>
            <w:pPr>
              <w:spacing w:line="200" w:lineRule="exact"/>
              <w:rPr>
                <w:sz w:val="18"/>
                <w:szCs w:val="18"/>
              </w:rPr>
            </w:pPr>
          </w:p>
        </w:tc>
        <w:tc>
          <w:tcPr>
            <w:tcW w:w="454" w:type="dxa"/>
            <w:tcBorders>
              <w:top w:val="single" w:color="auto" w:sz="6" w:space="0"/>
              <w:bottom w:val="single" w:color="auto" w:sz="6" w:space="0"/>
            </w:tcBorders>
            <w:textDirection w:val="lrTbV"/>
            <w:vAlign w:val="center"/>
          </w:tcPr>
          <w:p>
            <w:pPr>
              <w:spacing w:line="200" w:lineRule="exact"/>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31" w:hRule="atLeast"/>
        </w:trPr>
        <w:tc>
          <w:tcPr>
            <w:tcW w:w="802" w:type="dxa"/>
            <w:tcBorders>
              <w:top w:val="single" w:color="auto" w:sz="4" w:space="0"/>
              <w:bottom w:val="single" w:color="auto" w:sz="4" w:space="0"/>
            </w:tcBorders>
            <w:textDirection w:val="btLr"/>
            <w:vAlign w:val="center"/>
          </w:tcPr>
          <w:p>
            <w:pPr>
              <w:spacing w:line="200" w:lineRule="exact"/>
              <w:jc w:val="center"/>
              <w:rPr>
                <w:sz w:val="18"/>
                <w:szCs w:val="18"/>
              </w:rPr>
            </w:pPr>
            <w:r>
              <w:rPr>
                <w:rFonts w:hint="eastAsia"/>
                <w:sz w:val="18"/>
                <w:szCs w:val="18"/>
              </w:rPr>
              <w:t>质量目标</w:t>
            </w:r>
          </w:p>
        </w:tc>
        <w:tc>
          <w:tcPr>
            <w:tcW w:w="453" w:type="dxa"/>
            <w:tcBorders>
              <w:top w:val="single" w:color="auto" w:sz="6" w:space="0"/>
              <w:bottom w:val="single" w:color="auto" w:sz="4" w:space="0"/>
            </w:tcBorders>
            <w:textDirection w:val="lrTbV"/>
            <w:vAlign w:val="center"/>
          </w:tcPr>
          <w:p>
            <w:pPr>
              <w:spacing w:line="200" w:lineRule="exact"/>
              <w:rPr>
                <w:sz w:val="18"/>
                <w:szCs w:val="18"/>
              </w:rPr>
            </w:pPr>
          </w:p>
        </w:tc>
        <w:tc>
          <w:tcPr>
            <w:tcW w:w="454" w:type="dxa"/>
            <w:tcBorders>
              <w:top w:val="single" w:color="auto" w:sz="6" w:space="0"/>
              <w:bottom w:val="single" w:color="auto" w:sz="4" w:space="0"/>
            </w:tcBorders>
            <w:textDirection w:val="lrTbV"/>
            <w:vAlign w:val="center"/>
          </w:tcPr>
          <w:p>
            <w:pPr>
              <w:spacing w:line="200" w:lineRule="exact"/>
              <w:rPr>
                <w:sz w:val="18"/>
                <w:szCs w:val="18"/>
              </w:rPr>
            </w:pPr>
          </w:p>
        </w:tc>
        <w:tc>
          <w:tcPr>
            <w:tcW w:w="454" w:type="dxa"/>
            <w:tcBorders>
              <w:top w:val="single" w:color="auto" w:sz="6" w:space="0"/>
              <w:bottom w:val="single" w:color="auto" w:sz="4" w:space="0"/>
            </w:tcBorders>
            <w:textDirection w:val="lrTbV"/>
            <w:vAlign w:val="center"/>
          </w:tcPr>
          <w:p>
            <w:pPr>
              <w:spacing w:line="200" w:lineRule="exact"/>
              <w:rPr>
                <w:sz w:val="18"/>
                <w:szCs w:val="18"/>
              </w:rPr>
            </w:pPr>
          </w:p>
        </w:tc>
        <w:tc>
          <w:tcPr>
            <w:tcW w:w="454" w:type="dxa"/>
            <w:tcBorders>
              <w:top w:val="single" w:color="auto" w:sz="6" w:space="0"/>
              <w:bottom w:val="single" w:color="auto" w:sz="4" w:space="0"/>
            </w:tcBorders>
            <w:textDirection w:val="lrTbV"/>
            <w:vAlign w:val="center"/>
          </w:tcPr>
          <w:p>
            <w:pPr>
              <w:spacing w:line="200" w:lineRule="exact"/>
              <w:rPr>
                <w:sz w:val="18"/>
                <w:szCs w:val="18"/>
              </w:rPr>
            </w:pPr>
          </w:p>
        </w:tc>
        <w:tc>
          <w:tcPr>
            <w:tcW w:w="453" w:type="dxa"/>
            <w:tcBorders>
              <w:top w:val="single" w:color="auto" w:sz="6" w:space="0"/>
              <w:bottom w:val="single" w:color="auto" w:sz="4" w:space="0"/>
            </w:tcBorders>
            <w:textDirection w:val="lrTbV"/>
            <w:vAlign w:val="center"/>
          </w:tcPr>
          <w:p>
            <w:pPr>
              <w:spacing w:line="200" w:lineRule="exact"/>
              <w:rPr>
                <w:sz w:val="18"/>
                <w:szCs w:val="18"/>
              </w:rPr>
            </w:pPr>
          </w:p>
        </w:tc>
        <w:tc>
          <w:tcPr>
            <w:tcW w:w="454" w:type="dxa"/>
            <w:tcBorders>
              <w:top w:val="single" w:color="auto" w:sz="6" w:space="0"/>
              <w:bottom w:val="single" w:color="auto" w:sz="4" w:space="0"/>
            </w:tcBorders>
            <w:textDirection w:val="lrTbV"/>
            <w:vAlign w:val="center"/>
          </w:tcPr>
          <w:p>
            <w:pPr>
              <w:spacing w:line="200" w:lineRule="exact"/>
              <w:rPr>
                <w:sz w:val="18"/>
                <w:szCs w:val="18"/>
              </w:rPr>
            </w:pPr>
          </w:p>
        </w:tc>
        <w:tc>
          <w:tcPr>
            <w:tcW w:w="454" w:type="dxa"/>
            <w:tcBorders>
              <w:top w:val="single" w:color="auto" w:sz="6" w:space="0"/>
              <w:bottom w:val="single" w:color="auto" w:sz="4" w:space="0"/>
            </w:tcBorders>
            <w:textDirection w:val="lrTbV"/>
            <w:vAlign w:val="center"/>
          </w:tcPr>
          <w:p>
            <w:pPr>
              <w:spacing w:line="200" w:lineRule="exact"/>
              <w:rPr>
                <w:sz w:val="18"/>
                <w:szCs w:val="18"/>
              </w:rPr>
            </w:pPr>
          </w:p>
        </w:tc>
        <w:tc>
          <w:tcPr>
            <w:tcW w:w="454" w:type="dxa"/>
            <w:tcBorders>
              <w:top w:val="single" w:color="auto" w:sz="6" w:space="0"/>
              <w:bottom w:val="single" w:color="auto" w:sz="4" w:space="0"/>
            </w:tcBorders>
            <w:textDirection w:val="lrTbV"/>
            <w:vAlign w:val="center"/>
          </w:tcPr>
          <w:p>
            <w:pPr>
              <w:spacing w:line="200" w:lineRule="exact"/>
              <w:rPr>
                <w:sz w:val="18"/>
                <w:szCs w:val="18"/>
              </w:rPr>
            </w:pPr>
          </w:p>
        </w:tc>
        <w:tc>
          <w:tcPr>
            <w:tcW w:w="453" w:type="dxa"/>
            <w:tcBorders>
              <w:top w:val="single" w:color="auto" w:sz="6" w:space="0"/>
              <w:bottom w:val="single" w:color="auto" w:sz="4" w:space="0"/>
            </w:tcBorders>
            <w:textDirection w:val="lrTbV"/>
            <w:vAlign w:val="center"/>
          </w:tcPr>
          <w:p>
            <w:pPr>
              <w:spacing w:line="200" w:lineRule="exact"/>
              <w:rPr>
                <w:sz w:val="18"/>
                <w:szCs w:val="18"/>
              </w:rPr>
            </w:pPr>
          </w:p>
        </w:tc>
        <w:tc>
          <w:tcPr>
            <w:tcW w:w="454" w:type="dxa"/>
            <w:tcBorders>
              <w:top w:val="single" w:color="auto" w:sz="6" w:space="0"/>
              <w:bottom w:val="single" w:color="auto" w:sz="4" w:space="0"/>
            </w:tcBorders>
            <w:textDirection w:val="lrTbV"/>
            <w:vAlign w:val="center"/>
          </w:tcPr>
          <w:p>
            <w:pPr>
              <w:spacing w:line="200" w:lineRule="exact"/>
              <w:rPr>
                <w:sz w:val="18"/>
                <w:szCs w:val="18"/>
              </w:rPr>
            </w:pPr>
          </w:p>
        </w:tc>
        <w:tc>
          <w:tcPr>
            <w:tcW w:w="454" w:type="dxa"/>
            <w:tcBorders>
              <w:top w:val="single" w:color="auto" w:sz="6" w:space="0"/>
              <w:bottom w:val="single" w:color="auto" w:sz="4" w:space="0"/>
            </w:tcBorders>
            <w:textDirection w:val="lrTbV"/>
            <w:vAlign w:val="center"/>
          </w:tcPr>
          <w:p>
            <w:pPr>
              <w:spacing w:line="200" w:lineRule="exact"/>
              <w:rPr>
                <w:sz w:val="18"/>
                <w:szCs w:val="18"/>
              </w:rPr>
            </w:pPr>
          </w:p>
        </w:tc>
        <w:tc>
          <w:tcPr>
            <w:tcW w:w="454" w:type="dxa"/>
            <w:tcBorders>
              <w:top w:val="single" w:color="auto" w:sz="6" w:space="0"/>
              <w:bottom w:val="single" w:color="auto" w:sz="4" w:space="0"/>
            </w:tcBorders>
            <w:textDirection w:val="lrTbV"/>
            <w:vAlign w:val="center"/>
          </w:tcPr>
          <w:p>
            <w:pPr>
              <w:spacing w:line="200" w:lineRule="exact"/>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20" w:hRule="atLeast"/>
        </w:trPr>
        <w:tc>
          <w:tcPr>
            <w:tcW w:w="802" w:type="dxa"/>
            <w:tcBorders>
              <w:top w:val="single" w:color="auto" w:sz="4" w:space="0"/>
              <w:left w:val="single" w:color="auto" w:sz="12" w:space="0"/>
              <w:bottom w:val="single" w:color="auto" w:sz="4" w:space="0"/>
            </w:tcBorders>
            <w:textDirection w:val="btLr"/>
            <w:vAlign w:val="center"/>
          </w:tcPr>
          <w:p>
            <w:pPr>
              <w:spacing w:line="200" w:lineRule="exact"/>
              <w:jc w:val="center"/>
              <w:rPr>
                <w:sz w:val="18"/>
                <w:szCs w:val="18"/>
              </w:rPr>
            </w:pPr>
            <w:r>
              <w:rPr>
                <w:rFonts w:hint="eastAsia"/>
                <w:sz w:val="18"/>
                <w:szCs w:val="18"/>
              </w:rPr>
              <w:t>工期</w:t>
            </w:r>
          </w:p>
          <w:p>
            <w:pPr>
              <w:spacing w:line="200" w:lineRule="exact"/>
              <w:jc w:val="center"/>
              <w:rPr>
                <w:sz w:val="18"/>
                <w:szCs w:val="18"/>
              </w:rPr>
            </w:pPr>
            <w:r>
              <w:rPr>
                <w:rFonts w:hint="eastAsia"/>
                <w:sz w:val="18"/>
                <w:szCs w:val="18"/>
              </w:rPr>
              <w:t>（天）</w:t>
            </w:r>
          </w:p>
        </w:tc>
        <w:tc>
          <w:tcPr>
            <w:tcW w:w="453" w:type="dxa"/>
            <w:tcBorders>
              <w:top w:val="single" w:color="auto" w:sz="4" w:space="0"/>
              <w:bottom w:val="single" w:color="auto" w:sz="4" w:space="0"/>
            </w:tcBorders>
            <w:textDirection w:val="lrTbV"/>
            <w:vAlign w:val="center"/>
          </w:tcPr>
          <w:p>
            <w:pPr>
              <w:spacing w:line="200" w:lineRule="exact"/>
              <w:rPr>
                <w:sz w:val="18"/>
                <w:szCs w:val="18"/>
              </w:rPr>
            </w:pPr>
          </w:p>
        </w:tc>
        <w:tc>
          <w:tcPr>
            <w:tcW w:w="454" w:type="dxa"/>
            <w:tcBorders>
              <w:top w:val="single" w:color="auto" w:sz="4" w:space="0"/>
              <w:bottom w:val="single" w:color="auto" w:sz="4" w:space="0"/>
            </w:tcBorders>
            <w:textDirection w:val="lrTbV"/>
            <w:vAlign w:val="center"/>
          </w:tcPr>
          <w:p>
            <w:pPr>
              <w:spacing w:line="200" w:lineRule="exact"/>
              <w:rPr>
                <w:sz w:val="18"/>
                <w:szCs w:val="18"/>
              </w:rPr>
            </w:pPr>
          </w:p>
        </w:tc>
        <w:tc>
          <w:tcPr>
            <w:tcW w:w="454" w:type="dxa"/>
            <w:tcBorders>
              <w:top w:val="single" w:color="auto" w:sz="4" w:space="0"/>
              <w:bottom w:val="single" w:color="auto" w:sz="6" w:space="0"/>
            </w:tcBorders>
            <w:textDirection w:val="lrTbV"/>
            <w:vAlign w:val="center"/>
          </w:tcPr>
          <w:p>
            <w:pPr>
              <w:spacing w:line="200" w:lineRule="exact"/>
              <w:rPr>
                <w:sz w:val="18"/>
                <w:szCs w:val="18"/>
              </w:rPr>
            </w:pPr>
          </w:p>
        </w:tc>
        <w:tc>
          <w:tcPr>
            <w:tcW w:w="454" w:type="dxa"/>
            <w:tcBorders>
              <w:top w:val="single" w:color="auto" w:sz="4" w:space="0"/>
              <w:bottom w:val="single" w:color="auto" w:sz="6" w:space="0"/>
            </w:tcBorders>
            <w:textDirection w:val="lrTbV"/>
            <w:vAlign w:val="center"/>
          </w:tcPr>
          <w:p>
            <w:pPr>
              <w:spacing w:line="200" w:lineRule="exact"/>
              <w:rPr>
                <w:sz w:val="18"/>
                <w:szCs w:val="18"/>
              </w:rPr>
            </w:pPr>
          </w:p>
        </w:tc>
        <w:tc>
          <w:tcPr>
            <w:tcW w:w="453" w:type="dxa"/>
            <w:tcBorders>
              <w:top w:val="single" w:color="auto" w:sz="4" w:space="0"/>
              <w:bottom w:val="single" w:color="auto" w:sz="6" w:space="0"/>
            </w:tcBorders>
            <w:textDirection w:val="lrTbV"/>
            <w:vAlign w:val="center"/>
          </w:tcPr>
          <w:p>
            <w:pPr>
              <w:spacing w:line="200" w:lineRule="exact"/>
              <w:rPr>
                <w:sz w:val="18"/>
                <w:szCs w:val="18"/>
              </w:rPr>
            </w:pPr>
          </w:p>
        </w:tc>
        <w:tc>
          <w:tcPr>
            <w:tcW w:w="454" w:type="dxa"/>
            <w:tcBorders>
              <w:top w:val="single" w:color="auto" w:sz="4" w:space="0"/>
              <w:bottom w:val="single" w:color="auto" w:sz="6" w:space="0"/>
            </w:tcBorders>
            <w:textDirection w:val="lrTbV"/>
            <w:vAlign w:val="center"/>
          </w:tcPr>
          <w:p>
            <w:pPr>
              <w:spacing w:line="200" w:lineRule="exact"/>
              <w:rPr>
                <w:sz w:val="18"/>
                <w:szCs w:val="18"/>
              </w:rPr>
            </w:pPr>
          </w:p>
        </w:tc>
        <w:tc>
          <w:tcPr>
            <w:tcW w:w="454" w:type="dxa"/>
            <w:tcBorders>
              <w:top w:val="single" w:color="auto" w:sz="4" w:space="0"/>
              <w:bottom w:val="single" w:color="auto" w:sz="6" w:space="0"/>
            </w:tcBorders>
            <w:textDirection w:val="lrTbV"/>
            <w:vAlign w:val="center"/>
          </w:tcPr>
          <w:p>
            <w:pPr>
              <w:spacing w:line="200" w:lineRule="exact"/>
              <w:rPr>
                <w:sz w:val="18"/>
                <w:szCs w:val="18"/>
              </w:rPr>
            </w:pPr>
          </w:p>
        </w:tc>
        <w:tc>
          <w:tcPr>
            <w:tcW w:w="454" w:type="dxa"/>
            <w:tcBorders>
              <w:top w:val="single" w:color="auto" w:sz="4" w:space="0"/>
              <w:bottom w:val="single" w:color="auto" w:sz="6" w:space="0"/>
            </w:tcBorders>
            <w:textDirection w:val="lrTbV"/>
            <w:vAlign w:val="center"/>
          </w:tcPr>
          <w:p>
            <w:pPr>
              <w:spacing w:line="200" w:lineRule="exact"/>
              <w:rPr>
                <w:sz w:val="18"/>
                <w:szCs w:val="18"/>
              </w:rPr>
            </w:pPr>
          </w:p>
        </w:tc>
        <w:tc>
          <w:tcPr>
            <w:tcW w:w="453" w:type="dxa"/>
            <w:tcBorders>
              <w:top w:val="single" w:color="auto" w:sz="4" w:space="0"/>
              <w:bottom w:val="single" w:color="auto" w:sz="6" w:space="0"/>
            </w:tcBorders>
            <w:textDirection w:val="lrTbV"/>
            <w:vAlign w:val="center"/>
          </w:tcPr>
          <w:p>
            <w:pPr>
              <w:spacing w:line="200" w:lineRule="exact"/>
              <w:rPr>
                <w:sz w:val="18"/>
                <w:szCs w:val="18"/>
              </w:rPr>
            </w:pPr>
          </w:p>
        </w:tc>
        <w:tc>
          <w:tcPr>
            <w:tcW w:w="454" w:type="dxa"/>
            <w:tcBorders>
              <w:top w:val="single" w:color="auto" w:sz="4" w:space="0"/>
              <w:bottom w:val="single" w:color="auto" w:sz="6" w:space="0"/>
            </w:tcBorders>
            <w:textDirection w:val="lrTbV"/>
            <w:vAlign w:val="center"/>
          </w:tcPr>
          <w:p>
            <w:pPr>
              <w:spacing w:line="200" w:lineRule="exact"/>
              <w:rPr>
                <w:sz w:val="18"/>
                <w:szCs w:val="18"/>
              </w:rPr>
            </w:pPr>
          </w:p>
        </w:tc>
        <w:tc>
          <w:tcPr>
            <w:tcW w:w="454" w:type="dxa"/>
            <w:tcBorders>
              <w:top w:val="single" w:color="auto" w:sz="6" w:space="0"/>
              <w:bottom w:val="single" w:color="auto" w:sz="6" w:space="0"/>
            </w:tcBorders>
            <w:textDirection w:val="lrTbV"/>
            <w:vAlign w:val="center"/>
          </w:tcPr>
          <w:p>
            <w:pPr>
              <w:spacing w:line="200" w:lineRule="exact"/>
              <w:rPr>
                <w:sz w:val="18"/>
                <w:szCs w:val="18"/>
              </w:rPr>
            </w:pPr>
          </w:p>
        </w:tc>
        <w:tc>
          <w:tcPr>
            <w:tcW w:w="454" w:type="dxa"/>
            <w:tcBorders>
              <w:top w:val="single" w:color="auto" w:sz="6" w:space="0"/>
              <w:bottom w:val="single" w:color="auto" w:sz="6" w:space="0"/>
            </w:tcBorders>
            <w:textDirection w:val="lrTbV"/>
            <w:vAlign w:val="center"/>
          </w:tcPr>
          <w:p>
            <w:pPr>
              <w:spacing w:line="200" w:lineRule="exact"/>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342" w:hRule="atLeast"/>
        </w:trPr>
        <w:tc>
          <w:tcPr>
            <w:tcW w:w="802" w:type="dxa"/>
            <w:tcBorders>
              <w:top w:val="single" w:color="auto" w:sz="4" w:space="0"/>
              <w:bottom w:val="single" w:color="auto" w:sz="4" w:space="0"/>
            </w:tcBorders>
            <w:textDirection w:val="btLr"/>
            <w:vAlign w:val="center"/>
          </w:tcPr>
          <w:p>
            <w:pPr>
              <w:spacing w:line="200" w:lineRule="exact"/>
              <w:jc w:val="center"/>
              <w:rPr>
                <w:sz w:val="18"/>
                <w:szCs w:val="18"/>
              </w:rPr>
            </w:pPr>
            <w:r>
              <w:rPr>
                <w:rFonts w:hint="eastAsia"/>
                <w:sz w:val="18"/>
                <w:szCs w:val="18"/>
              </w:rPr>
              <w:t>最终报价</w:t>
            </w:r>
          </w:p>
          <w:p>
            <w:pPr>
              <w:spacing w:line="200" w:lineRule="exact"/>
              <w:jc w:val="center"/>
              <w:rPr>
                <w:sz w:val="18"/>
                <w:szCs w:val="18"/>
              </w:rPr>
            </w:pPr>
            <w:r>
              <w:rPr>
                <w:rFonts w:hint="eastAsia"/>
                <w:sz w:val="18"/>
                <w:szCs w:val="18"/>
              </w:rPr>
              <w:t>（元）</w:t>
            </w:r>
          </w:p>
        </w:tc>
        <w:tc>
          <w:tcPr>
            <w:tcW w:w="453" w:type="dxa"/>
            <w:tcBorders>
              <w:top w:val="single" w:color="auto" w:sz="4" w:space="0"/>
              <w:bottom w:val="single" w:color="auto" w:sz="4" w:space="0"/>
            </w:tcBorders>
            <w:textDirection w:val="lrTbV"/>
            <w:vAlign w:val="center"/>
          </w:tcPr>
          <w:p>
            <w:pPr>
              <w:spacing w:line="200" w:lineRule="exact"/>
              <w:rPr>
                <w:sz w:val="18"/>
                <w:szCs w:val="18"/>
              </w:rPr>
            </w:pPr>
          </w:p>
        </w:tc>
        <w:tc>
          <w:tcPr>
            <w:tcW w:w="454" w:type="dxa"/>
            <w:tcBorders>
              <w:top w:val="single" w:color="auto" w:sz="4" w:space="0"/>
              <w:bottom w:val="single" w:color="auto" w:sz="4" w:space="0"/>
            </w:tcBorders>
            <w:textDirection w:val="lrTbV"/>
            <w:vAlign w:val="center"/>
          </w:tcPr>
          <w:p>
            <w:pPr>
              <w:spacing w:line="200" w:lineRule="exact"/>
              <w:rPr>
                <w:sz w:val="18"/>
                <w:szCs w:val="18"/>
              </w:rPr>
            </w:pPr>
          </w:p>
        </w:tc>
        <w:tc>
          <w:tcPr>
            <w:tcW w:w="454" w:type="dxa"/>
            <w:tcBorders>
              <w:top w:val="single" w:color="auto" w:sz="6" w:space="0"/>
              <w:bottom w:val="single" w:color="auto" w:sz="4" w:space="0"/>
            </w:tcBorders>
            <w:textDirection w:val="lrTbV"/>
            <w:vAlign w:val="center"/>
          </w:tcPr>
          <w:p>
            <w:pPr>
              <w:spacing w:line="200" w:lineRule="exact"/>
              <w:rPr>
                <w:sz w:val="18"/>
                <w:szCs w:val="18"/>
              </w:rPr>
            </w:pPr>
          </w:p>
        </w:tc>
        <w:tc>
          <w:tcPr>
            <w:tcW w:w="454" w:type="dxa"/>
            <w:tcBorders>
              <w:top w:val="single" w:color="auto" w:sz="6" w:space="0"/>
              <w:bottom w:val="single" w:color="auto" w:sz="4" w:space="0"/>
            </w:tcBorders>
            <w:textDirection w:val="lrTbV"/>
            <w:vAlign w:val="center"/>
          </w:tcPr>
          <w:p>
            <w:pPr>
              <w:spacing w:line="200" w:lineRule="exact"/>
              <w:rPr>
                <w:sz w:val="18"/>
                <w:szCs w:val="18"/>
              </w:rPr>
            </w:pPr>
          </w:p>
        </w:tc>
        <w:tc>
          <w:tcPr>
            <w:tcW w:w="453" w:type="dxa"/>
            <w:tcBorders>
              <w:top w:val="single" w:color="auto" w:sz="6" w:space="0"/>
              <w:bottom w:val="single" w:color="auto" w:sz="4" w:space="0"/>
            </w:tcBorders>
            <w:textDirection w:val="lrTbV"/>
            <w:vAlign w:val="center"/>
          </w:tcPr>
          <w:p>
            <w:pPr>
              <w:spacing w:line="200" w:lineRule="exact"/>
              <w:rPr>
                <w:sz w:val="18"/>
                <w:szCs w:val="18"/>
              </w:rPr>
            </w:pPr>
          </w:p>
        </w:tc>
        <w:tc>
          <w:tcPr>
            <w:tcW w:w="454" w:type="dxa"/>
            <w:tcBorders>
              <w:top w:val="single" w:color="auto" w:sz="6" w:space="0"/>
              <w:bottom w:val="single" w:color="auto" w:sz="4" w:space="0"/>
            </w:tcBorders>
            <w:textDirection w:val="lrTbV"/>
            <w:vAlign w:val="center"/>
          </w:tcPr>
          <w:p>
            <w:pPr>
              <w:spacing w:line="200" w:lineRule="exact"/>
              <w:rPr>
                <w:sz w:val="18"/>
                <w:szCs w:val="18"/>
              </w:rPr>
            </w:pPr>
          </w:p>
        </w:tc>
        <w:tc>
          <w:tcPr>
            <w:tcW w:w="454" w:type="dxa"/>
            <w:tcBorders>
              <w:top w:val="single" w:color="auto" w:sz="6" w:space="0"/>
              <w:bottom w:val="single" w:color="auto" w:sz="4" w:space="0"/>
            </w:tcBorders>
            <w:textDirection w:val="lrTbV"/>
            <w:vAlign w:val="center"/>
          </w:tcPr>
          <w:p>
            <w:pPr>
              <w:spacing w:line="200" w:lineRule="exact"/>
              <w:rPr>
                <w:sz w:val="18"/>
                <w:szCs w:val="18"/>
              </w:rPr>
            </w:pPr>
          </w:p>
        </w:tc>
        <w:tc>
          <w:tcPr>
            <w:tcW w:w="454" w:type="dxa"/>
            <w:tcBorders>
              <w:top w:val="single" w:color="auto" w:sz="6" w:space="0"/>
              <w:bottom w:val="single" w:color="auto" w:sz="4" w:space="0"/>
            </w:tcBorders>
            <w:textDirection w:val="lrTbV"/>
            <w:vAlign w:val="center"/>
          </w:tcPr>
          <w:p>
            <w:pPr>
              <w:spacing w:line="200" w:lineRule="exact"/>
              <w:rPr>
                <w:sz w:val="18"/>
                <w:szCs w:val="18"/>
              </w:rPr>
            </w:pPr>
          </w:p>
        </w:tc>
        <w:tc>
          <w:tcPr>
            <w:tcW w:w="453" w:type="dxa"/>
            <w:tcBorders>
              <w:top w:val="single" w:color="auto" w:sz="6" w:space="0"/>
              <w:bottom w:val="single" w:color="auto" w:sz="4" w:space="0"/>
            </w:tcBorders>
            <w:textDirection w:val="lrTbV"/>
            <w:vAlign w:val="center"/>
          </w:tcPr>
          <w:p>
            <w:pPr>
              <w:spacing w:line="200" w:lineRule="exact"/>
              <w:rPr>
                <w:sz w:val="18"/>
                <w:szCs w:val="18"/>
              </w:rPr>
            </w:pPr>
          </w:p>
        </w:tc>
        <w:tc>
          <w:tcPr>
            <w:tcW w:w="454" w:type="dxa"/>
            <w:tcBorders>
              <w:top w:val="single" w:color="auto" w:sz="6" w:space="0"/>
              <w:bottom w:val="single" w:color="auto" w:sz="4" w:space="0"/>
            </w:tcBorders>
            <w:textDirection w:val="lrTbV"/>
            <w:vAlign w:val="center"/>
          </w:tcPr>
          <w:p>
            <w:pPr>
              <w:spacing w:line="200" w:lineRule="exact"/>
              <w:rPr>
                <w:sz w:val="18"/>
                <w:szCs w:val="18"/>
              </w:rPr>
            </w:pPr>
          </w:p>
        </w:tc>
        <w:tc>
          <w:tcPr>
            <w:tcW w:w="454" w:type="dxa"/>
            <w:tcBorders>
              <w:top w:val="single" w:color="auto" w:sz="6" w:space="0"/>
              <w:bottom w:val="single" w:color="auto" w:sz="6" w:space="0"/>
            </w:tcBorders>
            <w:textDirection w:val="lrTbV"/>
            <w:vAlign w:val="center"/>
          </w:tcPr>
          <w:p>
            <w:pPr>
              <w:spacing w:line="200" w:lineRule="exact"/>
              <w:rPr>
                <w:sz w:val="18"/>
                <w:szCs w:val="18"/>
              </w:rPr>
            </w:pPr>
          </w:p>
        </w:tc>
        <w:tc>
          <w:tcPr>
            <w:tcW w:w="454" w:type="dxa"/>
            <w:tcBorders>
              <w:top w:val="single" w:color="auto" w:sz="6" w:space="0"/>
              <w:bottom w:val="single" w:color="auto" w:sz="6" w:space="0"/>
            </w:tcBorders>
            <w:textDirection w:val="lrTbV"/>
            <w:vAlign w:val="center"/>
          </w:tcPr>
          <w:p>
            <w:pPr>
              <w:spacing w:line="200" w:lineRule="exact"/>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481" w:hRule="atLeast"/>
        </w:trPr>
        <w:tc>
          <w:tcPr>
            <w:tcW w:w="802" w:type="dxa"/>
            <w:tcBorders>
              <w:top w:val="single" w:color="auto" w:sz="4" w:space="0"/>
            </w:tcBorders>
            <w:textDirection w:val="btLr"/>
            <w:vAlign w:val="center"/>
          </w:tcPr>
          <w:p>
            <w:pPr>
              <w:spacing w:line="200" w:lineRule="exact"/>
              <w:jc w:val="center"/>
              <w:rPr>
                <w:sz w:val="18"/>
                <w:szCs w:val="18"/>
              </w:rPr>
            </w:pPr>
            <w:r>
              <w:rPr>
                <w:rFonts w:hint="eastAsia"/>
                <w:sz w:val="18"/>
                <w:szCs w:val="18"/>
              </w:rPr>
              <w:t>投标报价</w:t>
            </w:r>
          </w:p>
          <w:p>
            <w:pPr>
              <w:spacing w:line="200" w:lineRule="exact"/>
              <w:jc w:val="center"/>
              <w:rPr>
                <w:sz w:val="18"/>
                <w:szCs w:val="18"/>
              </w:rPr>
            </w:pPr>
            <w:r>
              <w:rPr>
                <w:rFonts w:hint="eastAsia"/>
                <w:sz w:val="18"/>
                <w:szCs w:val="18"/>
              </w:rPr>
              <w:t>（元）</w:t>
            </w:r>
          </w:p>
        </w:tc>
        <w:tc>
          <w:tcPr>
            <w:tcW w:w="453" w:type="dxa"/>
            <w:tcBorders>
              <w:top w:val="single" w:color="auto" w:sz="4" w:space="0"/>
            </w:tcBorders>
            <w:textDirection w:val="lrTbV"/>
            <w:vAlign w:val="center"/>
          </w:tcPr>
          <w:p>
            <w:pPr>
              <w:spacing w:line="200" w:lineRule="exact"/>
              <w:rPr>
                <w:sz w:val="18"/>
                <w:szCs w:val="18"/>
              </w:rPr>
            </w:pPr>
          </w:p>
        </w:tc>
        <w:tc>
          <w:tcPr>
            <w:tcW w:w="454" w:type="dxa"/>
            <w:tcBorders>
              <w:top w:val="single" w:color="auto" w:sz="4" w:space="0"/>
            </w:tcBorders>
            <w:textDirection w:val="lrTbV"/>
            <w:vAlign w:val="center"/>
          </w:tcPr>
          <w:p>
            <w:pPr>
              <w:spacing w:line="200" w:lineRule="exact"/>
              <w:rPr>
                <w:sz w:val="18"/>
                <w:szCs w:val="18"/>
              </w:rPr>
            </w:pPr>
          </w:p>
        </w:tc>
        <w:tc>
          <w:tcPr>
            <w:tcW w:w="454" w:type="dxa"/>
            <w:tcBorders>
              <w:top w:val="single" w:color="auto" w:sz="4" w:space="0"/>
            </w:tcBorders>
            <w:textDirection w:val="lrTbV"/>
            <w:vAlign w:val="center"/>
          </w:tcPr>
          <w:p>
            <w:pPr>
              <w:spacing w:line="200" w:lineRule="exact"/>
              <w:rPr>
                <w:sz w:val="18"/>
                <w:szCs w:val="18"/>
              </w:rPr>
            </w:pPr>
          </w:p>
        </w:tc>
        <w:tc>
          <w:tcPr>
            <w:tcW w:w="454" w:type="dxa"/>
            <w:tcBorders>
              <w:top w:val="single" w:color="auto" w:sz="4" w:space="0"/>
            </w:tcBorders>
            <w:textDirection w:val="lrTbV"/>
            <w:vAlign w:val="center"/>
          </w:tcPr>
          <w:p>
            <w:pPr>
              <w:spacing w:line="200" w:lineRule="exact"/>
              <w:rPr>
                <w:sz w:val="18"/>
                <w:szCs w:val="18"/>
              </w:rPr>
            </w:pPr>
          </w:p>
        </w:tc>
        <w:tc>
          <w:tcPr>
            <w:tcW w:w="453" w:type="dxa"/>
            <w:tcBorders>
              <w:top w:val="single" w:color="auto" w:sz="4" w:space="0"/>
            </w:tcBorders>
            <w:textDirection w:val="lrTbV"/>
            <w:vAlign w:val="center"/>
          </w:tcPr>
          <w:p>
            <w:pPr>
              <w:spacing w:line="200" w:lineRule="exact"/>
              <w:rPr>
                <w:sz w:val="18"/>
                <w:szCs w:val="18"/>
              </w:rPr>
            </w:pPr>
          </w:p>
        </w:tc>
        <w:tc>
          <w:tcPr>
            <w:tcW w:w="454" w:type="dxa"/>
            <w:tcBorders>
              <w:top w:val="single" w:color="auto" w:sz="4" w:space="0"/>
            </w:tcBorders>
            <w:textDirection w:val="lrTbV"/>
            <w:vAlign w:val="center"/>
          </w:tcPr>
          <w:p>
            <w:pPr>
              <w:spacing w:line="200" w:lineRule="exact"/>
              <w:rPr>
                <w:sz w:val="18"/>
                <w:szCs w:val="18"/>
              </w:rPr>
            </w:pPr>
          </w:p>
        </w:tc>
        <w:tc>
          <w:tcPr>
            <w:tcW w:w="454" w:type="dxa"/>
            <w:tcBorders>
              <w:top w:val="single" w:color="auto" w:sz="4" w:space="0"/>
            </w:tcBorders>
            <w:textDirection w:val="lrTbV"/>
            <w:vAlign w:val="center"/>
          </w:tcPr>
          <w:p>
            <w:pPr>
              <w:spacing w:line="200" w:lineRule="exact"/>
              <w:rPr>
                <w:sz w:val="18"/>
                <w:szCs w:val="18"/>
              </w:rPr>
            </w:pPr>
          </w:p>
        </w:tc>
        <w:tc>
          <w:tcPr>
            <w:tcW w:w="454" w:type="dxa"/>
            <w:tcBorders>
              <w:top w:val="single" w:color="auto" w:sz="4" w:space="0"/>
            </w:tcBorders>
            <w:textDirection w:val="lrTbV"/>
            <w:vAlign w:val="center"/>
          </w:tcPr>
          <w:p>
            <w:pPr>
              <w:spacing w:line="200" w:lineRule="exact"/>
              <w:rPr>
                <w:sz w:val="18"/>
                <w:szCs w:val="18"/>
              </w:rPr>
            </w:pPr>
          </w:p>
        </w:tc>
        <w:tc>
          <w:tcPr>
            <w:tcW w:w="453" w:type="dxa"/>
            <w:tcBorders>
              <w:top w:val="single" w:color="auto" w:sz="4" w:space="0"/>
            </w:tcBorders>
            <w:textDirection w:val="lrTbV"/>
            <w:vAlign w:val="center"/>
          </w:tcPr>
          <w:p>
            <w:pPr>
              <w:spacing w:line="200" w:lineRule="exact"/>
              <w:rPr>
                <w:sz w:val="18"/>
                <w:szCs w:val="18"/>
              </w:rPr>
            </w:pPr>
          </w:p>
        </w:tc>
        <w:tc>
          <w:tcPr>
            <w:tcW w:w="454" w:type="dxa"/>
            <w:tcBorders>
              <w:top w:val="single" w:color="auto" w:sz="4" w:space="0"/>
            </w:tcBorders>
            <w:textDirection w:val="lrTbV"/>
            <w:vAlign w:val="center"/>
          </w:tcPr>
          <w:p>
            <w:pPr>
              <w:spacing w:line="200" w:lineRule="exact"/>
              <w:rPr>
                <w:sz w:val="18"/>
                <w:szCs w:val="18"/>
              </w:rPr>
            </w:pPr>
          </w:p>
        </w:tc>
        <w:tc>
          <w:tcPr>
            <w:tcW w:w="454" w:type="dxa"/>
            <w:tcBorders>
              <w:top w:val="single" w:color="auto" w:sz="6" w:space="0"/>
            </w:tcBorders>
            <w:textDirection w:val="lrTbV"/>
            <w:vAlign w:val="center"/>
          </w:tcPr>
          <w:p>
            <w:pPr>
              <w:spacing w:line="200" w:lineRule="exact"/>
              <w:rPr>
                <w:sz w:val="18"/>
                <w:szCs w:val="18"/>
              </w:rPr>
            </w:pPr>
          </w:p>
        </w:tc>
        <w:tc>
          <w:tcPr>
            <w:tcW w:w="454" w:type="dxa"/>
            <w:vMerge w:val="restart"/>
            <w:tcBorders>
              <w:top w:val="single" w:color="auto" w:sz="6" w:space="0"/>
            </w:tcBorders>
            <w:textDirection w:val="btLr"/>
            <w:vAlign w:val="center"/>
          </w:tcPr>
          <w:p>
            <w:pPr>
              <w:spacing w:line="200" w:lineRule="exact"/>
              <w:ind w:left="113" w:right="113"/>
              <w:jc w:val="center"/>
              <w:rPr>
                <w:sz w:val="18"/>
                <w:szCs w:val="18"/>
              </w:rPr>
            </w:pPr>
            <w:r>
              <w:rPr>
                <w:rFonts w:hint="eastAsia"/>
                <w:sz w:val="18"/>
                <w:szCs w:val="18"/>
              </w:rPr>
              <w:t>招标人编制的投标控制价（元）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298" w:hRule="atLeast"/>
        </w:trPr>
        <w:tc>
          <w:tcPr>
            <w:tcW w:w="802" w:type="dxa"/>
            <w:tcBorders>
              <w:top w:val="single" w:color="auto" w:sz="4" w:space="0"/>
              <w:bottom w:val="single" w:color="auto" w:sz="4" w:space="0"/>
            </w:tcBorders>
            <w:textDirection w:val="lrTbV"/>
            <w:vAlign w:val="center"/>
          </w:tcPr>
          <w:p>
            <w:pPr>
              <w:spacing w:line="200" w:lineRule="exact"/>
              <w:jc w:val="center"/>
              <w:rPr>
                <w:sz w:val="18"/>
                <w:szCs w:val="18"/>
              </w:rPr>
            </w:pPr>
          </w:p>
          <w:p>
            <w:pPr>
              <w:spacing w:line="200" w:lineRule="exact"/>
              <w:jc w:val="center"/>
              <w:rPr>
                <w:sz w:val="18"/>
                <w:szCs w:val="18"/>
              </w:rPr>
            </w:pPr>
          </w:p>
          <w:p>
            <w:pPr>
              <w:spacing w:line="200" w:lineRule="exact"/>
              <w:jc w:val="center"/>
              <w:rPr>
                <w:sz w:val="18"/>
                <w:szCs w:val="18"/>
              </w:rPr>
            </w:pPr>
            <w:r>
              <w:rPr>
                <w:rFonts w:hint="eastAsia"/>
                <w:sz w:val="18"/>
                <w:szCs w:val="18"/>
              </w:rPr>
              <w:t>人</w:t>
            </w:r>
          </w:p>
          <w:p>
            <w:pPr>
              <w:spacing w:line="200" w:lineRule="exact"/>
              <w:jc w:val="center"/>
              <w:rPr>
                <w:sz w:val="18"/>
                <w:szCs w:val="18"/>
              </w:rPr>
            </w:pPr>
          </w:p>
          <w:p>
            <w:pPr>
              <w:spacing w:line="200" w:lineRule="exact"/>
              <w:jc w:val="center"/>
              <w:rPr>
                <w:sz w:val="18"/>
                <w:szCs w:val="18"/>
              </w:rPr>
            </w:pPr>
            <w:r>
              <w:rPr>
                <w:rFonts w:hint="eastAsia"/>
                <w:sz w:val="18"/>
                <w:szCs w:val="18"/>
              </w:rPr>
              <w:t>标</w:t>
            </w:r>
          </w:p>
          <w:p>
            <w:pPr>
              <w:spacing w:line="200" w:lineRule="exact"/>
              <w:jc w:val="center"/>
              <w:rPr>
                <w:sz w:val="18"/>
                <w:szCs w:val="18"/>
              </w:rPr>
            </w:pPr>
          </w:p>
          <w:p>
            <w:pPr>
              <w:spacing w:line="200" w:lineRule="exact"/>
              <w:jc w:val="center"/>
              <w:rPr>
                <w:sz w:val="18"/>
                <w:szCs w:val="18"/>
              </w:rPr>
            </w:pPr>
            <w:r>
              <w:rPr>
                <w:rFonts w:hint="eastAsia"/>
                <w:sz w:val="18"/>
                <w:szCs w:val="18"/>
              </w:rPr>
              <w:t>投</w:t>
            </w:r>
          </w:p>
        </w:tc>
        <w:tc>
          <w:tcPr>
            <w:tcW w:w="453" w:type="dxa"/>
            <w:tcBorders>
              <w:top w:val="single" w:color="auto" w:sz="6" w:space="0"/>
              <w:bottom w:val="single" w:color="auto" w:sz="4" w:space="0"/>
            </w:tcBorders>
            <w:textDirection w:val="lrTbV"/>
            <w:vAlign w:val="center"/>
          </w:tcPr>
          <w:p>
            <w:pPr>
              <w:spacing w:line="200" w:lineRule="exact"/>
              <w:rPr>
                <w:sz w:val="18"/>
                <w:szCs w:val="18"/>
              </w:rPr>
            </w:pPr>
          </w:p>
        </w:tc>
        <w:tc>
          <w:tcPr>
            <w:tcW w:w="454" w:type="dxa"/>
            <w:tcBorders>
              <w:top w:val="single" w:color="auto" w:sz="6" w:space="0"/>
              <w:bottom w:val="single" w:color="auto" w:sz="4" w:space="0"/>
            </w:tcBorders>
            <w:textDirection w:val="lrTbV"/>
            <w:vAlign w:val="center"/>
          </w:tcPr>
          <w:p>
            <w:pPr>
              <w:spacing w:line="200" w:lineRule="exact"/>
              <w:rPr>
                <w:sz w:val="18"/>
                <w:szCs w:val="18"/>
              </w:rPr>
            </w:pPr>
          </w:p>
        </w:tc>
        <w:tc>
          <w:tcPr>
            <w:tcW w:w="454" w:type="dxa"/>
            <w:tcBorders>
              <w:top w:val="single" w:color="auto" w:sz="6" w:space="0"/>
              <w:bottom w:val="single" w:color="auto" w:sz="4" w:space="0"/>
            </w:tcBorders>
            <w:textDirection w:val="lrTbV"/>
            <w:vAlign w:val="center"/>
          </w:tcPr>
          <w:p>
            <w:pPr>
              <w:spacing w:line="200" w:lineRule="exact"/>
              <w:rPr>
                <w:sz w:val="18"/>
                <w:szCs w:val="18"/>
              </w:rPr>
            </w:pPr>
          </w:p>
        </w:tc>
        <w:tc>
          <w:tcPr>
            <w:tcW w:w="454" w:type="dxa"/>
            <w:tcBorders>
              <w:top w:val="single" w:color="auto" w:sz="6" w:space="0"/>
              <w:bottom w:val="single" w:color="auto" w:sz="4" w:space="0"/>
            </w:tcBorders>
            <w:textDirection w:val="lrTbV"/>
            <w:vAlign w:val="center"/>
          </w:tcPr>
          <w:p>
            <w:pPr>
              <w:spacing w:line="200" w:lineRule="exact"/>
              <w:rPr>
                <w:sz w:val="18"/>
                <w:szCs w:val="18"/>
              </w:rPr>
            </w:pPr>
          </w:p>
        </w:tc>
        <w:tc>
          <w:tcPr>
            <w:tcW w:w="453" w:type="dxa"/>
            <w:tcBorders>
              <w:top w:val="single" w:color="auto" w:sz="6" w:space="0"/>
              <w:bottom w:val="single" w:color="auto" w:sz="6" w:space="0"/>
            </w:tcBorders>
            <w:textDirection w:val="lrTbV"/>
            <w:vAlign w:val="center"/>
          </w:tcPr>
          <w:p>
            <w:pPr>
              <w:spacing w:line="200" w:lineRule="exact"/>
              <w:rPr>
                <w:sz w:val="18"/>
                <w:szCs w:val="18"/>
              </w:rPr>
            </w:pPr>
          </w:p>
        </w:tc>
        <w:tc>
          <w:tcPr>
            <w:tcW w:w="454" w:type="dxa"/>
            <w:tcBorders>
              <w:top w:val="single" w:color="auto" w:sz="6" w:space="0"/>
              <w:bottom w:val="single" w:color="auto" w:sz="6" w:space="0"/>
            </w:tcBorders>
            <w:textDirection w:val="lrTbV"/>
            <w:vAlign w:val="center"/>
          </w:tcPr>
          <w:p>
            <w:pPr>
              <w:spacing w:line="200" w:lineRule="exact"/>
              <w:rPr>
                <w:sz w:val="18"/>
                <w:szCs w:val="18"/>
              </w:rPr>
            </w:pPr>
          </w:p>
        </w:tc>
        <w:tc>
          <w:tcPr>
            <w:tcW w:w="454" w:type="dxa"/>
            <w:tcBorders>
              <w:top w:val="single" w:color="auto" w:sz="6" w:space="0"/>
              <w:bottom w:val="single" w:color="auto" w:sz="6" w:space="0"/>
            </w:tcBorders>
            <w:textDirection w:val="lrTbV"/>
            <w:vAlign w:val="center"/>
          </w:tcPr>
          <w:p>
            <w:pPr>
              <w:spacing w:line="200" w:lineRule="exact"/>
              <w:rPr>
                <w:sz w:val="18"/>
                <w:szCs w:val="18"/>
              </w:rPr>
            </w:pPr>
          </w:p>
        </w:tc>
        <w:tc>
          <w:tcPr>
            <w:tcW w:w="454" w:type="dxa"/>
            <w:tcBorders>
              <w:top w:val="single" w:color="auto" w:sz="6" w:space="0"/>
              <w:bottom w:val="single" w:color="auto" w:sz="6" w:space="0"/>
            </w:tcBorders>
            <w:textDirection w:val="lrTbV"/>
            <w:vAlign w:val="center"/>
          </w:tcPr>
          <w:p>
            <w:pPr>
              <w:spacing w:line="200" w:lineRule="exact"/>
              <w:rPr>
                <w:sz w:val="18"/>
                <w:szCs w:val="18"/>
              </w:rPr>
            </w:pPr>
          </w:p>
        </w:tc>
        <w:tc>
          <w:tcPr>
            <w:tcW w:w="453" w:type="dxa"/>
            <w:tcBorders>
              <w:top w:val="single" w:color="auto" w:sz="6" w:space="0"/>
              <w:bottom w:val="single" w:color="auto" w:sz="6" w:space="0"/>
            </w:tcBorders>
            <w:textDirection w:val="lrTbV"/>
            <w:vAlign w:val="center"/>
          </w:tcPr>
          <w:p>
            <w:pPr>
              <w:spacing w:line="200" w:lineRule="exact"/>
              <w:rPr>
                <w:sz w:val="18"/>
                <w:szCs w:val="18"/>
              </w:rPr>
            </w:pPr>
          </w:p>
        </w:tc>
        <w:tc>
          <w:tcPr>
            <w:tcW w:w="454" w:type="dxa"/>
            <w:tcBorders>
              <w:top w:val="single" w:color="auto" w:sz="6" w:space="0"/>
              <w:bottom w:val="single" w:color="auto" w:sz="6" w:space="0"/>
            </w:tcBorders>
            <w:textDirection w:val="lrTbV"/>
            <w:vAlign w:val="center"/>
          </w:tcPr>
          <w:p>
            <w:pPr>
              <w:spacing w:line="200" w:lineRule="exact"/>
              <w:rPr>
                <w:sz w:val="18"/>
                <w:szCs w:val="18"/>
              </w:rPr>
            </w:pPr>
          </w:p>
        </w:tc>
        <w:tc>
          <w:tcPr>
            <w:tcW w:w="454" w:type="dxa"/>
            <w:tcBorders>
              <w:top w:val="single" w:color="auto" w:sz="6" w:space="0"/>
              <w:bottom w:val="single" w:color="auto" w:sz="6" w:space="0"/>
            </w:tcBorders>
            <w:textDirection w:val="lrTbV"/>
            <w:vAlign w:val="center"/>
          </w:tcPr>
          <w:p>
            <w:pPr>
              <w:spacing w:line="200" w:lineRule="exact"/>
              <w:rPr>
                <w:sz w:val="18"/>
                <w:szCs w:val="18"/>
              </w:rPr>
            </w:pPr>
          </w:p>
        </w:tc>
        <w:tc>
          <w:tcPr>
            <w:tcW w:w="454" w:type="dxa"/>
            <w:vMerge w:val="continue"/>
            <w:textDirection w:val="lrTbV"/>
            <w:vAlign w:val="center"/>
          </w:tcPr>
          <w:p>
            <w:pPr>
              <w:spacing w:line="200" w:lineRule="exact"/>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0" w:hRule="atLeast"/>
        </w:trPr>
        <w:tc>
          <w:tcPr>
            <w:tcW w:w="802" w:type="dxa"/>
            <w:tcBorders>
              <w:top w:val="single" w:color="auto" w:sz="4" w:space="0"/>
              <w:bottom w:val="single" w:color="auto" w:sz="12" w:space="0"/>
            </w:tcBorders>
            <w:textDirection w:val="lrTbV"/>
            <w:vAlign w:val="center"/>
          </w:tcPr>
          <w:p>
            <w:pPr>
              <w:spacing w:line="200" w:lineRule="exact"/>
              <w:ind w:left="113" w:right="113"/>
              <w:jc w:val="center"/>
              <w:rPr>
                <w:sz w:val="18"/>
                <w:szCs w:val="18"/>
              </w:rPr>
            </w:pPr>
            <w:r>
              <w:rPr>
                <w:rFonts w:hint="eastAsia"/>
                <w:sz w:val="18"/>
                <w:szCs w:val="18"/>
              </w:rPr>
              <w:t>号</w:t>
            </w:r>
          </w:p>
          <w:p>
            <w:pPr>
              <w:spacing w:line="200" w:lineRule="exact"/>
              <w:jc w:val="center"/>
              <w:rPr>
                <w:sz w:val="18"/>
                <w:szCs w:val="18"/>
              </w:rPr>
            </w:pPr>
            <w:r>
              <w:rPr>
                <w:rFonts w:hint="eastAsia"/>
                <w:sz w:val="18"/>
                <w:szCs w:val="18"/>
              </w:rPr>
              <w:t>序</w:t>
            </w:r>
          </w:p>
        </w:tc>
        <w:tc>
          <w:tcPr>
            <w:tcW w:w="453" w:type="dxa"/>
            <w:tcBorders>
              <w:top w:val="single" w:color="auto" w:sz="4" w:space="0"/>
              <w:bottom w:val="single" w:color="auto" w:sz="12" w:space="0"/>
            </w:tcBorders>
            <w:textDirection w:val="lrTbV"/>
            <w:vAlign w:val="center"/>
          </w:tcPr>
          <w:p>
            <w:pPr>
              <w:spacing w:line="200" w:lineRule="exact"/>
              <w:rPr>
                <w:sz w:val="18"/>
                <w:szCs w:val="18"/>
              </w:rPr>
            </w:pPr>
          </w:p>
        </w:tc>
        <w:tc>
          <w:tcPr>
            <w:tcW w:w="454" w:type="dxa"/>
            <w:tcBorders>
              <w:top w:val="single" w:color="auto" w:sz="4" w:space="0"/>
              <w:bottom w:val="single" w:color="auto" w:sz="12" w:space="0"/>
            </w:tcBorders>
            <w:textDirection w:val="lrTbV"/>
            <w:vAlign w:val="center"/>
          </w:tcPr>
          <w:p>
            <w:pPr>
              <w:spacing w:line="200" w:lineRule="exact"/>
              <w:rPr>
                <w:sz w:val="18"/>
                <w:szCs w:val="18"/>
              </w:rPr>
            </w:pPr>
          </w:p>
        </w:tc>
        <w:tc>
          <w:tcPr>
            <w:tcW w:w="454" w:type="dxa"/>
            <w:tcBorders>
              <w:top w:val="single" w:color="auto" w:sz="4" w:space="0"/>
              <w:bottom w:val="single" w:color="auto" w:sz="12" w:space="0"/>
            </w:tcBorders>
            <w:textDirection w:val="lrTbV"/>
            <w:vAlign w:val="center"/>
          </w:tcPr>
          <w:p>
            <w:pPr>
              <w:spacing w:line="200" w:lineRule="exact"/>
              <w:rPr>
                <w:sz w:val="18"/>
                <w:szCs w:val="18"/>
              </w:rPr>
            </w:pPr>
          </w:p>
        </w:tc>
        <w:tc>
          <w:tcPr>
            <w:tcW w:w="454" w:type="dxa"/>
            <w:tcBorders>
              <w:top w:val="single" w:color="auto" w:sz="4" w:space="0"/>
              <w:bottom w:val="single" w:color="auto" w:sz="12" w:space="0"/>
            </w:tcBorders>
            <w:textDirection w:val="lrTbV"/>
            <w:vAlign w:val="center"/>
          </w:tcPr>
          <w:p>
            <w:pPr>
              <w:spacing w:line="200" w:lineRule="exact"/>
              <w:rPr>
                <w:sz w:val="18"/>
                <w:szCs w:val="18"/>
              </w:rPr>
            </w:pPr>
          </w:p>
        </w:tc>
        <w:tc>
          <w:tcPr>
            <w:tcW w:w="453" w:type="dxa"/>
            <w:tcBorders>
              <w:top w:val="single" w:color="auto" w:sz="6" w:space="0"/>
              <w:bottom w:val="single" w:color="auto" w:sz="12" w:space="0"/>
            </w:tcBorders>
            <w:textDirection w:val="lrTbV"/>
            <w:vAlign w:val="center"/>
          </w:tcPr>
          <w:p>
            <w:pPr>
              <w:spacing w:line="200" w:lineRule="exact"/>
              <w:rPr>
                <w:sz w:val="18"/>
                <w:szCs w:val="18"/>
              </w:rPr>
            </w:pPr>
          </w:p>
        </w:tc>
        <w:tc>
          <w:tcPr>
            <w:tcW w:w="454" w:type="dxa"/>
            <w:tcBorders>
              <w:top w:val="single" w:color="auto" w:sz="6" w:space="0"/>
              <w:bottom w:val="single" w:color="auto" w:sz="12" w:space="0"/>
            </w:tcBorders>
            <w:textDirection w:val="lrTbV"/>
            <w:vAlign w:val="center"/>
          </w:tcPr>
          <w:p>
            <w:pPr>
              <w:spacing w:line="200" w:lineRule="exact"/>
              <w:rPr>
                <w:sz w:val="18"/>
                <w:szCs w:val="18"/>
              </w:rPr>
            </w:pPr>
          </w:p>
        </w:tc>
        <w:tc>
          <w:tcPr>
            <w:tcW w:w="454" w:type="dxa"/>
            <w:tcBorders>
              <w:top w:val="single" w:color="auto" w:sz="6" w:space="0"/>
              <w:bottom w:val="single" w:color="auto" w:sz="12" w:space="0"/>
            </w:tcBorders>
            <w:textDirection w:val="lrTbV"/>
            <w:vAlign w:val="center"/>
          </w:tcPr>
          <w:p>
            <w:pPr>
              <w:spacing w:line="200" w:lineRule="exact"/>
              <w:rPr>
                <w:sz w:val="18"/>
                <w:szCs w:val="18"/>
              </w:rPr>
            </w:pPr>
          </w:p>
        </w:tc>
        <w:tc>
          <w:tcPr>
            <w:tcW w:w="454" w:type="dxa"/>
            <w:tcBorders>
              <w:top w:val="single" w:color="auto" w:sz="6" w:space="0"/>
              <w:bottom w:val="single" w:color="auto" w:sz="12" w:space="0"/>
            </w:tcBorders>
            <w:textDirection w:val="lrTbV"/>
            <w:vAlign w:val="center"/>
          </w:tcPr>
          <w:p>
            <w:pPr>
              <w:spacing w:line="200" w:lineRule="exact"/>
              <w:rPr>
                <w:sz w:val="18"/>
                <w:szCs w:val="18"/>
              </w:rPr>
            </w:pPr>
          </w:p>
        </w:tc>
        <w:tc>
          <w:tcPr>
            <w:tcW w:w="453" w:type="dxa"/>
            <w:tcBorders>
              <w:top w:val="single" w:color="auto" w:sz="6" w:space="0"/>
              <w:bottom w:val="single" w:color="auto" w:sz="12" w:space="0"/>
            </w:tcBorders>
            <w:textDirection w:val="lrTbV"/>
            <w:vAlign w:val="center"/>
          </w:tcPr>
          <w:p>
            <w:pPr>
              <w:spacing w:line="200" w:lineRule="exact"/>
              <w:rPr>
                <w:sz w:val="18"/>
                <w:szCs w:val="18"/>
              </w:rPr>
            </w:pPr>
          </w:p>
        </w:tc>
        <w:tc>
          <w:tcPr>
            <w:tcW w:w="454" w:type="dxa"/>
            <w:tcBorders>
              <w:top w:val="single" w:color="auto" w:sz="6" w:space="0"/>
              <w:bottom w:val="single" w:color="auto" w:sz="12" w:space="0"/>
            </w:tcBorders>
            <w:textDirection w:val="lrTbV"/>
            <w:vAlign w:val="center"/>
          </w:tcPr>
          <w:p>
            <w:pPr>
              <w:spacing w:line="200" w:lineRule="exact"/>
              <w:rPr>
                <w:sz w:val="18"/>
                <w:szCs w:val="18"/>
              </w:rPr>
            </w:pPr>
          </w:p>
        </w:tc>
        <w:tc>
          <w:tcPr>
            <w:tcW w:w="454" w:type="dxa"/>
            <w:tcBorders>
              <w:top w:val="single" w:color="auto" w:sz="6" w:space="0"/>
              <w:bottom w:val="single" w:color="auto" w:sz="12" w:space="0"/>
            </w:tcBorders>
            <w:textDirection w:val="lrTbV"/>
            <w:vAlign w:val="center"/>
          </w:tcPr>
          <w:p>
            <w:pPr>
              <w:spacing w:line="200" w:lineRule="exact"/>
              <w:rPr>
                <w:sz w:val="18"/>
                <w:szCs w:val="18"/>
              </w:rPr>
            </w:pPr>
          </w:p>
        </w:tc>
        <w:tc>
          <w:tcPr>
            <w:tcW w:w="454" w:type="dxa"/>
            <w:vMerge w:val="continue"/>
            <w:tcBorders>
              <w:bottom w:val="single" w:color="auto" w:sz="12" w:space="0"/>
            </w:tcBorders>
            <w:textDirection w:val="lrTbV"/>
            <w:vAlign w:val="center"/>
          </w:tcPr>
          <w:p>
            <w:pPr>
              <w:spacing w:line="200" w:lineRule="exact"/>
              <w:rPr>
                <w:sz w:val="18"/>
                <w:szCs w:val="18"/>
              </w:rPr>
            </w:pPr>
          </w:p>
        </w:tc>
      </w:tr>
    </w:tbl>
    <w:tbl>
      <w:tblPr>
        <w:tblStyle w:val="20"/>
        <w:tblpPr w:leftFromText="180" w:rightFromText="180" w:vertAnchor="text" w:horzAnchor="margin" w:tblpXSpec="right" w:tblpY="908"/>
        <w:tblW w:w="1116" w:type="dxa"/>
        <w:tblInd w:w="0" w:type="dxa"/>
        <w:tblLayout w:type="fixed"/>
        <w:tblCellMar>
          <w:top w:w="0" w:type="dxa"/>
          <w:left w:w="108" w:type="dxa"/>
          <w:bottom w:w="0" w:type="dxa"/>
          <w:right w:w="108" w:type="dxa"/>
        </w:tblCellMar>
      </w:tblPr>
      <w:tblGrid>
        <w:gridCol w:w="1116"/>
      </w:tblGrid>
      <w:tr>
        <w:tblPrEx>
          <w:tblCellMar>
            <w:top w:w="0" w:type="dxa"/>
            <w:left w:w="108" w:type="dxa"/>
            <w:bottom w:w="0" w:type="dxa"/>
            <w:right w:w="108" w:type="dxa"/>
          </w:tblCellMar>
        </w:tblPrEx>
        <w:trPr>
          <w:cantSplit/>
          <w:trHeight w:val="10733" w:hRule="atLeast"/>
        </w:trPr>
        <w:tc>
          <w:tcPr>
            <w:tcW w:w="1116" w:type="dxa"/>
            <w:textDirection w:val="btLr"/>
          </w:tcPr>
          <w:p>
            <w:pPr>
              <w:spacing w:line="420" w:lineRule="exact"/>
              <w:ind w:firstLine="105" w:firstLineChars="50"/>
              <w:rPr>
                <w:rFonts w:ascii="黑体" w:eastAsia="黑体"/>
                <w:szCs w:val="21"/>
              </w:rPr>
            </w:pPr>
            <w:r>
              <w:rPr>
                <w:rFonts w:hint="eastAsia" w:ascii="黑体" w:eastAsia="黑体"/>
                <w:szCs w:val="21"/>
              </w:rPr>
              <w:t>招标人代表：记录人：    监标人：</w:t>
            </w:r>
          </w:p>
          <w:p>
            <w:pPr>
              <w:spacing w:beforeLines="50" w:line="420" w:lineRule="exact"/>
              <w:jc w:val="center"/>
              <w:rPr>
                <w:rFonts w:ascii="黑体" w:eastAsia="黑体"/>
                <w:sz w:val="28"/>
                <w:szCs w:val="28"/>
              </w:rPr>
            </w:pPr>
            <w:r>
              <w:rPr>
                <w:rFonts w:hint="eastAsia" w:ascii="黑体" w:eastAsia="黑体"/>
                <w:sz w:val="18"/>
                <w:szCs w:val="18"/>
              </w:rPr>
              <w:t>年月日</w:t>
            </w:r>
          </w:p>
        </w:tc>
      </w:tr>
    </w:tbl>
    <w:tbl>
      <w:tblPr>
        <w:tblStyle w:val="20"/>
        <w:tblpPr w:leftFromText="180" w:rightFromText="180" w:vertAnchor="text" w:horzAnchor="margin" w:tblpX="108" w:tblpY="908"/>
        <w:tblW w:w="1158" w:type="dxa"/>
        <w:tblInd w:w="0" w:type="dxa"/>
        <w:tblLayout w:type="fixed"/>
        <w:tblCellMar>
          <w:top w:w="0" w:type="dxa"/>
          <w:left w:w="108" w:type="dxa"/>
          <w:bottom w:w="0" w:type="dxa"/>
          <w:right w:w="108" w:type="dxa"/>
        </w:tblCellMar>
      </w:tblPr>
      <w:tblGrid>
        <w:gridCol w:w="1158"/>
      </w:tblGrid>
      <w:tr>
        <w:tblPrEx>
          <w:tblCellMar>
            <w:top w:w="0" w:type="dxa"/>
            <w:left w:w="108" w:type="dxa"/>
            <w:bottom w:w="0" w:type="dxa"/>
            <w:right w:w="108" w:type="dxa"/>
          </w:tblCellMar>
        </w:tblPrEx>
        <w:trPr>
          <w:cantSplit/>
          <w:trHeight w:val="10975" w:hRule="atLeast"/>
        </w:trPr>
        <w:tc>
          <w:tcPr>
            <w:tcW w:w="1158" w:type="dxa"/>
            <w:textDirection w:val="btLr"/>
          </w:tcPr>
          <w:p>
            <w:pPr>
              <w:spacing w:beforeLines="50" w:line="420" w:lineRule="exact"/>
              <w:ind w:left="113" w:leftChars="54" w:firstLine="700" w:firstLineChars="250"/>
              <w:rPr>
                <w:rFonts w:ascii="黑体" w:eastAsia="黑体"/>
                <w:sz w:val="28"/>
                <w:szCs w:val="28"/>
              </w:rPr>
            </w:pPr>
            <w:r>
              <w:rPr>
                <w:rFonts w:hint="eastAsia" w:ascii="黑体" w:eastAsia="黑体"/>
                <w:sz w:val="28"/>
                <w:szCs w:val="28"/>
              </w:rPr>
              <w:t xml:space="preserve">（项目名称）标段养护施工招标开标记录表 </w:t>
            </w:r>
          </w:p>
          <w:p>
            <w:pPr>
              <w:spacing w:beforeLines="50" w:line="420" w:lineRule="exact"/>
              <w:jc w:val="center"/>
              <w:rPr>
                <w:rFonts w:ascii="黑体" w:eastAsia="黑体"/>
                <w:sz w:val="28"/>
                <w:szCs w:val="28"/>
              </w:rPr>
            </w:pPr>
            <w:r>
              <w:rPr>
                <w:rFonts w:hint="eastAsia" w:ascii="黑体" w:eastAsia="黑体"/>
                <w:sz w:val="18"/>
                <w:szCs w:val="18"/>
              </w:rPr>
              <w:t>开标时间：年月日时分</w:t>
            </w:r>
          </w:p>
        </w:tc>
      </w:tr>
    </w:tbl>
    <w:p>
      <w:pPr>
        <w:pStyle w:val="6"/>
        <w:spacing w:after="0" w:line="415" w:lineRule="auto"/>
        <w:rPr>
          <w:rFonts w:ascii="黑体" w:eastAsia="黑体"/>
          <w:b w:val="0"/>
          <w:sz w:val="24"/>
          <w:szCs w:val="24"/>
        </w:rPr>
      </w:pPr>
      <w:bookmarkStart w:id="1780" w:name="_Toc283794138"/>
      <w:bookmarkStart w:id="1781" w:name="_Toc288491466"/>
      <w:bookmarkStart w:id="1782" w:name="_Toc282778941"/>
      <w:bookmarkStart w:id="1783" w:name="_Toc282779450"/>
      <w:bookmarkStart w:id="1784" w:name="_Toc282787381"/>
      <w:bookmarkStart w:id="1785" w:name="_Toc288546590"/>
      <w:bookmarkStart w:id="1786" w:name="_Toc287853290"/>
    </w:p>
    <w:p>
      <w:pPr>
        <w:spacing w:line="415" w:lineRule="auto"/>
      </w:pPr>
      <w:bookmarkStart w:id="1787" w:name="_Toc2937"/>
      <w:bookmarkStart w:id="1788" w:name="_Toc7685"/>
      <w:bookmarkStart w:id="1789" w:name="_Toc16522"/>
      <w:bookmarkStart w:id="1790" w:name="_Toc22245"/>
      <w:bookmarkStart w:id="1791" w:name="_Toc32745"/>
      <w:bookmarkStart w:id="1792" w:name="_Toc17083"/>
      <w:bookmarkStart w:id="1793" w:name="_Toc29795"/>
      <w:bookmarkStart w:id="1794" w:name="_Toc14037"/>
    </w:p>
    <w:p>
      <w:pPr>
        <w:rPr>
          <w:rFonts w:ascii="黑体" w:eastAsia="黑体"/>
          <w:sz w:val="24"/>
        </w:rPr>
      </w:pPr>
      <w:bookmarkStart w:id="1795" w:name="_Toc26089"/>
      <w:bookmarkStart w:id="1796" w:name="_Toc15892"/>
      <w:bookmarkStart w:id="1797" w:name="_Toc11578"/>
      <w:bookmarkStart w:id="1798" w:name="_Toc23302"/>
      <w:bookmarkStart w:id="1799" w:name="_Toc20458"/>
      <w:bookmarkStart w:id="1800" w:name="_Toc31169"/>
      <w:bookmarkStart w:id="1801" w:name="_Toc29968"/>
      <w:bookmarkStart w:id="1802" w:name="_Toc20086"/>
      <w:bookmarkStart w:id="1803" w:name="_Toc25184"/>
      <w:bookmarkStart w:id="1804" w:name="_Toc12941"/>
      <w:r>
        <w:rPr>
          <w:rFonts w:hint="eastAsia" w:ascii="黑体" w:eastAsia="黑体"/>
          <w:sz w:val="24"/>
        </w:rPr>
        <w:br w:type="page"/>
      </w:r>
    </w:p>
    <w:p>
      <w:pPr>
        <w:pStyle w:val="6"/>
        <w:spacing w:after="0" w:line="415" w:lineRule="auto"/>
        <w:rPr>
          <w:rFonts w:ascii="黑体" w:eastAsia="黑体"/>
          <w:b w:val="0"/>
          <w:sz w:val="24"/>
          <w:szCs w:val="24"/>
        </w:rPr>
      </w:pPr>
      <w:r>
        <w:rPr>
          <w:rFonts w:hint="eastAsia" w:ascii="黑体" w:eastAsia="黑体"/>
          <w:b w:val="0"/>
          <w:sz w:val="24"/>
          <w:szCs w:val="24"/>
        </w:rPr>
        <w:t>附表二  问题澄清通知</w:t>
      </w:r>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p>
    <w:p>
      <w:pPr>
        <w:jc w:val="center"/>
        <w:rPr>
          <w:rFonts w:ascii="黑体" w:eastAsia="黑体"/>
          <w:sz w:val="28"/>
          <w:szCs w:val="28"/>
        </w:rPr>
      </w:pPr>
      <w:r>
        <w:rPr>
          <w:rFonts w:hint="eastAsia" w:ascii="黑体" w:eastAsia="黑体"/>
          <w:sz w:val="28"/>
          <w:szCs w:val="28"/>
        </w:rPr>
        <w:t>问题澄清通知</w:t>
      </w:r>
    </w:p>
    <w:p>
      <w:pPr>
        <w:spacing w:beforeLines="50" w:line="420" w:lineRule="exact"/>
        <w:jc w:val="center"/>
        <w:rPr>
          <w:rFonts w:ascii="宋体" w:hAnsi="宋体"/>
          <w:szCs w:val="21"/>
        </w:rPr>
      </w:pPr>
      <w:r>
        <w:rPr>
          <w:rFonts w:hint="eastAsia" w:ascii="宋体" w:hAnsi="宋体"/>
          <w:szCs w:val="21"/>
        </w:rPr>
        <w:t>编号：</w:t>
      </w:r>
    </w:p>
    <w:p>
      <w:pPr>
        <w:spacing w:beforeLines="50" w:line="420" w:lineRule="exact"/>
        <w:jc w:val="left"/>
        <w:rPr>
          <w:rFonts w:ascii="宋体" w:hAnsi="宋体"/>
          <w:sz w:val="24"/>
        </w:rPr>
      </w:pPr>
      <w:r>
        <w:rPr>
          <w:rFonts w:hint="eastAsia" w:ascii="宋体" w:hAnsi="宋体"/>
          <w:sz w:val="24"/>
        </w:rPr>
        <w:t>（投标人名称）：</w:t>
      </w:r>
    </w:p>
    <w:p>
      <w:pPr>
        <w:spacing w:beforeLines="50" w:line="420" w:lineRule="exact"/>
        <w:ind w:firstLine="420" w:firstLineChars="200"/>
        <w:jc w:val="left"/>
        <w:rPr>
          <w:rFonts w:ascii="宋体" w:hAnsi="宋体"/>
          <w:szCs w:val="21"/>
        </w:rPr>
      </w:pPr>
      <w:r>
        <w:rPr>
          <w:rFonts w:hint="eastAsia" w:ascii="宋体" w:hAnsi="宋体"/>
          <w:szCs w:val="21"/>
        </w:rPr>
        <w:t>（项目名称）标段养护招标的评标委员会，对你方的投标文件进行了仔细的审查，现需你方对下列问题以书面形式予以澄清：</w:t>
      </w:r>
    </w:p>
    <w:p>
      <w:pPr>
        <w:spacing w:beforeLines="50" w:line="420" w:lineRule="exact"/>
        <w:ind w:firstLine="420" w:firstLineChars="200"/>
        <w:jc w:val="left"/>
        <w:rPr>
          <w:rFonts w:ascii="宋体" w:hAnsi="宋体"/>
          <w:szCs w:val="21"/>
        </w:rPr>
      </w:pPr>
      <w:r>
        <w:rPr>
          <w:rFonts w:hint="eastAsia" w:ascii="宋体" w:hAnsi="宋体"/>
          <w:szCs w:val="21"/>
        </w:rPr>
        <w:t>1.</w:t>
      </w:r>
    </w:p>
    <w:p>
      <w:pPr>
        <w:spacing w:beforeLines="50" w:line="420" w:lineRule="exact"/>
        <w:ind w:firstLine="420" w:firstLineChars="200"/>
        <w:jc w:val="left"/>
        <w:rPr>
          <w:rFonts w:ascii="宋体" w:hAnsi="宋体"/>
          <w:szCs w:val="21"/>
        </w:rPr>
      </w:pPr>
    </w:p>
    <w:p>
      <w:pPr>
        <w:spacing w:beforeLines="50" w:line="420" w:lineRule="exact"/>
        <w:ind w:firstLine="420" w:firstLineChars="200"/>
        <w:jc w:val="left"/>
        <w:rPr>
          <w:rFonts w:ascii="宋体" w:hAnsi="宋体"/>
          <w:szCs w:val="21"/>
        </w:rPr>
      </w:pPr>
      <w:r>
        <w:rPr>
          <w:rFonts w:hint="eastAsia" w:ascii="宋体" w:hAnsi="宋体"/>
          <w:szCs w:val="21"/>
        </w:rPr>
        <w:t>2.</w:t>
      </w:r>
    </w:p>
    <w:p>
      <w:pPr>
        <w:spacing w:beforeLines="50" w:line="420" w:lineRule="exact"/>
        <w:ind w:firstLine="420" w:firstLineChars="200"/>
        <w:jc w:val="left"/>
        <w:rPr>
          <w:rFonts w:ascii="宋体" w:hAnsi="宋体"/>
          <w:szCs w:val="21"/>
        </w:rPr>
      </w:pPr>
      <w:r>
        <w:rPr>
          <w:rFonts w:hint="eastAsia" w:ascii="宋体" w:hAnsi="宋体"/>
          <w:szCs w:val="21"/>
        </w:rPr>
        <w:t>……</w:t>
      </w:r>
    </w:p>
    <w:p>
      <w:pPr>
        <w:spacing w:beforeLines="50" w:line="420" w:lineRule="exact"/>
        <w:ind w:firstLine="420" w:firstLineChars="200"/>
        <w:jc w:val="left"/>
        <w:rPr>
          <w:rFonts w:ascii="宋体" w:hAnsi="宋体"/>
          <w:szCs w:val="21"/>
        </w:rPr>
      </w:pPr>
      <w:r>
        <w:rPr>
          <w:rFonts w:hint="eastAsia" w:ascii="宋体" w:hAnsi="宋体"/>
          <w:szCs w:val="21"/>
        </w:rPr>
        <w:t>请将上述问题的澄清于年月日时递交至（详细地址）或传真至（传真号码）。采用传真方式的，应在年月日时前将原件递交至（详细地址）。</w:t>
      </w:r>
    </w:p>
    <w:p>
      <w:pPr>
        <w:spacing w:beforeLines="50" w:line="420" w:lineRule="exact"/>
        <w:jc w:val="left"/>
        <w:rPr>
          <w:rFonts w:ascii="宋体" w:hAnsi="宋体"/>
          <w:szCs w:val="21"/>
        </w:rPr>
      </w:pPr>
    </w:p>
    <w:p>
      <w:pPr>
        <w:spacing w:beforeLines="50" w:line="420" w:lineRule="exact"/>
        <w:ind w:firstLine="3570" w:firstLineChars="1700"/>
        <w:jc w:val="left"/>
        <w:rPr>
          <w:rFonts w:ascii="宋体" w:hAnsi="宋体"/>
          <w:szCs w:val="21"/>
          <w:u w:val="single"/>
        </w:rPr>
      </w:pPr>
      <w:r>
        <w:rPr>
          <w:rFonts w:hint="eastAsia" w:ascii="宋体" w:hAnsi="宋体"/>
          <w:szCs w:val="21"/>
          <w:u w:val="single"/>
        </w:rPr>
        <w:t>（项目名称）标段养护招标评标委员会</w:t>
      </w:r>
    </w:p>
    <w:p>
      <w:pPr>
        <w:spacing w:beforeLines="50" w:line="420" w:lineRule="exact"/>
        <w:ind w:firstLine="3570" w:firstLineChars="1700"/>
        <w:jc w:val="left"/>
        <w:rPr>
          <w:rFonts w:ascii="宋体" w:hAnsi="宋体"/>
          <w:szCs w:val="21"/>
          <w:u w:val="single"/>
        </w:rPr>
      </w:pPr>
      <w:r>
        <w:rPr>
          <w:rFonts w:hint="eastAsia" w:ascii="宋体" w:hAnsi="宋体"/>
          <w:szCs w:val="21"/>
        </w:rPr>
        <w:t>招标人：（盖单位章）</w:t>
      </w:r>
    </w:p>
    <w:p>
      <w:pPr>
        <w:spacing w:beforeLines="50" w:line="420" w:lineRule="exact"/>
        <w:ind w:firstLine="3570" w:firstLineChars="1700"/>
        <w:jc w:val="left"/>
        <w:rPr>
          <w:rFonts w:ascii="宋体" w:hAnsi="宋体"/>
          <w:szCs w:val="21"/>
        </w:rPr>
      </w:pPr>
    </w:p>
    <w:p>
      <w:pPr>
        <w:spacing w:beforeLines="50" w:line="420" w:lineRule="exact"/>
        <w:ind w:firstLine="4410" w:firstLineChars="2100"/>
        <w:jc w:val="left"/>
        <w:rPr>
          <w:rFonts w:ascii="宋体" w:hAnsi="宋体"/>
          <w:szCs w:val="21"/>
        </w:rPr>
      </w:pPr>
      <w:r>
        <w:rPr>
          <w:rFonts w:hint="eastAsia" w:ascii="宋体" w:hAnsi="宋体"/>
          <w:szCs w:val="21"/>
        </w:rPr>
        <w:t>年 月日</w:t>
      </w:r>
      <w:bookmarkStart w:id="1805" w:name="_Toc282779451"/>
      <w:bookmarkStart w:id="1806" w:name="_Toc287853291"/>
      <w:bookmarkStart w:id="1807" w:name="_Toc288546591"/>
      <w:bookmarkStart w:id="1808" w:name="_Toc288491467"/>
      <w:bookmarkStart w:id="1809" w:name="_Toc282787382"/>
      <w:bookmarkStart w:id="1810" w:name="_Toc282778942"/>
      <w:bookmarkStart w:id="1811" w:name="_Toc283794139"/>
    </w:p>
    <w:p>
      <w:pPr>
        <w:spacing w:beforeLines="50" w:line="420" w:lineRule="exact"/>
        <w:ind w:firstLine="4410" w:firstLineChars="2100"/>
        <w:jc w:val="left"/>
        <w:rPr>
          <w:rFonts w:ascii="黑体" w:eastAsia="黑体"/>
          <w:szCs w:val="21"/>
        </w:rPr>
      </w:pPr>
    </w:p>
    <w:p>
      <w:pPr>
        <w:spacing w:beforeLines="50" w:line="420" w:lineRule="exact"/>
        <w:ind w:firstLine="5040" w:firstLineChars="2100"/>
        <w:jc w:val="left"/>
        <w:rPr>
          <w:rFonts w:ascii="黑体" w:eastAsia="黑体"/>
          <w:sz w:val="24"/>
        </w:rPr>
      </w:pPr>
    </w:p>
    <w:p>
      <w:pPr>
        <w:spacing w:beforeLines="50" w:line="420" w:lineRule="exact"/>
        <w:ind w:firstLine="5040" w:firstLineChars="2100"/>
        <w:jc w:val="left"/>
        <w:rPr>
          <w:rFonts w:ascii="黑体" w:eastAsia="黑体"/>
          <w:sz w:val="24"/>
        </w:rPr>
      </w:pPr>
    </w:p>
    <w:p>
      <w:pPr>
        <w:spacing w:beforeLines="50" w:line="420" w:lineRule="exact"/>
        <w:ind w:firstLine="5040" w:firstLineChars="2100"/>
        <w:jc w:val="left"/>
        <w:rPr>
          <w:rFonts w:ascii="黑体" w:eastAsia="黑体"/>
          <w:sz w:val="24"/>
        </w:rPr>
      </w:pPr>
    </w:p>
    <w:p>
      <w:pPr>
        <w:spacing w:beforeLines="50" w:line="420" w:lineRule="exact"/>
        <w:ind w:firstLine="5040" w:firstLineChars="2100"/>
        <w:jc w:val="left"/>
        <w:rPr>
          <w:rFonts w:ascii="黑体" w:eastAsia="黑体"/>
          <w:sz w:val="24"/>
        </w:rPr>
      </w:pPr>
    </w:p>
    <w:p>
      <w:pPr>
        <w:spacing w:beforeLines="50" w:line="420" w:lineRule="exact"/>
        <w:ind w:firstLine="5040" w:firstLineChars="2100"/>
        <w:jc w:val="left"/>
        <w:rPr>
          <w:rFonts w:ascii="黑体" w:eastAsia="黑体"/>
          <w:sz w:val="24"/>
        </w:rPr>
      </w:pPr>
    </w:p>
    <w:p>
      <w:pPr>
        <w:spacing w:beforeLines="50" w:line="420" w:lineRule="exact"/>
        <w:ind w:firstLine="5040" w:firstLineChars="2100"/>
        <w:jc w:val="left"/>
        <w:rPr>
          <w:rFonts w:ascii="黑体" w:eastAsia="黑体"/>
          <w:sz w:val="24"/>
        </w:rPr>
      </w:pPr>
    </w:p>
    <w:p>
      <w:pPr>
        <w:rPr>
          <w:rFonts w:ascii="黑体" w:eastAsia="黑体"/>
          <w:sz w:val="24"/>
        </w:rPr>
      </w:pPr>
      <w:bookmarkStart w:id="1812" w:name="_Toc6709"/>
      <w:bookmarkStart w:id="1813" w:name="_Toc1853"/>
      <w:bookmarkStart w:id="1814" w:name="_Toc26542"/>
      <w:bookmarkStart w:id="1815" w:name="_Toc20841"/>
      <w:bookmarkStart w:id="1816" w:name="_Toc20692"/>
      <w:bookmarkStart w:id="1817" w:name="_Toc21473"/>
      <w:bookmarkStart w:id="1818" w:name="_Toc7816"/>
      <w:bookmarkStart w:id="1819" w:name="_Toc2452"/>
      <w:bookmarkStart w:id="1820" w:name="_Toc10490"/>
      <w:bookmarkStart w:id="1821" w:name="_Toc58"/>
      <w:bookmarkStart w:id="1822" w:name="_Toc587"/>
      <w:bookmarkStart w:id="1823" w:name="_Toc4150"/>
      <w:bookmarkStart w:id="1824" w:name="_Toc5371"/>
      <w:bookmarkStart w:id="1825" w:name="_Toc12085"/>
      <w:bookmarkStart w:id="1826" w:name="_Toc10284"/>
      <w:bookmarkStart w:id="1827" w:name="_Toc13770"/>
      <w:bookmarkStart w:id="1828" w:name="_Toc26547"/>
      <w:bookmarkStart w:id="1829" w:name="_Toc13045"/>
      <w:r>
        <w:rPr>
          <w:rFonts w:hint="eastAsia" w:ascii="黑体" w:eastAsia="黑体"/>
          <w:sz w:val="24"/>
        </w:rPr>
        <w:br w:type="page"/>
      </w:r>
    </w:p>
    <w:p>
      <w:pPr>
        <w:pStyle w:val="6"/>
        <w:spacing w:after="0" w:line="415" w:lineRule="auto"/>
        <w:rPr>
          <w:rFonts w:ascii="黑体" w:eastAsia="黑体"/>
          <w:b w:val="0"/>
          <w:sz w:val="24"/>
          <w:szCs w:val="24"/>
        </w:rPr>
      </w:pPr>
      <w:r>
        <w:rPr>
          <w:rFonts w:hint="eastAsia" w:ascii="黑体" w:eastAsia="黑体"/>
          <w:b w:val="0"/>
          <w:sz w:val="24"/>
          <w:szCs w:val="24"/>
        </w:rPr>
        <w:t>附表三  问题的澄清</w:t>
      </w:r>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p>
    <w:p>
      <w:pPr>
        <w:jc w:val="center"/>
        <w:rPr>
          <w:rFonts w:ascii="黑体" w:eastAsia="黑体"/>
          <w:sz w:val="28"/>
          <w:szCs w:val="28"/>
        </w:rPr>
      </w:pPr>
      <w:r>
        <w:rPr>
          <w:rFonts w:hint="eastAsia" w:ascii="黑体" w:eastAsia="黑体"/>
          <w:sz w:val="28"/>
          <w:szCs w:val="28"/>
        </w:rPr>
        <w:t>问题的澄清</w:t>
      </w:r>
    </w:p>
    <w:p>
      <w:pPr>
        <w:spacing w:beforeLines="50" w:line="420" w:lineRule="exact"/>
        <w:jc w:val="center"/>
        <w:rPr>
          <w:rFonts w:ascii="宋体" w:hAnsi="宋体"/>
          <w:szCs w:val="21"/>
        </w:rPr>
      </w:pPr>
      <w:r>
        <w:rPr>
          <w:rFonts w:hint="eastAsia" w:ascii="宋体" w:hAnsi="宋体"/>
          <w:szCs w:val="21"/>
        </w:rPr>
        <w:t>编号：</w:t>
      </w:r>
    </w:p>
    <w:p>
      <w:pPr>
        <w:spacing w:beforeLines="50" w:line="420" w:lineRule="exact"/>
        <w:ind w:firstLine="480" w:firstLineChars="200"/>
        <w:jc w:val="left"/>
        <w:rPr>
          <w:rFonts w:ascii="宋体" w:hAnsi="宋体"/>
          <w:sz w:val="24"/>
        </w:rPr>
      </w:pPr>
      <w:r>
        <w:rPr>
          <w:rFonts w:hint="eastAsia" w:ascii="宋体" w:hAnsi="宋体"/>
          <w:sz w:val="24"/>
        </w:rPr>
        <w:t>（项目名称）标段养护招标的评标委员会：</w:t>
      </w:r>
    </w:p>
    <w:p>
      <w:pPr>
        <w:spacing w:beforeLines="50" w:line="420" w:lineRule="exact"/>
        <w:ind w:firstLine="420" w:firstLineChars="200"/>
        <w:jc w:val="left"/>
        <w:rPr>
          <w:rFonts w:ascii="宋体" w:hAnsi="宋体"/>
          <w:szCs w:val="21"/>
        </w:rPr>
      </w:pPr>
    </w:p>
    <w:p>
      <w:pPr>
        <w:spacing w:beforeLines="50" w:line="420" w:lineRule="exact"/>
        <w:ind w:firstLine="420" w:firstLineChars="200"/>
        <w:jc w:val="left"/>
        <w:rPr>
          <w:rFonts w:ascii="宋体" w:hAnsi="宋体"/>
          <w:szCs w:val="21"/>
        </w:rPr>
      </w:pPr>
      <w:r>
        <w:rPr>
          <w:rFonts w:hint="eastAsia" w:ascii="宋体" w:hAnsi="宋体"/>
          <w:szCs w:val="21"/>
        </w:rPr>
        <w:t>问题澄清通知（编号：）已收悉，现澄清如下：</w:t>
      </w:r>
    </w:p>
    <w:p>
      <w:pPr>
        <w:spacing w:beforeLines="50" w:line="420" w:lineRule="exact"/>
        <w:ind w:firstLine="420" w:firstLineChars="200"/>
        <w:jc w:val="left"/>
        <w:rPr>
          <w:rFonts w:ascii="宋体" w:hAnsi="宋体"/>
          <w:szCs w:val="21"/>
        </w:rPr>
      </w:pPr>
      <w:r>
        <w:rPr>
          <w:rFonts w:hint="eastAsia" w:ascii="宋体" w:hAnsi="宋体"/>
          <w:szCs w:val="21"/>
        </w:rPr>
        <w:t>1.</w:t>
      </w:r>
    </w:p>
    <w:p>
      <w:pPr>
        <w:spacing w:beforeLines="50" w:line="420" w:lineRule="exact"/>
        <w:ind w:firstLine="420" w:firstLineChars="200"/>
        <w:jc w:val="left"/>
        <w:rPr>
          <w:rFonts w:ascii="宋体" w:hAnsi="宋体"/>
          <w:szCs w:val="21"/>
        </w:rPr>
      </w:pPr>
    </w:p>
    <w:p>
      <w:pPr>
        <w:spacing w:beforeLines="50" w:line="420" w:lineRule="exact"/>
        <w:ind w:firstLine="420" w:firstLineChars="200"/>
        <w:jc w:val="left"/>
        <w:rPr>
          <w:rFonts w:ascii="宋体" w:hAnsi="宋体"/>
          <w:szCs w:val="21"/>
        </w:rPr>
      </w:pPr>
      <w:r>
        <w:rPr>
          <w:rFonts w:hint="eastAsia" w:ascii="宋体" w:hAnsi="宋体"/>
          <w:szCs w:val="21"/>
        </w:rPr>
        <w:t>2.</w:t>
      </w:r>
    </w:p>
    <w:p>
      <w:pPr>
        <w:spacing w:beforeLines="50" w:line="420" w:lineRule="exact"/>
        <w:ind w:firstLine="420" w:firstLineChars="200"/>
        <w:jc w:val="left"/>
        <w:rPr>
          <w:rFonts w:ascii="宋体" w:hAnsi="宋体"/>
          <w:szCs w:val="21"/>
        </w:rPr>
      </w:pPr>
      <w:r>
        <w:rPr>
          <w:rFonts w:hint="eastAsia" w:ascii="宋体" w:hAnsi="宋体"/>
          <w:szCs w:val="21"/>
        </w:rPr>
        <w:t>……</w:t>
      </w:r>
    </w:p>
    <w:p>
      <w:pPr>
        <w:spacing w:beforeLines="50" w:line="420" w:lineRule="exact"/>
        <w:ind w:firstLine="3150" w:firstLineChars="1500"/>
        <w:jc w:val="left"/>
        <w:rPr>
          <w:rFonts w:ascii="宋体" w:hAnsi="宋体"/>
          <w:szCs w:val="21"/>
        </w:rPr>
      </w:pPr>
      <w:r>
        <w:rPr>
          <w:rFonts w:hint="eastAsia" w:ascii="宋体" w:hAnsi="宋体"/>
          <w:szCs w:val="21"/>
        </w:rPr>
        <w:t>投标人：（盖单位章）</w:t>
      </w:r>
    </w:p>
    <w:p>
      <w:pPr>
        <w:spacing w:beforeLines="50" w:line="420" w:lineRule="exact"/>
        <w:ind w:firstLine="3150" w:firstLineChars="1500"/>
        <w:jc w:val="left"/>
        <w:rPr>
          <w:rFonts w:ascii="宋体" w:hAnsi="宋体"/>
          <w:szCs w:val="21"/>
        </w:rPr>
      </w:pPr>
      <w:r>
        <w:rPr>
          <w:rFonts w:hint="eastAsia" w:ascii="宋体" w:hAnsi="宋体"/>
          <w:szCs w:val="21"/>
        </w:rPr>
        <w:t>法定代表人或其委托代理人：（签字）</w:t>
      </w:r>
    </w:p>
    <w:p>
      <w:pPr>
        <w:spacing w:beforeLines="50" w:line="420" w:lineRule="exact"/>
        <w:ind w:firstLine="4305" w:firstLineChars="2050"/>
        <w:jc w:val="left"/>
        <w:rPr>
          <w:rFonts w:ascii="宋体" w:hAnsi="宋体"/>
          <w:szCs w:val="21"/>
        </w:rPr>
      </w:pPr>
      <w:r>
        <w:rPr>
          <w:rFonts w:hint="eastAsia" w:ascii="宋体" w:hAnsi="宋体"/>
          <w:szCs w:val="21"/>
        </w:rPr>
        <w:t>年 月日</w:t>
      </w:r>
      <w:bookmarkStart w:id="1830" w:name="_Toc288491468"/>
      <w:bookmarkStart w:id="1831" w:name="_Toc282779452"/>
      <w:bookmarkStart w:id="1832" w:name="_Toc283794140"/>
      <w:bookmarkStart w:id="1833" w:name="_Toc282778943"/>
      <w:bookmarkStart w:id="1834" w:name="_Toc282787383"/>
      <w:bookmarkStart w:id="1835" w:name="_Toc288546592"/>
      <w:bookmarkStart w:id="1836" w:name="_Toc287853292"/>
    </w:p>
    <w:p>
      <w:pPr>
        <w:spacing w:beforeLines="50" w:line="420" w:lineRule="exact"/>
        <w:ind w:firstLine="4305" w:firstLineChars="2050"/>
        <w:jc w:val="left"/>
        <w:rPr>
          <w:rFonts w:ascii="黑体" w:eastAsia="黑体"/>
          <w:szCs w:val="21"/>
        </w:rPr>
      </w:pPr>
    </w:p>
    <w:p>
      <w:pPr>
        <w:spacing w:beforeLines="50" w:line="420" w:lineRule="exact"/>
        <w:ind w:firstLine="4305" w:firstLineChars="2050"/>
        <w:jc w:val="left"/>
        <w:rPr>
          <w:rFonts w:ascii="黑体" w:eastAsia="黑体"/>
          <w:szCs w:val="21"/>
        </w:rPr>
      </w:pPr>
    </w:p>
    <w:p>
      <w:pPr>
        <w:spacing w:beforeLines="50" w:line="420" w:lineRule="exact"/>
        <w:ind w:firstLine="4920" w:firstLineChars="2050"/>
        <w:jc w:val="left"/>
        <w:rPr>
          <w:rFonts w:ascii="黑体" w:eastAsia="黑体"/>
          <w:sz w:val="24"/>
        </w:rPr>
      </w:pPr>
    </w:p>
    <w:p>
      <w:pPr>
        <w:spacing w:beforeLines="50" w:line="420" w:lineRule="exact"/>
        <w:ind w:firstLine="4920" w:firstLineChars="2050"/>
        <w:jc w:val="left"/>
        <w:rPr>
          <w:rFonts w:ascii="黑体" w:eastAsia="黑体"/>
          <w:sz w:val="24"/>
        </w:rPr>
      </w:pPr>
    </w:p>
    <w:p>
      <w:pPr>
        <w:spacing w:beforeLines="50" w:line="420" w:lineRule="exact"/>
        <w:ind w:firstLine="4920" w:firstLineChars="2050"/>
        <w:jc w:val="left"/>
        <w:rPr>
          <w:rFonts w:ascii="黑体" w:eastAsia="黑体"/>
          <w:sz w:val="24"/>
        </w:rPr>
      </w:pPr>
    </w:p>
    <w:p>
      <w:pPr>
        <w:spacing w:beforeLines="50" w:line="420" w:lineRule="exact"/>
        <w:ind w:firstLine="4920" w:firstLineChars="2050"/>
        <w:jc w:val="left"/>
        <w:rPr>
          <w:rFonts w:ascii="黑体" w:eastAsia="黑体"/>
          <w:sz w:val="24"/>
        </w:rPr>
      </w:pPr>
    </w:p>
    <w:p>
      <w:pPr>
        <w:spacing w:beforeLines="50" w:line="420" w:lineRule="exact"/>
        <w:ind w:firstLine="4920" w:firstLineChars="2050"/>
        <w:jc w:val="left"/>
        <w:rPr>
          <w:rFonts w:ascii="黑体" w:eastAsia="黑体"/>
          <w:sz w:val="24"/>
        </w:rPr>
      </w:pPr>
    </w:p>
    <w:p>
      <w:pPr>
        <w:spacing w:beforeLines="50" w:line="420" w:lineRule="exact"/>
        <w:ind w:firstLine="4920" w:firstLineChars="2050"/>
        <w:jc w:val="left"/>
        <w:rPr>
          <w:rFonts w:ascii="黑体" w:eastAsia="黑体"/>
          <w:sz w:val="24"/>
        </w:rPr>
      </w:pPr>
    </w:p>
    <w:p>
      <w:pPr>
        <w:spacing w:beforeLines="50" w:line="420" w:lineRule="exact"/>
        <w:ind w:firstLine="4920" w:firstLineChars="2050"/>
        <w:jc w:val="left"/>
        <w:rPr>
          <w:rFonts w:ascii="黑体" w:eastAsia="黑体"/>
          <w:sz w:val="24"/>
        </w:rPr>
      </w:pPr>
    </w:p>
    <w:p>
      <w:pPr>
        <w:spacing w:beforeLines="50" w:line="420" w:lineRule="exact"/>
        <w:ind w:firstLine="4920" w:firstLineChars="2050"/>
        <w:jc w:val="left"/>
        <w:rPr>
          <w:rFonts w:ascii="黑体" w:eastAsia="黑体"/>
          <w:sz w:val="24"/>
        </w:rPr>
      </w:pPr>
    </w:p>
    <w:p>
      <w:pPr>
        <w:spacing w:beforeLines="50" w:line="420" w:lineRule="exact"/>
        <w:ind w:firstLine="4920" w:firstLineChars="2050"/>
        <w:jc w:val="left"/>
        <w:rPr>
          <w:rFonts w:ascii="黑体" w:eastAsia="黑体"/>
          <w:sz w:val="24"/>
        </w:rPr>
      </w:pPr>
    </w:p>
    <w:p>
      <w:pPr>
        <w:spacing w:beforeLines="50" w:line="420" w:lineRule="exact"/>
        <w:ind w:firstLine="4920" w:firstLineChars="2050"/>
        <w:jc w:val="left"/>
        <w:rPr>
          <w:rFonts w:ascii="黑体" w:eastAsia="黑体"/>
          <w:sz w:val="24"/>
        </w:rPr>
      </w:pPr>
    </w:p>
    <w:p>
      <w:pPr>
        <w:pStyle w:val="6"/>
        <w:spacing w:after="0" w:line="415" w:lineRule="auto"/>
        <w:rPr>
          <w:rFonts w:ascii="黑体" w:eastAsia="黑体"/>
          <w:b w:val="0"/>
          <w:sz w:val="24"/>
          <w:szCs w:val="24"/>
        </w:rPr>
      </w:pPr>
      <w:bookmarkStart w:id="1837" w:name="_Toc18091"/>
      <w:bookmarkStart w:id="1838" w:name="_Toc7465"/>
      <w:bookmarkStart w:id="1839" w:name="_Toc22854"/>
      <w:bookmarkStart w:id="1840" w:name="_Toc12113"/>
      <w:bookmarkStart w:id="1841" w:name="_Toc782"/>
      <w:bookmarkStart w:id="1842" w:name="_Toc3837"/>
      <w:bookmarkStart w:id="1843" w:name="_Toc14264"/>
      <w:bookmarkStart w:id="1844" w:name="_Toc10573"/>
      <w:bookmarkStart w:id="1845" w:name="_Toc26599"/>
      <w:bookmarkStart w:id="1846" w:name="_Toc12084"/>
      <w:bookmarkStart w:id="1847" w:name="_Toc25393"/>
      <w:bookmarkStart w:id="1848" w:name="_Toc10313"/>
      <w:bookmarkStart w:id="1849" w:name="_Toc9678"/>
      <w:bookmarkStart w:id="1850" w:name="_Toc30840"/>
      <w:bookmarkStart w:id="1851" w:name="_Toc23249"/>
      <w:bookmarkStart w:id="1852" w:name="_Toc9771"/>
      <w:bookmarkStart w:id="1853" w:name="_Toc17017"/>
      <w:bookmarkStart w:id="1854" w:name="_Toc15107"/>
      <w:r>
        <w:rPr>
          <w:rFonts w:hint="eastAsia" w:ascii="黑体" w:eastAsia="黑体"/>
          <w:b w:val="0"/>
          <w:sz w:val="24"/>
          <w:szCs w:val="24"/>
        </w:rPr>
        <w:t>附表四  补遗书</w:t>
      </w:r>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p>
    <w:p>
      <w:pPr>
        <w:jc w:val="center"/>
        <w:rPr>
          <w:rFonts w:ascii="黑体" w:eastAsia="黑体"/>
          <w:sz w:val="28"/>
          <w:szCs w:val="28"/>
        </w:rPr>
      </w:pPr>
      <w:r>
        <w:rPr>
          <w:rFonts w:hint="eastAsia" w:ascii="黑体" w:eastAsia="黑体"/>
          <w:sz w:val="28"/>
          <w:szCs w:val="28"/>
        </w:rPr>
        <w:t>补 遗 书</w:t>
      </w:r>
    </w:p>
    <w:p>
      <w:pPr>
        <w:spacing w:beforeLines="50" w:line="420" w:lineRule="exact"/>
        <w:jc w:val="left"/>
        <w:rPr>
          <w:rFonts w:ascii="宋体" w:hAnsi="宋体"/>
          <w:sz w:val="24"/>
          <w:u w:val="single"/>
        </w:rPr>
      </w:pPr>
    </w:p>
    <w:p>
      <w:pPr>
        <w:jc w:val="center"/>
        <w:rPr>
          <w:rFonts w:ascii="黑体" w:hAnsi="宋体" w:eastAsia="黑体"/>
          <w:sz w:val="28"/>
          <w:szCs w:val="28"/>
          <w:u w:val="single"/>
        </w:rPr>
      </w:pPr>
    </w:p>
    <w:p>
      <w:pPr>
        <w:jc w:val="center"/>
        <w:rPr>
          <w:rFonts w:ascii="黑体" w:hAnsi="宋体" w:eastAsia="黑体"/>
          <w:sz w:val="28"/>
          <w:szCs w:val="28"/>
          <w:u w:val="single"/>
        </w:rPr>
      </w:pPr>
    </w:p>
    <w:p>
      <w:pPr>
        <w:jc w:val="center"/>
        <w:rPr>
          <w:rFonts w:ascii="黑体" w:eastAsia="黑体"/>
          <w:sz w:val="28"/>
          <w:szCs w:val="28"/>
        </w:rPr>
      </w:pPr>
      <w:r>
        <w:rPr>
          <w:rFonts w:hint="eastAsia" w:ascii="黑体" w:hAnsi="宋体" w:eastAsia="黑体"/>
          <w:sz w:val="28"/>
          <w:szCs w:val="28"/>
        </w:rPr>
        <w:t>（项目名称）标段养护工程施工</w:t>
      </w:r>
      <w:r>
        <w:rPr>
          <w:rFonts w:hint="eastAsia" w:ascii="黑体" w:eastAsia="黑体"/>
          <w:sz w:val="28"/>
          <w:szCs w:val="28"/>
        </w:rPr>
        <w:t>招标</w:t>
      </w:r>
    </w:p>
    <w:p>
      <w:pPr>
        <w:jc w:val="center"/>
        <w:rPr>
          <w:rFonts w:ascii="仿宋_GB2312" w:eastAsia="仿宋_GB2312"/>
          <w:b/>
          <w:sz w:val="36"/>
          <w:szCs w:val="36"/>
        </w:rPr>
      </w:pPr>
    </w:p>
    <w:p>
      <w:pPr>
        <w:jc w:val="center"/>
        <w:rPr>
          <w:rFonts w:ascii="黑体" w:hAnsi="宋体" w:eastAsia="黑体"/>
          <w:sz w:val="36"/>
          <w:szCs w:val="36"/>
        </w:rPr>
      </w:pPr>
      <w:r>
        <w:rPr>
          <w:rFonts w:hint="eastAsia" w:ascii="黑体" w:hAnsi="宋体" w:eastAsia="黑体"/>
          <w:sz w:val="36"/>
          <w:szCs w:val="36"/>
        </w:rPr>
        <w:t>招  标  文  件</w:t>
      </w:r>
    </w:p>
    <w:p>
      <w:pPr>
        <w:jc w:val="center"/>
        <w:rPr>
          <w:rFonts w:ascii="仿宋_GB2312" w:eastAsia="仿宋_GB2312"/>
          <w:b/>
          <w:sz w:val="36"/>
          <w:szCs w:val="36"/>
        </w:rPr>
      </w:pPr>
    </w:p>
    <w:p>
      <w:pPr>
        <w:jc w:val="center"/>
        <w:rPr>
          <w:rFonts w:ascii="楷体_GB2312" w:eastAsia="楷体_GB2312"/>
          <w:szCs w:val="21"/>
        </w:rPr>
      </w:pPr>
      <w:r>
        <w:rPr>
          <w:rFonts w:hint="eastAsia" w:ascii="楷体" w:hAnsi="楷体"/>
          <w:szCs w:val="21"/>
        </w:rPr>
        <w:t>第号补遗书</w:t>
      </w:r>
    </w:p>
    <w:p>
      <w:pPr>
        <w:rPr>
          <w:szCs w:val="21"/>
        </w:rPr>
      </w:pPr>
    </w:p>
    <w:p>
      <w:pPr>
        <w:spacing w:line="460" w:lineRule="exact"/>
        <w:rPr>
          <w:rFonts w:ascii="宋体" w:hAnsi="宋体"/>
          <w:szCs w:val="21"/>
        </w:rPr>
      </w:pPr>
      <w:r>
        <w:rPr>
          <w:rFonts w:hint="eastAsia" w:ascii="宋体" w:hAnsi="宋体"/>
          <w:szCs w:val="21"/>
        </w:rPr>
        <w:t>致招标文件持有者：</w:t>
      </w:r>
    </w:p>
    <w:p>
      <w:pPr>
        <w:spacing w:line="460" w:lineRule="exact"/>
        <w:ind w:firstLine="420" w:firstLineChars="200"/>
        <w:rPr>
          <w:rFonts w:ascii="宋体" w:hAnsi="宋体"/>
          <w:szCs w:val="21"/>
        </w:rPr>
      </w:pPr>
      <w:r>
        <w:rPr>
          <w:rFonts w:hint="eastAsia" w:ascii="宋体" w:hAnsi="宋体"/>
          <w:szCs w:val="21"/>
        </w:rPr>
        <w:t>根据招标文件第二章“投标人须知”第2.2.2项的规定，招标人对本项目招标文件进行修改。鉴此，发布第号补遗书。贵方收到后，请即以传真等书面形式向招标人确认收悉。本补遗书是招标文件的组成部分，与招标文件有不一致之处，以本补遗书为准。</w:t>
      </w:r>
    </w:p>
    <w:p>
      <w:pPr>
        <w:ind w:firstLine="3360" w:firstLineChars="1600"/>
        <w:rPr>
          <w:rFonts w:ascii="仿宋_GB2312" w:eastAsia="仿宋_GB2312"/>
          <w:szCs w:val="21"/>
        </w:rPr>
      </w:pPr>
    </w:p>
    <w:p>
      <w:pPr>
        <w:ind w:firstLine="3360" w:firstLineChars="1600"/>
        <w:rPr>
          <w:rFonts w:ascii="仿宋_GB2312" w:eastAsia="仿宋_GB2312"/>
          <w:szCs w:val="21"/>
        </w:rPr>
      </w:pPr>
    </w:p>
    <w:p>
      <w:pPr>
        <w:ind w:firstLine="3360" w:firstLineChars="1600"/>
        <w:rPr>
          <w:rFonts w:ascii="仿宋_GB2312" w:eastAsia="仿宋_GB2312"/>
          <w:szCs w:val="21"/>
        </w:rPr>
      </w:pPr>
    </w:p>
    <w:p>
      <w:pPr>
        <w:spacing w:beforeLines="50" w:line="420" w:lineRule="exact"/>
        <w:ind w:firstLine="3150" w:firstLineChars="1500"/>
        <w:jc w:val="left"/>
        <w:rPr>
          <w:rFonts w:ascii="宋体" w:hAnsi="宋体"/>
          <w:szCs w:val="21"/>
        </w:rPr>
      </w:pPr>
      <w:r>
        <w:rPr>
          <w:rFonts w:hint="eastAsia" w:ascii="宋体" w:hAnsi="宋体"/>
          <w:szCs w:val="21"/>
        </w:rPr>
        <w:t>招标人：（盖单位章）</w:t>
      </w:r>
    </w:p>
    <w:p>
      <w:pPr>
        <w:ind w:firstLine="3150" w:firstLineChars="1500"/>
        <w:rPr>
          <w:rFonts w:ascii="宋体" w:hAnsi="宋体"/>
          <w:szCs w:val="21"/>
        </w:rPr>
      </w:pPr>
    </w:p>
    <w:p>
      <w:pPr>
        <w:ind w:firstLine="3150" w:firstLineChars="1500"/>
        <w:rPr>
          <w:rFonts w:ascii="仿宋_GB2312" w:eastAsia="仿宋_GB2312"/>
          <w:szCs w:val="21"/>
        </w:rPr>
      </w:pPr>
      <w:r>
        <w:rPr>
          <w:rFonts w:hint="eastAsia" w:ascii="宋体" w:hAnsi="宋体"/>
          <w:szCs w:val="21"/>
        </w:rPr>
        <w:t>招标代理：（盖单位章）</w:t>
      </w:r>
    </w:p>
    <w:p>
      <w:pPr>
        <w:ind w:firstLine="3360" w:firstLineChars="1600"/>
        <w:rPr>
          <w:rFonts w:ascii="仿宋_GB2312" w:eastAsia="仿宋_GB2312"/>
          <w:szCs w:val="21"/>
        </w:rPr>
      </w:pPr>
    </w:p>
    <w:p>
      <w:pPr>
        <w:ind w:firstLine="4410" w:firstLineChars="2100"/>
        <w:rPr>
          <w:rFonts w:ascii="宋体" w:hAnsi="宋体"/>
          <w:szCs w:val="21"/>
        </w:rPr>
      </w:pPr>
      <w:r>
        <w:rPr>
          <w:rFonts w:hint="eastAsia" w:ascii="宋体" w:hAnsi="宋体"/>
          <w:szCs w:val="21"/>
        </w:rPr>
        <w:t>年月日</w:t>
      </w:r>
    </w:p>
    <w:p>
      <w:pPr>
        <w:spacing w:line="420" w:lineRule="exact"/>
        <w:ind w:firstLine="420" w:firstLineChars="200"/>
        <w:rPr>
          <w:szCs w:val="21"/>
        </w:rPr>
      </w:pPr>
    </w:p>
    <w:p>
      <w:pPr>
        <w:spacing w:line="420" w:lineRule="exact"/>
        <w:ind w:firstLine="420" w:firstLineChars="200"/>
        <w:rPr>
          <w:szCs w:val="21"/>
        </w:rPr>
      </w:pPr>
    </w:p>
    <w:p>
      <w:pPr>
        <w:spacing w:line="420" w:lineRule="exact"/>
        <w:ind w:firstLine="420" w:firstLineChars="200"/>
        <w:rPr>
          <w:rFonts w:ascii="宋体" w:hAnsi="宋体"/>
          <w:szCs w:val="21"/>
        </w:rPr>
      </w:pPr>
      <w:r>
        <w:rPr>
          <w:rFonts w:hint="eastAsia" w:ascii="宋体" w:hAnsi="宋体"/>
          <w:szCs w:val="21"/>
        </w:rPr>
        <w:t>（第号补遗书内容</w:t>
      </w:r>
      <w:r>
        <w:rPr>
          <w:rFonts w:ascii="宋体" w:hAnsi="宋体"/>
          <w:szCs w:val="21"/>
        </w:rPr>
        <w:t>）</w:t>
      </w:r>
    </w:p>
    <w:p>
      <w:pPr>
        <w:spacing w:line="420" w:lineRule="exact"/>
        <w:ind w:firstLine="420" w:firstLineChars="200"/>
        <w:rPr>
          <w:szCs w:val="21"/>
        </w:rPr>
      </w:pPr>
      <w:r>
        <w:rPr>
          <w:rFonts w:hint="eastAsia"/>
          <w:szCs w:val="21"/>
        </w:rPr>
        <w:t>1</w:t>
      </w:r>
      <w:r>
        <w:rPr>
          <w:rFonts w:hint="eastAsia" w:ascii="宋体" w:hAnsi="宋体"/>
          <w:szCs w:val="21"/>
        </w:rPr>
        <w:t>.</w:t>
      </w:r>
      <w:r>
        <w:rPr>
          <w:rFonts w:hint="eastAsia"/>
          <w:szCs w:val="21"/>
        </w:rPr>
        <w:t>…………………………………………</w:t>
      </w:r>
    </w:p>
    <w:p>
      <w:pPr>
        <w:spacing w:line="420" w:lineRule="exact"/>
        <w:ind w:firstLine="420" w:firstLineChars="200"/>
        <w:rPr>
          <w:szCs w:val="21"/>
        </w:rPr>
      </w:pPr>
      <w:r>
        <w:rPr>
          <w:rFonts w:hint="eastAsia"/>
          <w:szCs w:val="21"/>
        </w:rPr>
        <w:t>2</w:t>
      </w:r>
      <w:r>
        <w:rPr>
          <w:rFonts w:hint="eastAsia" w:ascii="宋体" w:hAnsi="宋体"/>
          <w:szCs w:val="21"/>
        </w:rPr>
        <w:t>.</w:t>
      </w:r>
      <w:r>
        <w:rPr>
          <w:rFonts w:hint="eastAsia"/>
          <w:szCs w:val="21"/>
        </w:rPr>
        <w:t>……………………………</w:t>
      </w:r>
    </w:p>
    <w:p>
      <w:pPr>
        <w:spacing w:line="420" w:lineRule="exact"/>
        <w:ind w:firstLine="420" w:firstLineChars="200"/>
        <w:rPr>
          <w:szCs w:val="21"/>
        </w:rPr>
      </w:pPr>
      <w:r>
        <w:rPr>
          <w:rFonts w:hint="eastAsia"/>
          <w:szCs w:val="21"/>
        </w:rPr>
        <w:t>……</w:t>
      </w:r>
      <w:bookmarkStart w:id="1855" w:name="_Toc282778944"/>
      <w:bookmarkStart w:id="1856" w:name="_Toc287853293"/>
      <w:bookmarkStart w:id="1857" w:name="_Toc282779453"/>
      <w:bookmarkStart w:id="1858" w:name="_Toc288546593"/>
      <w:bookmarkStart w:id="1859" w:name="_Toc283794141"/>
      <w:bookmarkStart w:id="1860" w:name="_Toc288491469"/>
      <w:bookmarkStart w:id="1861" w:name="_Toc282787384"/>
    </w:p>
    <w:p>
      <w:pPr>
        <w:spacing w:line="415" w:lineRule="auto"/>
      </w:pPr>
    </w:p>
    <w:p>
      <w:pPr>
        <w:spacing w:line="415" w:lineRule="auto"/>
      </w:pPr>
      <w:bookmarkStart w:id="1862" w:name="_Toc4717"/>
      <w:bookmarkStart w:id="1863" w:name="_Toc16010"/>
      <w:bookmarkStart w:id="1864" w:name="_Toc29290"/>
      <w:bookmarkStart w:id="1865" w:name="_Toc1713"/>
      <w:bookmarkStart w:id="1866" w:name="_Toc24297"/>
      <w:bookmarkStart w:id="1867" w:name="_Toc8590"/>
      <w:bookmarkStart w:id="1868" w:name="_Toc1723"/>
      <w:bookmarkStart w:id="1869" w:name="_Toc30792"/>
      <w:bookmarkStart w:id="1870" w:name="_Toc12778"/>
      <w:bookmarkStart w:id="1871" w:name="_Toc830"/>
      <w:bookmarkStart w:id="1872" w:name="_Toc15599"/>
      <w:bookmarkStart w:id="1873" w:name="_Toc18997"/>
      <w:bookmarkStart w:id="1874" w:name="_Toc14852"/>
      <w:bookmarkStart w:id="1875" w:name="_Toc32188"/>
      <w:bookmarkStart w:id="1876" w:name="_Toc27659"/>
    </w:p>
    <w:p>
      <w:pPr>
        <w:spacing w:line="415" w:lineRule="auto"/>
      </w:pPr>
    </w:p>
    <w:p>
      <w:pPr>
        <w:spacing w:line="415" w:lineRule="auto"/>
      </w:pPr>
    </w:p>
    <w:p>
      <w:pPr>
        <w:spacing w:line="415" w:lineRule="auto"/>
      </w:pPr>
    </w:p>
    <w:p>
      <w:pPr>
        <w:pStyle w:val="6"/>
        <w:spacing w:after="0" w:line="415" w:lineRule="auto"/>
        <w:rPr>
          <w:rFonts w:ascii="黑体" w:eastAsia="黑体"/>
          <w:b w:val="0"/>
          <w:sz w:val="24"/>
          <w:szCs w:val="24"/>
        </w:rPr>
      </w:pPr>
      <w:bookmarkStart w:id="1877" w:name="_Toc25217"/>
      <w:bookmarkStart w:id="1878" w:name="_Toc3558"/>
      <w:bookmarkStart w:id="1879" w:name="_Toc14551"/>
      <w:r>
        <w:rPr>
          <w:rFonts w:hint="eastAsia" w:ascii="黑体" w:eastAsia="黑体"/>
          <w:b w:val="0"/>
          <w:sz w:val="24"/>
          <w:szCs w:val="24"/>
        </w:rPr>
        <w:t>附表五  中标通知书</w:t>
      </w:r>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p>
    <w:p>
      <w:pPr>
        <w:jc w:val="center"/>
        <w:rPr>
          <w:rFonts w:ascii="黑体" w:eastAsia="黑体"/>
          <w:sz w:val="28"/>
          <w:szCs w:val="28"/>
        </w:rPr>
      </w:pPr>
      <w:r>
        <w:rPr>
          <w:rFonts w:hint="eastAsia" w:ascii="黑体" w:eastAsia="黑体"/>
          <w:sz w:val="28"/>
          <w:szCs w:val="28"/>
        </w:rPr>
        <w:t>中标通知书</w:t>
      </w:r>
    </w:p>
    <w:p>
      <w:pPr>
        <w:spacing w:beforeLines="50" w:line="420" w:lineRule="exact"/>
        <w:jc w:val="left"/>
        <w:rPr>
          <w:rFonts w:ascii="宋体" w:hAnsi="宋体"/>
          <w:sz w:val="24"/>
          <w:u w:val="single"/>
        </w:rPr>
      </w:pPr>
    </w:p>
    <w:p>
      <w:pPr>
        <w:spacing w:beforeLines="50" w:line="420" w:lineRule="exact"/>
        <w:jc w:val="left"/>
        <w:rPr>
          <w:rFonts w:ascii="宋体" w:hAnsi="宋体"/>
          <w:szCs w:val="21"/>
        </w:rPr>
      </w:pPr>
      <w:r>
        <w:rPr>
          <w:rFonts w:hint="eastAsia" w:ascii="宋体" w:hAnsi="宋体"/>
          <w:szCs w:val="21"/>
        </w:rPr>
        <w:t>（中标人名称）：</w:t>
      </w:r>
    </w:p>
    <w:p>
      <w:pPr>
        <w:spacing w:beforeLines="50" w:line="420" w:lineRule="exact"/>
        <w:ind w:firstLine="420" w:firstLineChars="200"/>
        <w:jc w:val="left"/>
        <w:rPr>
          <w:rFonts w:ascii="宋体" w:hAnsi="宋体"/>
          <w:szCs w:val="21"/>
        </w:rPr>
      </w:pPr>
      <w:r>
        <w:rPr>
          <w:rFonts w:hint="eastAsia" w:ascii="宋体" w:hAnsi="宋体"/>
          <w:szCs w:val="21"/>
        </w:rPr>
        <w:t>你方于（投标日期）所递交的（项目名称）标段养护投标文件已被我方接受，被确定为中标人。</w:t>
      </w:r>
    </w:p>
    <w:p>
      <w:pPr>
        <w:spacing w:beforeLines="50" w:line="420" w:lineRule="exact"/>
        <w:ind w:firstLine="420" w:firstLineChars="200"/>
        <w:jc w:val="left"/>
        <w:rPr>
          <w:rFonts w:ascii="宋体" w:hAnsi="宋体"/>
          <w:szCs w:val="21"/>
        </w:rPr>
      </w:pPr>
      <w:r>
        <w:rPr>
          <w:rFonts w:hint="eastAsia" w:ascii="宋体" w:hAnsi="宋体"/>
          <w:szCs w:val="21"/>
        </w:rPr>
        <w:t>中标价：元。</w:t>
      </w:r>
    </w:p>
    <w:p>
      <w:pPr>
        <w:spacing w:beforeLines="50" w:line="420" w:lineRule="exact"/>
        <w:ind w:firstLine="420" w:firstLineChars="200"/>
        <w:jc w:val="left"/>
        <w:rPr>
          <w:rFonts w:ascii="宋体" w:hAnsi="宋体"/>
          <w:szCs w:val="21"/>
        </w:rPr>
      </w:pPr>
      <w:r>
        <w:rPr>
          <w:rFonts w:hint="eastAsia" w:ascii="宋体" w:hAnsi="宋体"/>
          <w:szCs w:val="21"/>
        </w:rPr>
        <w:t>工期：日历天（或</w:t>
      </w:r>
      <w:r>
        <w:rPr>
          <w:rFonts w:hint="eastAsia" w:ascii="宋体" w:hAnsi="宋体"/>
          <w:szCs w:val="21"/>
          <w:lang w:eastAsia="zh-CN"/>
        </w:rPr>
        <w:t>月</w:t>
      </w:r>
      <w:r>
        <w:rPr>
          <w:rFonts w:hint="eastAsia" w:ascii="宋体" w:hAnsi="宋体"/>
          <w:szCs w:val="21"/>
        </w:rPr>
        <w:t>）。</w:t>
      </w:r>
    </w:p>
    <w:p>
      <w:pPr>
        <w:spacing w:beforeLines="50" w:line="420" w:lineRule="exact"/>
        <w:ind w:firstLine="420" w:firstLineChars="200"/>
        <w:jc w:val="left"/>
        <w:rPr>
          <w:rFonts w:ascii="宋体" w:hAnsi="宋体"/>
          <w:szCs w:val="21"/>
        </w:rPr>
      </w:pPr>
      <w:r>
        <w:rPr>
          <w:rFonts w:hint="eastAsia" w:ascii="宋体" w:hAnsi="宋体"/>
          <w:szCs w:val="21"/>
        </w:rPr>
        <w:t>工程质量：符合标准。</w:t>
      </w:r>
    </w:p>
    <w:p>
      <w:pPr>
        <w:spacing w:beforeLines="50" w:line="420" w:lineRule="exact"/>
        <w:ind w:firstLine="420" w:firstLineChars="200"/>
        <w:jc w:val="left"/>
        <w:rPr>
          <w:rFonts w:ascii="宋体" w:hAnsi="宋体"/>
          <w:szCs w:val="21"/>
        </w:rPr>
      </w:pPr>
      <w:r>
        <w:rPr>
          <w:rFonts w:hint="eastAsia" w:ascii="宋体" w:hAnsi="宋体"/>
          <w:szCs w:val="21"/>
        </w:rPr>
        <w:t>项目经理：姓名。</w:t>
      </w:r>
    </w:p>
    <w:p>
      <w:pPr>
        <w:spacing w:beforeLines="50" w:line="420" w:lineRule="exact"/>
        <w:ind w:firstLine="420" w:firstLineChars="200"/>
        <w:jc w:val="left"/>
        <w:rPr>
          <w:rFonts w:ascii="宋体" w:hAnsi="宋体"/>
          <w:szCs w:val="21"/>
        </w:rPr>
      </w:pPr>
      <w:r>
        <w:rPr>
          <w:rFonts w:hint="eastAsia" w:ascii="宋体" w:hAnsi="宋体"/>
          <w:szCs w:val="21"/>
        </w:rPr>
        <w:t>项目总工：姓名。</w:t>
      </w:r>
    </w:p>
    <w:p>
      <w:pPr>
        <w:spacing w:beforeLines="50" w:line="420" w:lineRule="exact"/>
        <w:ind w:firstLine="420" w:firstLineChars="200"/>
        <w:jc w:val="left"/>
        <w:rPr>
          <w:rFonts w:ascii="宋体" w:hAnsi="宋体"/>
          <w:szCs w:val="21"/>
        </w:rPr>
      </w:pPr>
      <w:r>
        <w:rPr>
          <w:rFonts w:hint="eastAsia" w:ascii="宋体" w:hAnsi="宋体"/>
          <w:szCs w:val="21"/>
        </w:rPr>
        <w:t>你方在接到本通知书后的日内到（指定地点）与我方签订养护工程施工承包合同，在此之前按招标文件第二章“投标人须知”第</w:t>
      </w:r>
      <w:r>
        <w:rPr>
          <w:szCs w:val="21"/>
        </w:rPr>
        <w:t>7.3</w:t>
      </w:r>
      <w:r>
        <w:rPr>
          <w:rFonts w:hint="eastAsia" w:ascii="宋体" w:hAnsi="宋体"/>
          <w:szCs w:val="21"/>
        </w:rPr>
        <w:t>款规定向我方提交履约担保。</w:t>
      </w:r>
    </w:p>
    <w:p>
      <w:pPr>
        <w:spacing w:beforeLines="50" w:line="420" w:lineRule="exact"/>
        <w:ind w:firstLine="420" w:firstLineChars="200"/>
        <w:jc w:val="left"/>
        <w:rPr>
          <w:rFonts w:ascii="宋体" w:hAnsi="宋体"/>
          <w:szCs w:val="21"/>
        </w:rPr>
      </w:pPr>
      <w:r>
        <w:rPr>
          <w:rFonts w:hint="eastAsia" w:ascii="宋体" w:hAnsi="宋体"/>
          <w:szCs w:val="21"/>
        </w:rPr>
        <w:t>特此通知</w:t>
      </w:r>
    </w:p>
    <w:p>
      <w:pPr>
        <w:spacing w:beforeLines="50" w:line="420" w:lineRule="exact"/>
        <w:ind w:firstLine="3150" w:firstLineChars="1500"/>
        <w:jc w:val="left"/>
        <w:rPr>
          <w:rFonts w:ascii="宋体" w:hAnsi="宋体"/>
          <w:szCs w:val="21"/>
        </w:rPr>
      </w:pPr>
      <w:r>
        <w:rPr>
          <w:rFonts w:hint="eastAsia" w:ascii="宋体" w:hAnsi="宋体"/>
          <w:szCs w:val="21"/>
        </w:rPr>
        <w:t>招标人：（盖单位章）</w:t>
      </w:r>
    </w:p>
    <w:p>
      <w:pPr>
        <w:spacing w:beforeLines="50" w:line="420" w:lineRule="exact"/>
        <w:ind w:firstLine="3150" w:firstLineChars="1500"/>
        <w:jc w:val="left"/>
        <w:rPr>
          <w:rFonts w:ascii="宋体" w:hAnsi="宋体"/>
          <w:szCs w:val="21"/>
        </w:rPr>
      </w:pPr>
      <w:r>
        <w:rPr>
          <w:rFonts w:hint="eastAsia" w:ascii="宋体" w:hAnsi="宋体"/>
          <w:szCs w:val="21"/>
        </w:rPr>
        <w:t>招标代理：（盖单位章）</w:t>
      </w:r>
    </w:p>
    <w:p>
      <w:pPr>
        <w:spacing w:beforeLines="50" w:line="420" w:lineRule="exact"/>
        <w:ind w:firstLine="4305" w:firstLineChars="2050"/>
        <w:jc w:val="left"/>
        <w:rPr>
          <w:rFonts w:ascii="宋体" w:hAnsi="宋体"/>
          <w:szCs w:val="21"/>
        </w:rPr>
      </w:pPr>
      <w:r>
        <w:rPr>
          <w:rFonts w:hint="eastAsia" w:ascii="宋体" w:hAnsi="宋体"/>
          <w:szCs w:val="21"/>
        </w:rPr>
        <w:t>年 月日</w:t>
      </w:r>
      <w:bookmarkStart w:id="1880" w:name="_Toc288491470"/>
      <w:bookmarkStart w:id="1881" w:name="_Toc288546594"/>
      <w:bookmarkStart w:id="1882" w:name="_Toc283794142"/>
      <w:bookmarkStart w:id="1883" w:name="_Toc282787385"/>
      <w:bookmarkStart w:id="1884" w:name="_Toc287853294"/>
      <w:bookmarkStart w:id="1885" w:name="_Toc282778945"/>
      <w:bookmarkStart w:id="1886" w:name="_Toc282779454"/>
    </w:p>
    <w:p>
      <w:pPr>
        <w:spacing w:beforeLines="50" w:line="420" w:lineRule="exact"/>
        <w:ind w:firstLine="4305" w:firstLineChars="2050"/>
        <w:jc w:val="left"/>
        <w:rPr>
          <w:rFonts w:ascii="黑体" w:eastAsia="黑体"/>
          <w:szCs w:val="21"/>
        </w:rPr>
      </w:pPr>
    </w:p>
    <w:p>
      <w:pPr>
        <w:spacing w:beforeLines="50" w:line="420" w:lineRule="exact"/>
        <w:ind w:firstLine="4920" w:firstLineChars="2050"/>
        <w:jc w:val="left"/>
        <w:rPr>
          <w:rFonts w:ascii="黑体" w:eastAsia="黑体"/>
          <w:sz w:val="24"/>
        </w:rPr>
      </w:pPr>
    </w:p>
    <w:p>
      <w:pPr>
        <w:spacing w:beforeLines="50" w:line="420" w:lineRule="exact"/>
        <w:ind w:firstLine="4920" w:firstLineChars="2050"/>
        <w:jc w:val="left"/>
        <w:rPr>
          <w:rFonts w:ascii="黑体" w:eastAsia="黑体"/>
          <w:sz w:val="24"/>
        </w:rPr>
      </w:pPr>
    </w:p>
    <w:p>
      <w:pPr>
        <w:spacing w:beforeLines="50" w:line="420" w:lineRule="exact"/>
        <w:ind w:firstLine="4920" w:firstLineChars="2050"/>
        <w:jc w:val="left"/>
        <w:rPr>
          <w:rFonts w:ascii="黑体" w:eastAsia="黑体"/>
          <w:sz w:val="24"/>
        </w:rPr>
      </w:pPr>
    </w:p>
    <w:p>
      <w:pPr>
        <w:spacing w:beforeLines="50" w:line="420" w:lineRule="exact"/>
        <w:ind w:firstLine="4920" w:firstLineChars="2050"/>
        <w:jc w:val="left"/>
        <w:rPr>
          <w:rFonts w:ascii="黑体" w:eastAsia="黑体"/>
          <w:sz w:val="24"/>
        </w:rPr>
      </w:pPr>
    </w:p>
    <w:p>
      <w:pPr>
        <w:spacing w:beforeLines="50" w:line="420" w:lineRule="exact"/>
        <w:ind w:firstLine="4920" w:firstLineChars="2050"/>
        <w:jc w:val="left"/>
        <w:rPr>
          <w:rFonts w:ascii="黑体" w:eastAsia="黑体"/>
          <w:sz w:val="24"/>
        </w:rPr>
      </w:pPr>
    </w:p>
    <w:p>
      <w:pPr>
        <w:spacing w:beforeLines="50" w:line="420" w:lineRule="exact"/>
        <w:ind w:firstLine="4920" w:firstLineChars="2050"/>
        <w:jc w:val="left"/>
        <w:rPr>
          <w:rFonts w:ascii="黑体" w:eastAsia="黑体"/>
          <w:sz w:val="24"/>
        </w:rPr>
      </w:pPr>
    </w:p>
    <w:p>
      <w:pPr>
        <w:spacing w:line="415" w:lineRule="auto"/>
      </w:pPr>
      <w:bookmarkStart w:id="1887" w:name="_Toc16248"/>
      <w:bookmarkStart w:id="1888" w:name="_Toc17626"/>
      <w:bookmarkStart w:id="1889" w:name="_Toc30944"/>
      <w:bookmarkStart w:id="1890" w:name="_Toc13779"/>
    </w:p>
    <w:p>
      <w:pPr>
        <w:rPr>
          <w:rFonts w:ascii="黑体" w:eastAsia="黑体"/>
          <w:sz w:val="24"/>
        </w:rPr>
      </w:pPr>
      <w:bookmarkStart w:id="1891" w:name="_Toc11099"/>
      <w:bookmarkStart w:id="1892" w:name="_Toc29230"/>
      <w:bookmarkStart w:id="1893" w:name="_Toc903"/>
      <w:bookmarkStart w:id="1894" w:name="_Toc16391"/>
      <w:bookmarkStart w:id="1895" w:name="_Toc30596"/>
      <w:bookmarkStart w:id="1896" w:name="_Toc9067"/>
      <w:bookmarkStart w:id="1897" w:name="_Toc24525"/>
      <w:bookmarkStart w:id="1898" w:name="_Toc21624"/>
      <w:bookmarkStart w:id="1899" w:name="_Toc16179"/>
      <w:bookmarkStart w:id="1900" w:name="_Toc2750"/>
      <w:bookmarkStart w:id="1901" w:name="_Toc14046"/>
      <w:bookmarkStart w:id="1902" w:name="_Toc29692"/>
      <w:bookmarkStart w:id="1903" w:name="_Toc12640"/>
      <w:bookmarkStart w:id="1904" w:name="_Toc21253"/>
      <w:r>
        <w:rPr>
          <w:rFonts w:hint="eastAsia" w:ascii="黑体" w:eastAsia="黑体"/>
          <w:sz w:val="24"/>
        </w:rPr>
        <w:br w:type="page"/>
      </w:r>
    </w:p>
    <w:p>
      <w:pPr>
        <w:pStyle w:val="6"/>
        <w:spacing w:after="0" w:line="415" w:lineRule="auto"/>
        <w:rPr>
          <w:rFonts w:ascii="黑体" w:eastAsia="黑体"/>
          <w:b w:val="0"/>
          <w:sz w:val="24"/>
          <w:szCs w:val="24"/>
        </w:rPr>
      </w:pPr>
      <w:r>
        <w:rPr>
          <w:rFonts w:hint="eastAsia" w:ascii="黑体" w:eastAsia="黑体"/>
          <w:b w:val="0"/>
          <w:sz w:val="24"/>
          <w:szCs w:val="24"/>
        </w:rPr>
        <w:t>附表六  中标结果通知书</w:t>
      </w:r>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p>
    <w:p>
      <w:pPr>
        <w:jc w:val="center"/>
        <w:rPr>
          <w:rFonts w:ascii="黑体" w:eastAsia="黑体"/>
          <w:sz w:val="28"/>
          <w:szCs w:val="28"/>
        </w:rPr>
      </w:pPr>
      <w:r>
        <w:rPr>
          <w:rFonts w:hint="eastAsia" w:ascii="黑体" w:eastAsia="黑体"/>
          <w:sz w:val="28"/>
          <w:szCs w:val="28"/>
        </w:rPr>
        <w:t>中标结果通知书</w:t>
      </w:r>
    </w:p>
    <w:p>
      <w:pPr>
        <w:spacing w:line="420" w:lineRule="exact"/>
        <w:jc w:val="left"/>
        <w:rPr>
          <w:rFonts w:ascii="宋体" w:hAnsi="宋体"/>
          <w:szCs w:val="21"/>
          <w:u w:val="single"/>
        </w:rPr>
      </w:pPr>
    </w:p>
    <w:p>
      <w:pPr>
        <w:spacing w:beforeLines="50" w:line="420" w:lineRule="exact"/>
        <w:jc w:val="left"/>
        <w:rPr>
          <w:rFonts w:ascii="宋体" w:hAnsi="宋体"/>
          <w:sz w:val="24"/>
          <w:u w:val="single"/>
        </w:rPr>
      </w:pPr>
    </w:p>
    <w:p>
      <w:pPr>
        <w:spacing w:beforeLines="50" w:line="420" w:lineRule="exact"/>
        <w:jc w:val="left"/>
        <w:rPr>
          <w:rFonts w:ascii="宋体" w:hAnsi="宋体"/>
          <w:szCs w:val="21"/>
        </w:rPr>
      </w:pPr>
      <w:r>
        <w:rPr>
          <w:rFonts w:hint="eastAsia" w:ascii="宋体" w:hAnsi="宋体"/>
          <w:szCs w:val="21"/>
        </w:rPr>
        <w:t>（未中标人名称）：</w:t>
      </w:r>
    </w:p>
    <w:p>
      <w:pPr>
        <w:spacing w:beforeLines="50" w:line="420" w:lineRule="exact"/>
        <w:ind w:firstLine="420" w:firstLineChars="200"/>
        <w:jc w:val="left"/>
        <w:rPr>
          <w:rFonts w:ascii="宋体" w:hAnsi="宋体"/>
          <w:szCs w:val="21"/>
        </w:rPr>
      </w:pPr>
      <w:r>
        <w:rPr>
          <w:rFonts w:hint="eastAsia" w:ascii="宋体" w:hAnsi="宋体"/>
          <w:szCs w:val="21"/>
        </w:rPr>
        <w:t>我方已接受（中标人名称）于（投标日期）所递交的（项目名称）标段养护工程施工投标文件，确定（中标人名称）为中标人。</w:t>
      </w:r>
    </w:p>
    <w:p>
      <w:pPr>
        <w:spacing w:beforeLines="50" w:line="420" w:lineRule="exact"/>
        <w:ind w:firstLine="420" w:firstLineChars="200"/>
        <w:jc w:val="left"/>
        <w:rPr>
          <w:rFonts w:ascii="宋体" w:hAnsi="宋体"/>
          <w:szCs w:val="21"/>
        </w:rPr>
      </w:pPr>
      <w:r>
        <w:rPr>
          <w:rFonts w:hint="eastAsia" w:ascii="宋体" w:hAnsi="宋体"/>
          <w:szCs w:val="21"/>
        </w:rPr>
        <w:t>感谢你单位对我们工作的大力支持！</w:t>
      </w:r>
    </w:p>
    <w:p>
      <w:pPr>
        <w:spacing w:beforeLines="50" w:line="420" w:lineRule="exact"/>
        <w:ind w:firstLine="420" w:firstLineChars="200"/>
        <w:jc w:val="left"/>
        <w:rPr>
          <w:rFonts w:ascii="宋体" w:hAnsi="宋体"/>
          <w:szCs w:val="21"/>
        </w:rPr>
      </w:pPr>
    </w:p>
    <w:p>
      <w:pPr>
        <w:spacing w:beforeLines="50" w:line="420" w:lineRule="exact"/>
        <w:ind w:firstLine="3150" w:firstLineChars="1500"/>
        <w:jc w:val="left"/>
        <w:rPr>
          <w:rFonts w:ascii="宋体" w:hAnsi="宋体"/>
          <w:szCs w:val="21"/>
        </w:rPr>
      </w:pPr>
      <w:r>
        <w:rPr>
          <w:rFonts w:hint="eastAsia" w:ascii="宋体" w:hAnsi="宋体"/>
          <w:szCs w:val="21"/>
        </w:rPr>
        <w:t>招标人：（盖单位章）</w:t>
      </w:r>
    </w:p>
    <w:p>
      <w:pPr>
        <w:spacing w:beforeLines="50" w:line="420" w:lineRule="exact"/>
        <w:ind w:firstLine="3150" w:firstLineChars="1500"/>
        <w:jc w:val="left"/>
        <w:rPr>
          <w:rFonts w:ascii="宋体" w:hAnsi="宋体"/>
          <w:szCs w:val="21"/>
        </w:rPr>
      </w:pPr>
      <w:r>
        <w:rPr>
          <w:rFonts w:hint="eastAsia" w:ascii="宋体" w:hAnsi="宋体"/>
          <w:szCs w:val="21"/>
        </w:rPr>
        <w:t>招标代理：（盖单位章）</w:t>
      </w:r>
    </w:p>
    <w:p>
      <w:pPr>
        <w:spacing w:beforeLines="50" w:line="420" w:lineRule="exact"/>
        <w:ind w:firstLine="4305" w:firstLineChars="2050"/>
        <w:jc w:val="left"/>
        <w:rPr>
          <w:rFonts w:ascii="宋体" w:hAnsi="宋体"/>
          <w:szCs w:val="21"/>
        </w:rPr>
      </w:pPr>
      <w:r>
        <w:rPr>
          <w:rFonts w:hint="eastAsia" w:ascii="宋体" w:hAnsi="宋体"/>
          <w:szCs w:val="21"/>
        </w:rPr>
        <w:t>年 月日</w:t>
      </w:r>
    </w:p>
    <w:p>
      <w:pPr>
        <w:spacing w:beforeLines="50" w:line="420" w:lineRule="exact"/>
        <w:ind w:firstLine="4305" w:firstLineChars="2050"/>
        <w:jc w:val="left"/>
        <w:rPr>
          <w:rFonts w:ascii="宋体" w:hAnsi="宋体"/>
          <w:szCs w:val="21"/>
        </w:rPr>
      </w:pPr>
    </w:p>
    <w:p>
      <w:pPr>
        <w:pStyle w:val="6"/>
        <w:rPr>
          <w:rFonts w:ascii="黑体" w:eastAsia="黑体"/>
          <w:b w:val="0"/>
          <w:sz w:val="24"/>
          <w:szCs w:val="24"/>
        </w:rPr>
      </w:pPr>
      <w:bookmarkStart w:id="1905" w:name="_Toc288491471"/>
      <w:bookmarkStart w:id="1906" w:name="_Toc282779455"/>
      <w:bookmarkStart w:id="1907" w:name="_Toc287853295"/>
      <w:bookmarkStart w:id="1908" w:name="_Toc282787386"/>
      <w:bookmarkStart w:id="1909" w:name="_Toc283794143"/>
      <w:bookmarkStart w:id="1910" w:name="_Toc288546595"/>
      <w:bookmarkStart w:id="1911" w:name="_Toc282778946"/>
    </w:p>
    <w:p>
      <w:pPr>
        <w:rPr>
          <w:rFonts w:ascii="黑体" w:eastAsia="黑体"/>
          <w:sz w:val="24"/>
        </w:rPr>
      </w:pPr>
    </w:p>
    <w:p>
      <w:pPr>
        <w:rPr>
          <w:rFonts w:ascii="黑体" w:eastAsia="黑体"/>
          <w:sz w:val="24"/>
        </w:rPr>
      </w:pPr>
    </w:p>
    <w:p>
      <w:pPr>
        <w:rPr>
          <w:rFonts w:ascii="黑体" w:eastAsia="黑体"/>
          <w:sz w:val="24"/>
        </w:rPr>
      </w:pPr>
    </w:p>
    <w:p>
      <w:pPr>
        <w:rPr>
          <w:rFonts w:ascii="黑体" w:eastAsia="黑体"/>
          <w:sz w:val="24"/>
        </w:rPr>
      </w:pPr>
    </w:p>
    <w:p>
      <w:pPr>
        <w:rPr>
          <w:rFonts w:ascii="黑体" w:eastAsia="黑体"/>
          <w:sz w:val="24"/>
        </w:rPr>
      </w:pPr>
    </w:p>
    <w:p>
      <w:pPr>
        <w:rPr>
          <w:rFonts w:ascii="黑体" w:eastAsia="黑体"/>
          <w:sz w:val="24"/>
        </w:rPr>
      </w:pPr>
    </w:p>
    <w:p>
      <w:pPr>
        <w:rPr>
          <w:rFonts w:ascii="黑体" w:eastAsia="黑体"/>
          <w:sz w:val="24"/>
        </w:rPr>
      </w:pPr>
    </w:p>
    <w:p>
      <w:pPr>
        <w:rPr>
          <w:rFonts w:ascii="黑体" w:eastAsia="黑体"/>
          <w:sz w:val="24"/>
        </w:rPr>
      </w:pPr>
    </w:p>
    <w:p>
      <w:pPr>
        <w:rPr>
          <w:rFonts w:ascii="黑体" w:eastAsia="黑体"/>
          <w:sz w:val="24"/>
        </w:rPr>
      </w:pPr>
    </w:p>
    <w:p>
      <w:pPr>
        <w:rPr>
          <w:rFonts w:ascii="黑体" w:eastAsia="黑体"/>
          <w:sz w:val="24"/>
        </w:rPr>
      </w:pPr>
    </w:p>
    <w:p>
      <w:pPr>
        <w:rPr>
          <w:rFonts w:ascii="黑体" w:eastAsia="黑体"/>
          <w:sz w:val="24"/>
        </w:rPr>
      </w:pPr>
    </w:p>
    <w:p>
      <w:pPr>
        <w:rPr>
          <w:rFonts w:ascii="黑体" w:eastAsia="黑体"/>
          <w:sz w:val="24"/>
        </w:rPr>
      </w:pPr>
    </w:p>
    <w:p>
      <w:pPr>
        <w:rPr>
          <w:rFonts w:ascii="黑体" w:eastAsia="黑体"/>
          <w:sz w:val="24"/>
        </w:rPr>
      </w:pPr>
    </w:p>
    <w:p>
      <w:pPr>
        <w:rPr>
          <w:rFonts w:ascii="黑体" w:eastAsia="黑体"/>
          <w:sz w:val="24"/>
        </w:rPr>
      </w:pPr>
    </w:p>
    <w:p>
      <w:pPr>
        <w:rPr>
          <w:rFonts w:ascii="黑体" w:eastAsia="黑体"/>
          <w:sz w:val="24"/>
        </w:rPr>
      </w:pPr>
    </w:p>
    <w:p>
      <w:pPr>
        <w:spacing w:line="415" w:lineRule="auto"/>
      </w:pPr>
    </w:p>
    <w:p>
      <w:pPr>
        <w:rPr>
          <w:rFonts w:ascii="黑体" w:eastAsia="黑体"/>
          <w:sz w:val="24"/>
        </w:rPr>
      </w:pPr>
      <w:bookmarkStart w:id="1912" w:name="_Toc15308"/>
      <w:bookmarkStart w:id="1913" w:name="_Toc15260"/>
      <w:bookmarkStart w:id="1914" w:name="_Toc18187"/>
      <w:bookmarkStart w:id="1915" w:name="_Toc27128"/>
      <w:bookmarkStart w:id="1916" w:name="_Toc15143"/>
      <w:bookmarkStart w:id="1917" w:name="_Toc30942"/>
      <w:bookmarkStart w:id="1918" w:name="_Toc12349"/>
      <w:bookmarkStart w:id="1919" w:name="_Toc5356"/>
      <w:bookmarkStart w:id="1920" w:name="_Toc31313"/>
      <w:bookmarkStart w:id="1921" w:name="_Toc11315"/>
      <w:bookmarkStart w:id="1922" w:name="_Toc2443"/>
      <w:bookmarkStart w:id="1923" w:name="_Toc11762"/>
      <w:bookmarkStart w:id="1924" w:name="_Toc32003"/>
      <w:bookmarkStart w:id="1925" w:name="_Toc31756"/>
      <w:bookmarkStart w:id="1926" w:name="_Toc7197"/>
      <w:bookmarkStart w:id="1927" w:name="_Toc14916"/>
      <w:bookmarkStart w:id="1928" w:name="_Toc3025"/>
      <w:bookmarkStart w:id="1929" w:name="_Toc16516"/>
      <w:r>
        <w:rPr>
          <w:rFonts w:hint="eastAsia" w:ascii="黑体" w:eastAsia="黑体"/>
          <w:sz w:val="24"/>
        </w:rPr>
        <w:br w:type="page"/>
      </w:r>
    </w:p>
    <w:p>
      <w:pPr>
        <w:pStyle w:val="6"/>
        <w:spacing w:after="0" w:line="415" w:lineRule="auto"/>
        <w:rPr>
          <w:rFonts w:ascii="黑体" w:eastAsia="黑体"/>
          <w:b w:val="0"/>
          <w:sz w:val="24"/>
          <w:szCs w:val="24"/>
        </w:rPr>
      </w:pPr>
      <w:r>
        <w:rPr>
          <w:rFonts w:hint="eastAsia" w:ascii="黑体" w:eastAsia="黑体"/>
          <w:b w:val="0"/>
          <w:sz w:val="24"/>
          <w:szCs w:val="24"/>
        </w:rPr>
        <w:t>附表七  确认通知</w:t>
      </w:r>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p>
    <w:p>
      <w:pPr>
        <w:jc w:val="center"/>
        <w:rPr>
          <w:rFonts w:ascii="黑体" w:eastAsia="黑体"/>
          <w:sz w:val="28"/>
          <w:szCs w:val="28"/>
        </w:rPr>
      </w:pPr>
      <w:r>
        <w:rPr>
          <w:rFonts w:hint="eastAsia" w:ascii="黑体" w:eastAsia="黑体"/>
          <w:sz w:val="28"/>
          <w:szCs w:val="28"/>
        </w:rPr>
        <w:t>确 认 通 知</w:t>
      </w:r>
    </w:p>
    <w:p>
      <w:pPr>
        <w:spacing w:beforeLines="50" w:line="420" w:lineRule="exact"/>
        <w:jc w:val="left"/>
        <w:rPr>
          <w:rFonts w:ascii="宋体" w:hAnsi="宋体"/>
          <w:sz w:val="24"/>
          <w:u w:val="single"/>
        </w:rPr>
      </w:pPr>
    </w:p>
    <w:p>
      <w:pPr>
        <w:spacing w:beforeLines="50" w:line="420" w:lineRule="exact"/>
        <w:jc w:val="left"/>
        <w:rPr>
          <w:rFonts w:ascii="宋体" w:hAnsi="宋体"/>
          <w:szCs w:val="21"/>
        </w:rPr>
      </w:pPr>
      <w:r>
        <w:rPr>
          <w:rFonts w:hint="eastAsia" w:ascii="宋体" w:hAnsi="宋体"/>
          <w:szCs w:val="21"/>
        </w:rPr>
        <w:t>（招标人名称）：</w:t>
      </w:r>
    </w:p>
    <w:p>
      <w:pPr>
        <w:spacing w:beforeLines="50" w:line="420" w:lineRule="exact"/>
        <w:ind w:firstLine="420" w:firstLineChars="200"/>
        <w:jc w:val="left"/>
        <w:rPr>
          <w:rFonts w:ascii="宋体" w:hAnsi="宋体"/>
          <w:szCs w:val="21"/>
        </w:rPr>
      </w:pPr>
      <w:r>
        <w:rPr>
          <w:rFonts w:hint="eastAsia" w:ascii="宋体" w:hAnsi="宋体"/>
          <w:szCs w:val="21"/>
        </w:rPr>
        <w:t>我方已接到你方年月日发出的（项目名称）标段施工招标关于的通知，我方已于年月日收到。</w:t>
      </w:r>
    </w:p>
    <w:p>
      <w:pPr>
        <w:spacing w:beforeLines="50" w:line="420" w:lineRule="exact"/>
        <w:ind w:firstLine="420" w:firstLineChars="200"/>
        <w:jc w:val="left"/>
        <w:rPr>
          <w:rFonts w:ascii="宋体" w:hAnsi="宋体"/>
          <w:szCs w:val="21"/>
        </w:rPr>
      </w:pPr>
      <w:r>
        <w:rPr>
          <w:rFonts w:hint="eastAsia" w:ascii="宋体" w:hAnsi="宋体"/>
          <w:szCs w:val="21"/>
        </w:rPr>
        <w:t>特此确认</w:t>
      </w:r>
    </w:p>
    <w:p>
      <w:pPr>
        <w:spacing w:line="420" w:lineRule="exact"/>
        <w:ind w:firstLine="420" w:firstLineChars="200"/>
        <w:jc w:val="left"/>
        <w:rPr>
          <w:rFonts w:ascii="宋体" w:hAnsi="宋体"/>
          <w:szCs w:val="21"/>
        </w:rPr>
      </w:pPr>
    </w:p>
    <w:p>
      <w:pPr>
        <w:spacing w:beforeLines="50" w:line="420" w:lineRule="exact"/>
        <w:ind w:firstLine="3045" w:firstLineChars="1450"/>
        <w:jc w:val="left"/>
        <w:rPr>
          <w:rFonts w:ascii="宋体" w:hAnsi="宋体"/>
          <w:szCs w:val="21"/>
        </w:rPr>
      </w:pPr>
      <w:r>
        <w:rPr>
          <w:rFonts w:hint="eastAsia" w:ascii="宋体" w:hAnsi="宋体"/>
          <w:szCs w:val="21"/>
        </w:rPr>
        <w:t>投标人：（单位盖章）</w:t>
      </w:r>
    </w:p>
    <w:p>
      <w:pPr>
        <w:spacing w:line="420" w:lineRule="exact"/>
        <w:ind w:firstLine="3990" w:firstLineChars="1900"/>
        <w:rPr>
          <w:rFonts w:ascii="宋体" w:hAnsi="宋体"/>
          <w:szCs w:val="21"/>
        </w:rPr>
      </w:pPr>
      <w:r>
        <w:rPr>
          <w:rFonts w:hint="eastAsia" w:ascii="宋体" w:hAnsi="宋体"/>
          <w:szCs w:val="21"/>
        </w:rPr>
        <w:t>年 月日</w:t>
      </w:r>
    </w:p>
    <w:p>
      <w:pPr>
        <w:spacing w:line="420" w:lineRule="exact"/>
        <w:ind w:firstLine="3990" w:firstLineChars="1900"/>
        <w:rPr>
          <w:rFonts w:ascii="宋体" w:hAnsi="宋体"/>
          <w:szCs w:val="21"/>
        </w:rPr>
      </w:pPr>
    </w:p>
    <w:p>
      <w:pPr>
        <w:ind w:firstLine="2160" w:firstLineChars="600"/>
        <w:rPr>
          <w:rFonts w:ascii="黑体" w:eastAsia="黑体"/>
          <w:sz w:val="36"/>
          <w:szCs w:val="36"/>
          <w:u w:val="single"/>
        </w:rPr>
      </w:pPr>
    </w:p>
    <w:p>
      <w:pPr>
        <w:ind w:firstLine="2160" w:firstLineChars="600"/>
        <w:rPr>
          <w:rFonts w:ascii="黑体" w:eastAsia="黑体"/>
          <w:sz w:val="36"/>
          <w:szCs w:val="36"/>
          <w:u w:val="single"/>
        </w:rPr>
      </w:pPr>
    </w:p>
    <w:p>
      <w:pPr>
        <w:ind w:firstLine="2160" w:firstLineChars="600"/>
        <w:rPr>
          <w:rFonts w:ascii="黑体" w:eastAsia="黑体"/>
          <w:sz w:val="36"/>
          <w:szCs w:val="36"/>
          <w:u w:val="single"/>
        </w:rPr>
      </w:pPr>
    </w:p>
    <w:p>
      <w:pPr>
        <w:ind w:firstLine="2160" w:firstLineChars="600"/>
        <w:rPr>
          <w:rFonts w:ascii="黑体" w:eastAsia="黑体"/>
          <w:sz w:val="36"/>
          <w:szCs w:val="36"/>
          <w:u w:val="single"/>
        </w:rPr>
      </w:pPr>
    </w:p>
    <w:p>
      <w:pPr>
        <w:ind w:firstLine="2160" w:firstLineChars="600"/>
        <w:rPr>
          <w:rFonts w:ascii="黑体" w:eastAsia="黑体"/>
          <w:sz w:val="36"/>
          <w:szCs w:val="36"/>
          <w:u w:val="single"/>
        </w:rPr>
      </w:pPr>
    </w:p>
    <w:p>
      <w:pPr>
        <w:ind w:firstLine="2160" w:firstLineChars="600"/>
        <w:rPr>
          <w:rFonts w:ascii="黑体" w:eastAsia="黑体"/>
          <w:sz w:val="36"/>
          <w:szCs w:val="36"/>
          <w:u w:val="single"/>
        </w:rPr>
      </w:pPr>
    </w:p>
    <w:p>
      <w:pPr>
        <w:ind w:firstLine="2160" w:firstLineChars="600"/>
        <w:rPr>
          <w:rFonts w:ascii="黑体" w:eastAsia="黑体"/>
          <w:sz w:val="36"/>
          <w:szCs w:val="36"/>
          <w:u w:val="single"/>
        </w:rPr>
      </w:pPr>
    </w:p>
    <w:p>
      <w:pPr>
        <w:ind w:firstLine="2160" w:firstLineChars="600"/>
        <w:rPr>
          <w:rFonts w:ascii="黑体" w:eastAsia="黑体"/>
          <w:sz w:val="36"/>
          <w:szCs w:val="36"/>
          <w:u w:val="single"/>
        </w:rPr>
      </w:pPr>
    </w:p>
    <w:p>
      <w:pPr>
        <w:ind w:firstLine="2160" w:firstLineChars="600"/>
        <w:rPr>
          <w:rFonts w:ascii="黑体" w:eastAsia="黑体"/>
          <w:sz w:val="36"/>
          <w:szCs w:val="36"/>
          <w:u w:val="single"/>
        </w:rPr>
      </w:pPr>
    </w:p>
    <w:p>
      <w:pPr>
        <w:ind w:firstLine="2160" w:firstLineChars="600"/>
        <w:rPr>
          <w:rFonts w:ascii="黑体" w:eastAsia="黑体"/>
          <w:sz w:val="36"/>
          <w:szCs w:val="36"/>
          <w:u w:val="single"/>
        </w:rPr>
      </w:pPr>
    </w:p>
    <w:p>
      <w:pPr>
        <w:ind w:firstLine="2160" w:firstLineChars="600"/>
        <w:rPr>
          <w:rFonts w:ascii="黑体" w:eastAsia="黑体"/>
          <w:sz w:val="36"/>
          <w:szCs w:val="36"/>
          <w:u w:val="single"/>
        </w:rPr>
      </w:pPr>
    </w:p>
    <w:p>
      <w:pPr>
        <w:ind w:firstLine="2160" w:firstLineChars="600"/>
        <w:rPr>
          <w:rFonts w:ascii="黑体" w:eastAsia="黑体"/>
          <w:sz w:val="36"/>
          <w:szCs w:val="36"/>
          <w:u w:val="single"/>
        </w:rPr>
      </w:pPr>
    </w:p>
    <w:p>
      <w:pPr>
        <w:ind w:firstLine="2160" w:firstLineChars="600"/>
        <w:rPr>
          <w:rFonts w:ascii="黑体" w:eastAsia="黑体"/>
          <w:sz w:val="36"/>
          <w:szCs w:val="36"/>
          <w:u w:val="single"/>
        </w:rPr>
      </w:pPr>
    </w:p>
    <w:p>
      <w:pPr>
        <w:ind w:firstLine="2160" w:firstLineChars="600"/>
        <w:rPr>
          <w:rFonts w:ascii="黑体" w:eastAsia="黑体"/>
          <w:sz w:val="36"/>
          <w:szCs w:val="36"/>
          <w:u w:val="single"/>
        </w:rPr>
      </w:pPr>
    </w:p>
    <w:p>
      <w:pPr>
        <w:ind w:firstLine="2160" w:firstLineChars="600"/>
        <w:rPr>
          <w:rFonts w:ascii="黑体" w:eastAsia="黑体"/>
          <w:sz w:val="36"/>
          <w:szCs w:val="36"/>
          <w:u w:val="single"/>
        </w:rPr>
      </w:pPr>
    </w:p>
    <w:p>
      <w:pPr>
        <w:ind w:firstLine="2160" w:firstLineChars="600"/>
        <w:rPr>
          <w:rFonts w:ascii="黑体" w:eastAsia="黑体"/>
          <w:sz w:val="36"/>
          <w:szCs w:val="36"/>
          <w:u w:val="single"/>
        </w:rPr>
      </w:pPr>
    </w:p>
    <w:p>
      <w:pPr>
        <w:rPr>
          <w:rFonts w:ascii="黑体" w:eastAsia="黑体"/>
          <w:sz w:val="36"/>
          <w:szCs w:val="44"/>
        </w:rPr>
      </w:pPr>
      <w:bookmarkStart w:id="1930" w:name="_Toc282779456"/>
      <w:bookmarkStart w:id="1931" w:name="_Toc31786"/>
      <w:bookmarkStart w:id="1932" w:name="_Toc283794144"/>
      <w:bookmarkStart w:id="1933" w:name="_Toc288546596"/>
      <w:bookmarkStart w:id="1934" w:name="_Toc28832"/>
      <w:bookmarkStart w:id="1935" w:name="_Toc8592"/>
      <w:bookmarkStart w:id="1936" w:name="_Toc288491472"/>
      <w:bookmarkStart w:id="1937" w:name="_Toc25476"/>
      <w:bookmarkStart w:id="1938" w:name="_Toc3659"/>
      <w:bookmarkStart w:id="1939" w:name="_Toc25375"/>
      <w:bookmarkStart w:id="1940" w:name="_Toc7071"/>
      <w:bookmarkStart w:id="1941" w:name="_Toc282778947"/>
      <w:bookmarkStart w:id="1942" w:name="_Toc287853296"/>
      <w:bookmarkStart w:id="1943" w:name="_Toc282787387"/>
      <w:bookmarkStart w:id="1944" w:name="_Toc288546598"/>
      <w:bookmarkStart w:id="1945" w:name="_Toc288491474"/>
      <w:bookmarkStart w:id="1946" w:name="_Toc282779458"/>
      <w:bookmarkStart w:id="1947" w:name="_Toc283794146"/>
      <w:bookmarkStart w:id="1948" w:name="_Toc282778949"/>
      <w:bookmarkStart w:id="1949" w:name="_Toc282787389"/>
      <w:bookmarkStart w:id="1950" w:name="_Toc287853298"/>
    </w:p>
    <w:p>
      <w:pPr>
        <w:rPr>
          <w:rFonts w:ascii="黑体" w:eastAsia="黑体"/>
          <w:b/>
          <w:bCs/>
          <w:sz w:val="44"/>
          <w:szCs w:val="44"/>
        </w:rPr>
      </w:pPr>
      <w:bookmarkStart w:id="1951" w:name="_Toc158"/>
      <w:bookmarkStart w:id="1952" w:name="_Toc15147"/>
      <w:bookmarkStart w:id="1953" w:name="_Toc12044"/>
      <w:bookmarkStart w:id="1954" w:name="_Toc22736"/>
      <w:bookmarkStart w:id="1955" w:name="_Toc25526"/>
      <w:bookmarkStart w:id="1956" w:name="_Toc12062"/>
      <w:bookmarkStart w:id="1957" w:name="_Toc26083"/>
      <w:bookmarkStart w:id="1958" w:name="_Toc1678"/>
      <w:bookmarkStart w:id="1959" w:name="_Toc20062"/>
      <w:bookmarkStart w:id="1960" w:name="_Toc13167"/>
      <w:r>
        <w:rPr>
          <w:rFonts w:hint="eastAsia" w:ascii="黑体" w:eastAsia="黑体"/>
          <w:b/>
          <w:bCs/>
          <w:sz w:val="44"/>
          <w:szCs w:val="44"/>
        </w:rPr>
        <w:br w:type="page"/>
      </w:r>
    </w:p>
    <w:p>
      <w:pPr>
        <w:jc w:val="center"/>
        <w:outlineLvl w:val="1"/>
        <w:rPr>
          <w:rFonts w:ascii="黑体" w:eastAsia="黑体"/>
          <w:b/>
          <w:bCs/>
          <w:sz w:val="44"/>
          <w:szCs w:val="44"/>
        </w:rPr>
      </w:pPr>
      <w:r>
        <w:rPr>
          <w:rFonts w:hint="eastAsia" w:ascii="黑体" w:eastAsia="黑体"/>
          <w:b/>
          <w:bCs/>
          <w:sz w:val="44"/>
          <w:szCs w:val="44"/>
        </w:rPr>
        <w:t>第三章  评标办法（综合评估法）</w:t>
      </w:r>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51"/>
      <w:bookmarkEnd w:id="1952"/>
      <w:bookmarkEnd w:id="1953"/>
      <w:bookmarkEnd w:id="1954"/>
      <w:bookmarkEnd w:id="1955"/>
      <w:bookmarkEnd w:id="1956"/>
      <w:bookmarkEnd w:id="1957"/>
      <w:bookmarkEnd w:id="1958"/>
      <w:bookmarkEnd w:id="1959"/>
      <w:bookmarkEnd w:id="1960"/>
    </w:p>
    <w:p>
      <w:pPr>
        <w:pStyle w:val="5"/>
        <w:spacing w:before="0" w:after="0" w:line="240" w:lineRule="auto"/>
        <w:rPr>
          <w:b w:val="0"/>
          <w:sz w:val="28"/>
          <w:szCs w:val="28"/>
        </w:rPr>
      </w:pPr>
      <w:bookmarkStart w:id="1961" w:name="_Toc19413"/>
      <w:bookmarkStart w:id="1962" w:name="_Toc4261"/>
      <w:bookmarkStart w:id="1963" w:name="_Toc287853297"/>
      <w:bookmarkStart w:id="1964" w:name="_Toc28157"/>
      <w:bookmarkStart w:id="1965" w:name="_Toc25683"/>
      <w:bookmarkStart w:id="1966" w:name="_Toc5926"/>
      <w:bookmarkStart w:id="1967" w:name="_Toc17348"/>
      <w:bookmarkStart w:id="1968" w:name="_Toc282779457"/>
      <w:bookmarkStart w:id="1969" w:name="_Toc17292"/>
      <w:bookmarkStart w:id="1970" w:name="_Toc288546597"/>
      <w:bookmarkStart w:id="1971" w:name="_Toc283794145"/>
      <w:bookmarkStart w:id="1972" w:name="_Toc28452"/>
      <w:bookmarkStart w:id="1973" w:name="_Toc23607"/>
      <w:bookmarkStart w:id="1974" w:name="_Toc25309"/>
      <w:bookmarkStart w:id="1975" w:name="_Toc23480"/>
      <w:bookmarkStart w:id="1976" w:name="_Toc12669"/>
      <w:bookmarkStart w:id="1977" w:name="_Toc282778948"/>
      <w:bookmarkStart w:id="1978" w:name="_Toc18259"/>
      <w:bookmarkStart w:id="1979" w:name="_Toc25606"/>
      <w:bookmarkStart w:id="1980" w:name="_Toc4532"/>
      <w:bookmarkStart w:id="1981" w:name="_Toc9520"/>
      <w:bookmarkStart w:id="1982" w:name="_Toc19003"/>
      <w:bookmarkStart w:id="1983" w:name="_Toc15461"/>
      <w:bookmarkStart w:id="1984" w:name="_Toc282787388"/>
      <w:bookmarkStart w:id="1985" w:name="_Toc26800"/>
      <w:bookmarkStart w:id="1986" w:name="_Toc19733"/>
      <w:bookmarkStart w:id="1987" w:name="_Toc288491473"/>
      <w:r>
        <w:rPr>
          <w:rFonts w:hint="eastAsia"/>
          <w:b w:val="0"/>
          <w:sz w:val="28"/>
          <w:szCs w:val="28"/>
        </w:rPr>
        <w:t>评标办法前附表</w:t>
      </w:r>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p>
    <w:tbl>
      <w:tblPr>
        <w:tblStyle w:val="20"/>
        <w:tblW w:w="912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39"/>
        <w:gridCol w:w="1592"/>
        <w:gridCol w:w="1126"/>
        <w:gridCol w:w="2177"/>
        <w:gridCol w:w="1277"/>
        <w:gridCol w:w="200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8" w:hRule="atLeast"/>
          <w:jc w:val="center"/>
        </w:trPr>
        <w:tc>
          <w:tcPr>
            <w:tcW w:w="2531" w:type="dxa"/>
            <w:gridSpan w:val="2"/>
            <w:vAlign w:val="center"/>
          </w:tcPr>
          <w:p>
            <w:pPr>
              <w:spacing w:line="300" w:lineRule="exact"/>
              <w:jc w:val="center"/>
              <w:rPr>
                <w:rFonts w:ascii="黑体" w:eastAsia="黑体"/>
                <w:b/>
                <w:bCs/>
              </w:rPr>
            </w:pPr>
            <w:r>
              <w:rPr>
                <w:rFonts w:hint="eastAsia" w:ascii="黑体" w:eastAsia="黑体"/>
                <w:b/>
                <w:bCs/>
              </w:rPr>
              <w:t>条款号</w:t>
            </w:r>
          </w:p>
        </w:tc>
        <w:tc>
          <w:tcPr>
            <w:tcW w:w="6589" w:type="dxa"/>
            <w:gridSpan w:val="4"/>
            <w:vAlign w:val="center"/>
          </w:tcPr>
          <w:p>
            <w:pPr>
              <w:spacing w:line="300" w:lineRule="exact"/>
              <w:jc w:val="center"/>
              <w:rPr>
                <w:rFonts w:ascii="黑体" w:eastAsia="黑体"/>
                <w:b/>
                <w:bCs/>
              </w:rPr>
            </w:pPr>
            <w:r>
              <w:rPr>
                <w:rFonts w:hint="eastAsia" w:ascii="黑体" w:eastAsia="黑体"/>
                <w:b/>
                <w:bCs/>
              </w:rPr>
              <w:t>评审因素与评审标准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87" w:hRule="atLeast"/>
          <w:jc w:val="center"/>
        </w:trPr>
        <w:tc>
          <w:tcPr>
            <w:tcW w:w="939" w:type="dxa"/>
            <w:vAlign w:val="center"/>
          </w:tcPr>
          <w:p>
            <w:pPr>
              <w:jc w:val="center"/>
              <w:rPr>
                <w:rFonts w:ascii="仿宋" w:hAnsi="仿宋" w:eastAsia="仿宋" w:cs="仿宋"/>
              </w:rPr>
            </w:pPr>
            <w:r>
              <w:rPr>
                <w:rFonts w:hint="eastAsia" w:ascii="仿宋" w:hAnsi="仿宋" w:eastAsia="仿宋" w:cs="仿宋"/>
              </w:rPr>
              <w:t>2.1.1</w:t>
            </w:r>
          </w:p>
          <w:p>
            <w:pPr>
              <w:jc w:val="center"/>
              <w:rPr>
                <w:rFonts w:ascii="仿宋" w:hAnsi="仿宋" w:eastAsia="仿宋" w:cs="仿宋"/>
              </w:rPr>
            </w:pPr>
            <w:r>
              <w:rPr>
                <w:rFonts w:hint="eastAsia" w:ascii="仿宋" w:hAnsi="仿宋" w:eastAsia="仿宋" w:cs="仿宋"/>
              </w:rPr>
              <w:t>2.1.3</w:t>
            </w:r>
          </w:p>
        </w:tc>
        <w:tc>
          <w:tcPr>
            <w:tcW w:w="1592" w:type="dxa"/>
            <w:vAlign w:val="center"/>
          </w:tcPr>
          <w:p>
            <w:pPr>
              <w:jc w:val="center"/>
              <w:rPr>
                <w:rFonts w:ascii="仿宋" w:hAnsi="仿宋" w:eastAsia="仿宋" w:cs="仿宋"/>
              </w:rPr>
            </w:pPr>
            <w:r>
              <w:rPr>
                <w:rFonts w:hint="eastAsia" w:ascii="仿宋" w:hAnsi="仿宋" w:eastAsia="仿宋" w:cs="仿宋"/>
              </w:rPr>
              <w:t>形式评审与响应性评审标准</w:t>
            </w:r>
          </w:p>
        </w:tc>
        <w:tc>
          <w:tcPr>
            <w:tcW w:w="6589" w:type="dxa"/>
            <w:gridSpan w:val="4"/>
            <w:vAlign w:val="center"/>
          </w:tcPr>
          <w:p>
            <w:pPr>
              <w:spacing w:line="400" w:lineRule="exact"/>
              <w:rPr>
                <w:rFonts w:ascii="仿宋" w:hAnsi="仿宋" w:eastAsia="仿宋" w:cs="仿宋"/>
                <w:b/>
                <w:bCs/>
                <w:szCs w:val="21"/>
              </w:rPr>
            </w:pPr>
            <w:r>
              <w:rPr>
                <w:rFonts w:hint="eastAsia" w:ascii="仿宋" w:hAnsi="仿宋" w:eastAsia="仿宋" w:cs="仿宋"/>
                <w:b/>
                <w:bCs/>
                <w:szCs w:val="21"/>
              </w:rPr>
              <w:t>（1）投标文件按照招标文件规定的格式、内容填写，字迹清晰可辨。</w:t>
            </w:r>
          </w:p>
          <w:p>
            <w:pPr>
              <w:spacing w:line="400" w:lineRule="exact"/>
              <w:rPr>
                <w:rFonts w:ascii="仿宋" w:hAnsi="仿宋" w:eastAsia="仿宋" w:cs="仿宋"/>
                <w:szCs w:val="21"/>
              </w:rPr>
            </w:pPr>
            <w:r>
              <w:rPr>
                <w:rFonts w:hint="eastAsia" w:ascii="仿宋" w:hAnsi="仿宋" w:eastAsia="仿宋" w:cs="仿宋"/>
                <w:szCs w:val="21"/>
              </w:rPr>
              <w:t>a．投标函按招标文件规定填报了补遗书编号（如有）、工期、投标最终报价、拟委任的项目经理姓名及工程质量目标；</w:t>
            </w:r>
          </w:p>
          <w:p>
            <w:pPr>
              <w:spacing w:line="400" w:lineRule="exact"/>
              <w:rPr>
                <w:rFonts w:ascii="仿宋" w:hAnsi="仿宋" w:eastAsia="仿宋" w:cs="仿宋"/>
                <w:szCs w:val="21"/>
              </w:rPr>
            </w:pPr>
            <w:r>
              <w:rPr>
                <w:rFonts w:hint="eastAsia" w:ascii="仿宋" w:hAnsi="仿宋" w:eastAsia="仿宋" w:cs="仿宋"/>
                <w:szCs w:val="21"/>
              </w:rPr>
              <w:t>b．投标函附录的所有数据均符合招标文件规定；</w:t>
            </w:r>
          </w:p>
          <w:p>
            <w:pPr>
              <w:spacing w:line="400" w:lineRule="exact"/>
              <w:rPr>
                <w:rFonts w:ascii="仿宋" w:hAnsi="仿宋" w:eastAsia="仿宋" w:cs="仿宋"/>
                <w:szCs w:val="21"/>
              </w:rPr>
            </w:pPr>
            <w:r>
              <w:rPr>
                <w:rFonts w:hint="eastAsia" w:ascii="仿宋" w:hAnsi="仿宋" w:eastAsia="仿宋" w:cs="仿宋"/>
                <w:szCs w:val="21"/>
              </w:rPr>
              <w:t>c．已标价工程量清单说明及承诺函文字与招标文件规定一致，未进行修改和删改；</w:t>
            </w:r>
          </w:p>
          <w:p>
            <w:pPr>
              <w:spacing w:line="400" w:lineRule="exact"/>
              <w:rPr>
                <w:rFonts w:ascii="仿宋" w:hAnsi="仿宋" w:eastAsia="仿宋" w:cs="仿宋"/>
                <w:szCs w:val="21"/>
              </w:rPr>
            </w:pPr>
            <w:r>
              <w:rPr>
                <w:rFonts w:hint="eastAsia" w:ascii="仿宋" w:hAnsi="仿宋" w:eastAsia="仿宋" w:cs="仿宋"/>
                <w:szCs w:val="21"/>
              </w:rPr>
              <w:t>d．按照招标文件规定的格式、内容编制了养护工程作业方案和项目管理机构相关图表；</w:t>
            </w:r>
          </w:p>
          <w:p>
            <w:pPr>
              <w:spacing w:line="400" w:lineRule="exact"/>
              <w:rPr>
                <w:rFonts w:ascii="仿宋" w:hAnsi="仿宋" w:eastAsia="仿宋" w:cs="仿宋"/>
                <w:szCs w:val="21"/>
              </w:rPr>
            </w:pPr>
            <w:r>
              <w:rPr>
                <w:rFonts w:hint="eastAsia" w:ascii="仿宋" w:hAnsi="仿宋" w:eastAsia="仿宋" w:cs="仿宋"/>
                <w:szCs w:val="21"/>
              </w:rPr>
              <w:t>e．投标文件组成齐全完整，内容均按规定填写。</w:t>
            </w:r>
          </w:p>
          <w:p>
            <w:pPr>
              <w:spacing w:line="400" w:lineRule="exact"/>
              <w:rPr>
                <w:rFonts w:ascii="仿宋" w:hAnsi="仿宋" w:eastAsia="仿宋" w:cs="仿宋"/>
                <w:b/>
                <w:bCs/>
                <w:szCs w:val="21"/>
              </w:rPr>
            </w:pPr>
            <w:r>
              <w:rPr>
                <w:rFonts w:hint="eastAsia" w:ascii="仿宋" w:hAnsi="仿宋" w:eastAsia="仿宋" w:cs="仿宋"/>
                <w:b/>
                <w:bCs/>
                <w:szCs w:val="21"/>
              </w:rPr>
              <w:t>（2）投标文件上投标人的法定代表人电子章、单位电子章盖章齐全，符合招标文件规定：</w:t>
            </w:r>
          </w:p>
          <w:p>
            <w:pPr>
              <w:spacing w:line="400" w:lineRule="exact"/>
              <w:ind w:firstLine="211" w:firstLineChars="100"/>
              <w:jc w:val="left"/>
              <w:rPr>
                <w:rFonts w:ascii="仿宋" w:hAnsi="仿宋" w:eastAsia="仿宋" w:cs="仿宋"/>
                <w:szCs w:val="21"/>
              </w:rPr>
            </w:pPr>
            <w:r>
              <w:rPr>
                <w:rFonts w:hint="eastAsia" w:ascii="仿宋" w:hAnsi="仿宋" w:eastAsia="仿宋" w:cs="仿宋"/>
                <w:b/>
                <w:bCs/>
                <w:szCs w:val="21"/>
              </w:rPr>
              <w:t>投标函及投标函附录、承诺函、资格审查资料、已标价工程量清单（包括工程量清单说明、投标报价说明、其它说明及工程量清单</w:t>
            </w:r>
            <w:r>
              <w:rPr>
                <w:rFonts w:hint="eastAsia" w:ascii="仿宋" w:hAnsi="仿宋" w:eastAsia="仿宋" w:cs="仿宋"/>
                <w:b/>
              </w:rPr>
              <w:t>各项表格</w:t>
            </w:r>
            <w:r>
              <w:rPr>
                <w:rFonts w:hint="eastAsia" w:ascii="仿宋" w:hAnsi="仿宋" w:eastAsia="仿宋" w:cs="仿宋"/>
                <w:szCs w:val="21"/>
              </w:rPr>
              <w:t>&lt;表4.1、表4.2、表4.3&gt;</w:t>
            </w:r>
            <w:r>
              <w:rPr>
                <w:rFonts w:hint="eastAsia" w:ascii="仿宋" w:hAnsi="仿宋" w:eastAsia="仿宋" w:cs="仿宋"/>
                <w:b/>
                <w:bCs/>
                <w:szCs w:val="21"/>
              </w:rPr>
              <w:t>）</w:t>
            </w:r>
            <w:r>
              <w:rPr>
                <w:rFonts w:hint="eastAsia" w:ascii="仿宋" w:hAnsi="仿宋" w:eastAsia="仿宋" w:cs="仿宋"/>
                <w:szCs w:val="21"/>
              </w:rPr>
              <w:t>的内容，应由投标人</w:t>
            </w:r>
            <w:r>
              <w:rPr>
                <w:rFonts w:hint="eastAsia" w:ascii="仿宋" w:hAnsi="仿宋" w:eastAsia="仿宋" w:cs="仿宋"/>
                <w:b/>
                <w:bCs/>
                <w:szCs w:val="21"/>
              </w:rPr>
              <w:t>逐页</w:t>
            </w:r>
            <w:r>
              <w:rPr>
                <w:rFonts w:hint="eastAsia" w:ascii="仿宋" w:hAnsi="仿宋" w:eastAsia="仿宋" w:cs="仿宋"/>
                <w:szCs w:val="21"/>
              </w:rPr>
              <w:t>加盖法定代表人电子章并</w:t>
            </w:r>
            <w:r>
              <w:rPr>
                <w:rFonts w:hint="eastAsia" w:ascii="仿宋" w:hAnsi="仿宋" w:eastAsia="仿宋" w:cs="仿宋"/>
                <w:b/>
                <w:bCs/>
                <w:szCs w:val="21"/>
              </w:rPr>
              <w:t>逐页</w:t>
            </w:r>
            <w:r>
              <w:rPr>
                <w:rFonts w:hint="eastAsia" w:ascii="仿宋" w:hAnsi="仿宋" w:eastAsia="仿宋" w:cs="仿宋"/>
                <w:szCs w:val="21"/>
              </w:rPr>
              <w:t>加盖投标人单位电子公章。</w:t>
            </w:r>
          </w:p>
          <w:p>
            <w:pPr>
              <w:spacing w:line="400" w:lineRule="exact"/>
              <w:rPr>
                <w:rFonts w:ascii="仿宋" w:hAnsi="仿宋" w:eastAsia="仿宋" w:cs="仿宋"/>
                <w:b/>
                <w:bCs/>
                <w:szCs w:val="21"/>
              </w:rPr>
            </w:pPr>
            <w:r>
              <w:rPr>
                <w:rFonts w:hint="eastAsia" w:ascii="仿宋" w:hAnsi="仿宋" w:eastAsia="仿宋" w:cs="仿宋"/>
                <w:b/>
                <w:bCs/>
                <w:szCs w:val="21"/>
              </w:rPr>
              <w:t>（3）投标人法定代表人的授权代理人，需提交符有法定代表人身份证明的授权委托书，并符合招标文件要求；</w:t>
            </w:r>
          </w:p>
          <w:p>
            <w:pPr>
              <w:spacing w:line="400" w:lineRule="exact"/>
              <w:rPr>
                <w:rFonts w:ascii="仿宋" w:hAnsi="仿宋" w:eastAsia="仿宋" w:cs="仿宋"/>
                <w:b/>
                <w:bCs/>
                <w:szCs w:val="21"/>
              </w:rPr>
            </w:pPr>
            <w:r>
              <w:rPr>
                <w:rFonts w:hint="eastAsia" w:ascii="仿宋" w:hAnsi="仿宋" w:eastAsia="仿宋" w:cs="仿宋"/>
                <w:b/>
                <w:bCs/>
                <w:szCs w:val="21"/>
              </w:rPr>
              <w:t>（4）投标人法定代表人若亲自签署投标文件的，提供了法定代表人身份证明，并符合招标文件要求；</w:t>
            </w:r>
          </w:p>
          <w:p>
            <w:pPr>
              <w:spacing w:line="400" w:lineRule="exact"/>
              <w:rPr>
                <w:rFonts w:ascii="仿宋" w:hAnsi="仿宋" w:eastAsia="仿宋" w:cs="仿宋"/>
                <w:b/>
                <w:bCs/>
                <w:szCs w:val="21"/>
              </w:rPr>
            </w:pPr>
            <w:r>
              <w:rPr>
                <w:rFonts w:hint="eastAsia" w:ascii="仿宋" w:hAnsi="仿宋" w:eastAsia="仿宋" w:cs="仿宋"/>
                <w:b/>
                <w:bCs/>
                <w:szCs w:val="21"/>
              </w:rPr>
              <w:t>（5）投标人是独家投标；</w:t>
            </w:r>
          </w:p>
          <w:p>
            <w:pPr>
              <w:spacing w:line="400" w:lineRule="exact"/>
              <w:rPr>
                <w:rFonts w:ascii="仿宋" w:hAnsi="仿宋" w:eastAsia="仿宋" w:cs="仿宋"/>
                <w:szCs w:val="21"/>
              </w:rPr>
            </w:pPr>
            <w:r>
              <w:rPr>
                <w:rFonts w:hint="eastAsia" w:ascii="仿宋" w:hAnsi="仿宋" w:eastAsia="仿宋" w:cs="仿宋"/>
                <w:szCs w:val="21"/>
              </w:rPr>
              <w:t>（6）投标人如有分包计划，应按第八章“投标文件格式”的要求填写“拟分包项目情况表”，且分包内容符合规定。</w:t>
            </w:r>
          </w:p>
          <w:p>
            <w:pPr>
              <w:spacing w:line="400" w:lineRule="exact"/>
              <w:rPr>
                <w:rFonts w:ascii="仿宋" w:hAnsi="仿宋" w:eastAsia="仿宋" w:cs="仿宋"/>
                <w:szCs w:val="21"/>
              </w:rPr>
            </w:pPr>
            <w:r>
              <w:rPr>
                <w:rFonts w:hint="eastAsia" w:ascii="仿宋" w:hAnsi="仿宋" w:eastAsia="仿宋" w:cs="仿宋"/>
                <w:szCs w:val="21"/>
              </w:rPr>
              <w:t>（7）一份投标文件应只有一个投标报价，在招标文件没有规定的情况下，未提交选择性报价。</w:t>
            </w:r>
          </w:p>
          <w:p>
            <w:pPr>
              <w:pStyle w:val="2"/>
              <w:spacing w:line="400" w:lineRule="exact"/>
              <w:ind w:firstLine="0" w:firstLineChars="0"/>
              <w:rPr>
                <w:rFonts w:eastAsia="仿宋"/>
              </w:rPr>
            </w:pPr>
            <w:r>
              <w:rPr>
                <w:rFonts w:hint="eastAsia" w:ascii="仿宋" w:hAnsi="仿宋" w:eastAsia="仿宋" w:cs="仿宋"/>
                <w:sz w:val="21"/>
                <w:szCs w:val="21"/>
              </w:rPr>
              <w:t>（8）电子投标的开标报价与投标函的投标报价一致。</w:t>
            </w:r>
          </w:p>
          <w:p>
            <w:pPr>
              <w:spacing w:line="400" w:lineRule="exact"/>
              <w:ind w:right="105" w:rightChars="50"/>
              <w:rPr>
                <w:rFonts w:ascii="仿宋" w:hAnsi="仿宋" w:eastAsia="仿宋" w:cs="仿宋"/>
                <w:szCs w:val="21"/>
              </w:rPr>
            </w:pPr>
            <w:r>
              <w:rPr>
                <w:rFonts w:hint="eastAsia" w:ascii="仿宋" w:hAnsi="仿宋" w:eastAsia="仿宋" w:cs="仿宋"/>
                <w:szCs w:val="21"/>
              </w:rPr>
              <w:t>（9）</w:t>
            </w:r>
            <w:r>
              <w:rPr>
                <w:rFonts w:hint="eastAsia" w:ascii="仿宋" w:hAnsi="仿宋" w:eastAsia="仿宋" w:cs="仿宋"/>
                <w:b/>
                <w:bCs/>
                <w:szCs w:val="21"/>
              </w:rPr>
              <w:t>投标人的投标总报价及各线路的投标报价均未高于招标人公布的预算价乘以抽取的调整系数计算后的投标控制价。</w:t>
            </w:r>
          </w:p>
          <w:p>
            <w:pPr>
              <w:spacing w:line="400" w:lineRule="exact"/>
              <w:rPr>
                <w:rFonts w:ascii="仿宋" w:hAnsi="仿宋" w:eastAsia="仿宋" w:cs="仿宋"/>
                <w:szCs w:val="21"/>
              </w:rPr>
            </w:pPr>
            <w:r>
              <w:rPr>
                <w:rFonts w:hint="eastAsia" w:ascii="仿宋" w:hAnsi="仿宋" w:eastAsia="仿宋" w:cs="仿宋"/>
                <w:szCs w:val="21"/>
              </w:rPr>
              <w:t>（10）投标文件载明的招标项目完成期限未超过招标文件规定的时限。</w:t>
            </w:r>
          </w:p>
          <w:p>
            <w:pPr>
              <w:spacing w:line="400" w:lineRule="exact"/>
              <w:rPr>
                <w:rFonts w:ascii="仿宋" w:hAnsi="仿宋" w:eastAsia="仿宋" w:cs="仿宋"/>
                <w:szCs w:val="21"/>
              </w:rPr>
            </w:pPr>
            <w:r>
              <w:rPr>
                <w:rFonts w:hint="eastAsia" w:ascii="仿宋" w:hAnsi="仿宋" w:eastAsia="仿宋" w:cs="仿宋"/>
                <w:szCs w:val="21"/>
              </w:rPr>
              <w:t>（11）投标文件未附有招标人不能接受的条件。</w:t>
            </w:r>
          </w:p>
          <w:p>
            <w:pPr>
              <w:spacing w:line="400" w:lineRule="exact"/>
              <w:rPr>
                <w:rFonts w:ascii="仿宋" w:hAnsi="仿宋" w:eastAsia="仿宋" w:cs="仿宋"/>
                <w:szCs w:val="21"/>
              </w:rPr>
            </w:pPr>
            <w:r>
              <w:rPr>
                <w:rFonts w:hint="eastAsia" w:ascii="仿宋" w:hAnsi="仿宋" w:eastAsia="仿宋" w:cs="仿宋"/>
                <w:szCs w:val="21"/>
              </w:rPr>
              <w:t>（12）权利义务符合招标文件规定：</w:t>
            </w:r>
          </w:p>
          <w:p>
            <w:pPr>
              <w:spacing w:line="400" w:lineRule="exact"/>
              <w:rPr>
                <w:rFonts w:ascii="仿宋" w:hAnsi="仿宋" w:eastAsia="仿宋" w:cs="仿宋"/>
                <w:szCs w:val="21"/>
              </w:rPr>
            </w:pPr>
            <w:r>
              <w:rPr>
                <w:rFonts w:hint="eastAsia" w:ascii="仿宋" w:hAnsi="仿宋" w:eastAsia="仿宋" w:cs="仿宋"/>
                <w:szCs w:val="21"/>
              </w:rPr>
              <w:t>a．投标人应接受招标文件规定的风险划分原则，未提出新的风险划分办法；</w:t>
            </w:r>
          </w:p>
          <w:p>
            <w:pPr>
              <w:spacing w:line="400" w:lineRule="exact"/>
              <w:rPr>
                <w:rFonts w:ascii="仿宋" w:hAnsi="仿宋" w:eastAsia="仿宋" w:cs="仿宋"/>
                <w:szCs w:val="21"/>
              </w:rPr>
            </w:pPr>
            <w:r>
              <w:rPr>
                <w:rFonts w:hint="eastAsia" w:ascii="仿宋" w:hAnsi="仿宋" w:eastAsia="仿宋" w:cs="仿宋"/>
                <w:szCs w:val="21"/>
              </w:rPr>
              <w:t>b．投标人未增加发包人的责任范围，或减少投标人义务；</w:t>
            </w:r>
          </w:p>
          <w:p>
            <w:pPr>
              <w:spacing w:line="400" w:lineRule="exact"/>
              <w:rPr>
                <w:rFonts w:ascii="仿宋" w:hAnsi="仿宋" w:eastAsia="仿宋" w:cs="仿宋"/>
                <w:szCs w:val="21"/>
              </w:rPr>
            </w:pPr>
            <w:r>
              <w:rPr>
                <w:rFonts w:hint="eastAsia" w:ascii="仿宋" w:hAnsi="仿宋" w:eastAsia="仿宋" w:cs="仿宋"/>
                <w:szCs w:val="21"/>
              </w:rPr>
              <w:t>c．投标人未提出不同的工程验收、计量、支付办法；</w:t>
            </w:r>
          </w:p>
          <w:p>
            <w:pPr>
              <w:spacing w:line="400" w:lineRule="exact"/>
              <w:rPr>
                <w:rFonts w:ascii="仿宋" w:hAnsi="仿宋" w:eastAsia="仿宋" w:cs="仿宋"/>
                <w:szCs w:val="21"/>
              </w:rPr>
            </w:pPr>
            <w:r>
              <w:rPr>
                <w:rFonts w:hint="eastAsia" w:ascii="仿宋" w:hAnsi="仿宋" w:eastAsia="仿宋" w:cs="仿宋"/>
                <w:szCs w:val="21"/>
              </w:rPr>
              <w:t>d．投标人对合同纠纷、事故处理办法未提出异议；</w:t>
            </w:r>
          </w:p>
          <w:p>
            <w:pPr>
              <w:spacing w:line="400" w:lineRule="exact"/>
              <w:rPr>
                <w:rFonts w:ascii="仿宋" w:hAnsi="仿宋" w:eastAsia="仿宋" w:cs="仿宋"/>
                <w:szCs w:val="21"/>
              </w:rPr>
            </w:pPr>
            <w:r>
              <w:rPr>
                <w:rFonts w:hint="eastAsia" w:ascii="仿宋" w:hAnsi="仿宋" w:eastAsia="仿宋" w:cs="仿宋"/>
                <w:szCs w:val="21"/>
              </w:rPr>
              <w:t>e．投标人在投标活动中无欺诈行为；</w:t>
            </w:r>
          </w:p>
          <w:p>
            <w:pPr>
              <w:spacing w:line="400" w:lineRule="exact"/>
              <w:rPr>
                <w:rFonts w:ascii="仿宋" w:hAnsi="仿宋" w:eastAsia="仿宋" w:cs="仿宋"/>
                <w:b/>
                <w:bCs/>
                <w:szCs w:val="21"/>
              </w:rPr>
            </w:pPr>
            <w:r>
              <w:rPr>
                <w:rFonts w:hint="eastAsia" w:ascii="仿宋" w:hAnsi="仿宋" w:eastAsia="仿宋" w:cs="仿宋"/>
                <w:szCs w:val="21"/>
              </w:rPr>
              <w:t>f．投标人未对合同条款有重要保留。</w:t>
            </w:r>
          </w:p>
          <w:p>
            <w:pPr>
              <w:spacing w:line="400" w:lineRule="exact"/>
              <w:rPr>
                <w:rFonts w:ascii="仿宋" w:hAnsi="仿宋" w:eastAsia="仿宋" w:cs="仿宋"/>
                <w:b/>
                <w:bCs/>
                <w:szCs w:val="21"/>
              </w:rPr>
            </w:pPr>
            <w:r>
              <w:rPr>
                <w:rFonts w:hint="eastAsia" w:ascii="仿宋" w:hAnsi="仿宋" w:eastAsia="仿宋" w:cs="仿宋"/>
                <w:b/>
                <w:bCs/>
                <w:szCs w:val="21"/>
              </w:rPr>
              <w:t>经三分之二以上（含）评标委员认定，投标文件有不符合以上条件之一的，该投标文件作否决投标处理。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363" w:hRule="atLeast"/>
          <w:jc w:val="center"/>
        </w:trPr>
        <w:tc>
          <w:tcPr>
            <w:tcW w:w="939" w:type="dxa"/>
            <w:vAlign w:val="center"/>
          </w:tcPr>
          <w:p>
            <w:pPr>
              <w:jc w:val="center"/>
              <w:rPr>
                <w:rFonts w:ascii="仿宋" w:hAnsi="仿宋" w:eastAsia="仿宋" w:cs="仿宋"/>
              </w:rPr>
            </w:pPr>
            <w:r>
              <w:rPr>
                <w:rFonts w:hint="eastAsia" w:ascii="仿宋" w:hAnsi="仿宋" w:eastAsia="仿宋" w:cs="仿宋"/>
              </w:rPr>
              <w:t>2.1.2</w:t>
            </w:r>
          </w:p>
          <w:p>
            <w:pPr>
              <w:jc w:val="center"/>
              <w:rPr>
                <w:rFonts w:ascii="仿宋" w:hAnsi="仿宋" w:eastAsia="仿宋" w:cs="仿宋"/>
              </w:rPr>
            </w:pPr>
          </w:p>
        </w:tc>
        <w:tc>
          <w:tcPr>
            <w:tcW w:w="1592" w:type="dxa"/>
            <w:vAlign w:val="center"/>
          </w:tcPr>
          <w:p>
            <w:pPr>
              <w:spacing w:line="300" w:lineRule="exact"/>
              <w:ind w:firstLine="210" w:firstLineChars="100"/>
              <w:jc w:val="center"/>
              <w:rPr>
                <w:rFonts w:ascii="仿宋" w:hAnsi="仿宋" w:eastAsia="仿宋" w:cs="仿宋"/>
              </w:rPr>
            </w:pPr>
            <w:r>
              <w:rPr>
                <w:rFonts w:hint="eastAsia" w:ascii="仿宋" w:hAnsi="仿宋" w:eastAsia="仿宋" w:cs="仿宋"/>
              </w:rPr>
              <w:t>资</w:t>
            </w:r>
          </w:p>
          <w:p>
            <w:pPr>
              <w:spacing w:line="300" w:lineRule="exact"/>
              <w:ind w:firstLine="210" w:firstLineChars="100"/>
              <w:jc w:val="center"/>
              <w:rPr>
                <w:rFonts w:ascii="仿宋" w:hAnsi="仿宋" w:eastAsia="仿宋" w:cs="仿宋"/>
              </w:rPr>
            </w:pPr>
            <w:r>
              <w:rPr>
                <w:rFonts w:hint="eastAsia" w:ascii="仿宋" w:hAnsi="仿宋" w:eastAsia="仿宋" w:cs="仿宋"/>
              </w:rPr>
              <w:t>格</w:t>
            </w:r>
          </w:p>
          <w:p>
            <w:pPr>
              <w:spacing w:line="300" w:lineRule="exact"/>
              <w:ind w:firstLine="210" w:firstLineChars="100"/>
              <w:jc w:val="center"/>
              <w:rPr>
                <w:rFonts w:ascii="仿宋" w:hAnsi="仿宋" w:eastAsia="仿宋" w:cs="仿宋"/>
              </w:rPr>
            </w:pPr>
            <w:r>
              <w:rPr>
                <w:rFonts w:hint="eastAsia" w:ascii="仿宋" w:hAnsi="仿宋" w:eastAsia="仿宋" w:cs="仿宋"/>
              </w:rPr>
              <w:t>评</w:t>
            </w:r>
          </w:p>
          <w:p>
            <w:pPr>
              <w:spacing w:line="300" w:lineRule="exact"/>
              <w:ind w:firstLine="210" w:firstLineChars="100"/>
              <w:jc w:val="center"/>
              <w:rPr>
                <w:rFonts w:eastAsia="仿宋"/>
              </w:rPr>
            </w:pPr>
            <w:r>
              <w:rPr>
                <w:rFonts w:hint="eastAsia" w:ascii="仿宋" w:hAnsi="仿宋" w:eastAsia="仿宋" w:cs="仿宋"/>
              </w:rPr>
              <w:t>审</w:t>
            </w:r>
          </w:p>
          <w:p>
            <w:pPr>
              <w:spacing w:line="300" w:lineRule="exact"/>
              <w:ind w:firstLine="210" w:firstLineChars="100"/>
              <w:jc w:val="center"/>
              <w:rPr>
                <w:rFonts w:ascii="仿宋" w:hAnsi="仿宋" w:eastAsia="仿宋" w:cs="仿宋"/>
              </w:rPr>
            </w:pPr>
            <w:r>
              <w:rPr>
                <w:rFonts w:hint="eastAsia" w:ascii="仿宋" w:hAnsi="仿宋" w:eastAsia="仿宋" w:cs="仿宋"/>
              </w:rPr>
              <w:t>标</w:t>
            </w:r>
          </w:p>
          <w:p>
            <w:pPr>
              <w:spacing w:line="300" w:lineRule="exact"/>
              <w:ind w:firstLine="210" w:firstLineChars="100"/>
              <w:jc w:val="center"/>
              <w:rPr>
                <w:rFonts w:ascii="仿宋" w:hAnsi="仿宋" w:eastAsia="仿宋" w:cs="仿宋"/>
              </w:rPr>
            </w:pPr>
            <w:r>
              <w:rPr>
                <w:rFonts w:hint="eastAsia" w:ascii="仿宋" w:hAnsi="仿宋" w:eastAsia="仿宋" w:cs="仿宋"/>
              </w:rPr>
              <w:t>准</w:t>
            </w:r>
          </w:p>
          <w:p>
            <w:pPr>
              <w:spacing w:line="300" w:lineRule="exact"/>
              <w:ind w:firstLine="210" w:firstLineChars="100"/>
              <w:jc w:val="center"/>
              <w:rPr>
                <w:rFonts w:ascii="仿宋" w:hAnsi="仿宋" w:eastAsia="仿宋" w:cs="仿宋"/>
              </w:rPr>
            </w:pPr>
          </w:p>
        </w:tc>
        <w:tc>
          <w:tcPr>
            <w:tcW w:w="6589" w:type="dxa"/>
            <w:gridSpan w:val="4"/>
            <w:vAlign w:val="center"/>
          </w:tcPr>
          <w:p>
            <w:pPr>
              <w:spacing w:line="300" w:lineRule="auto"/>
              <w:ind w:right="105" w:rightChars="50"/>
              <w:rPr>
                <w:rFonts w:ascii="仿宋" w:hAnsi="仿宋" w:eastAsia="仿宋" w:cs="仿宋"/>
                <w:b/>
                <w:bCs/>
              </w:rPr>
            </w:pPr>
            <w:r>
              <w:rPr>
                <w:rFonts w:hint="eastAsia" w:ascii="仿宋" w:hAnsi="仿宋" w:eastAsia="仿宋" w:cs="仿宋"/>
                <w:b/>
                <w:bCs/>
              </w:rPr>
              <w:t>（1）投标人具备有效的营业执照和基本账户开户许可证</w:t>
            </w:r>
            <w:r>
              <w:rPr>
                <w:rFonts w:hint="eastAsia" w:ascii="仿宋" w:hAnsi="仿宋" w:eastAsia="仿宋" w:cs="仿宋"/>
                <w:b/>
                <w:bCs/>
                <w:szCs w:val="21"/>
              </w:rPr>
              <w:t>的彩色扫描件</w:t>
            </w:r>
            <w:r>
              <w:rPr>
                <w:rFonts w:hint="eastAsia" w:ascii="仿宋" w:hAnsi="仿宋" w:eastAsia="仿宋" w:cs="仿宋"/>
                <w:b/>
                <w:bCs/>
              </w:rPr>
              <w:t>；</w:t>
            </w:r>
            <w:r>
              <w:rPr>
                <w:rFonts w:hint="eastAsia" w:ascii="仿宋" w:hAnsi="仿宋" w:eastAsia="仿宋" w:cs="仿宋"/>
                <w:szCs w:val="21"/>
              </w:rPr>
              <w:t>（已试点取消企业基本账户开户许可证核发的地区也可提供基本存款账户信息）</w:t>
            </w:r>
          </w:p>
          <w:p>
            <w:pPr>
              <w:spacing w:line="300" w:lineRule="auto"/>
              <w:ind w:right="105" w:rightChars="50"/>
              <w:rPr>
                <w:rFonts w:ascii="仿宋" w:hAnsi="仿宋" w:eastAsia="仿宋" w:cs="仿宋"/>
                <w:b/>
                <w:bCs/>
              </w:rPr>
            </w:pPr>
            <w:r>
              <w:rPr>
                <w:rFonts w:hint="eastAsia" w:ascii="仿宋" w:hAnsi="仿宋" w:eastAsia="仿宋" w:cs="仿宋"/>
                <w:b/>
                <w:bCs/>
              </w:rPr>
              <w:t>（2）投标人的资质等级符合招标文件规定（见附录1）；</w:t>
            </w:r>
          </w:p>
          <w:p>
            <w:pPr>
              <w:spacing w:line="300" w:lineRule="auto"/>
              <w:ind w:right="105" w:rightChars="50"/>
              <w:rPr>
                <w:rFonts w:ascii="仿宋" w:hAnsi="仿宋" w:eastAsia="仿宋" w:cs="仿宋"/>
                <w:b/>
                <w:bCs/>
              </w:rPr>
            </w:pPr>
            <w:r>
              <w:rPr>
                <w:rFonts w:hint="eastAsia" w:ascii="仿宋" w:hAnsi="仿宋" w:eastAsia="仿宋" w:cs="仿宋"/>
                <w:b/>
                <w:bCs/>
              </w:rPr>
              <w:t>（3）投标人的财务状况符合招标文件规定（见附录2）；</w:t>
            </w:r>
          </w:p>
          <w:p>
            <w:pPr>
              <w:spacing w:line="300" w:lineRule="auto"/>
              <w:ind w:right="105" w:rightChars="50"/>
              <w:rPr>
                <w:rFonts w:ascii="仿宋" w:hAnsi="仿宋" w:eastAsia="仿宋" w:cs="仿宋"/>
                <w:b/>
                <w:bCs/>
              </w:rPr>
            </w:pPr>
            <w:r>
              <w:rPr>
                <w:rFonts w:hint="eastAsia" w:ascii="仿宋" w:hAnsi="仿宋" w:eastAsia="仿宋" w:cs="仿宋"/>
                <w:b/>
                <w:bCs/>
              </w:rPr>
              <w:t>（4）投标人的业绩最低要求符合招标文件规定（见附录3）；</w:t>
            </w:r>
          </w:p>
          <w:p>
            <w:pPr>
              <w:spacing w:line="300" w:lineRule="auto"/>
              <w:ind w:right="105" w:rightChars="50" w:firstLine="210" w:firstLineChars="100"/>
              <w:rPr>
                <w:rFonts w:ascii="仿宋" w:hAnsi="仿宋" w:eastAsia="仿宋" w:cs="仿宋"/>
              </w:rPr>
            </w:pPr>
            <w:r>
              <w:rPr>
                <w:rFonts w:hint="eastAsia" w:ascii="仿宋" w:hAnsi="仿宋" w:eastAsia="仿宋" w:cs="仿宋"/>
              </w:rPr>
              <w:t>对业绩证明材料的要求，规定如下：</w:t>
            </w:r>
          </w:p>
          <w:p>
            <w:pPr>
              <w:spacing w:line="300" w:lineRule="auto"/>
              <w:ind w:right="105" w:rightChars="50"/>
              <w:rPr>
                <w:rFonts w:ascii="仿宋" w:hAnsi="仿宋" w:eastAsia="仿宋" w:cs="仿宋"/>
              </w:rPr>
            </w:pPr>
            <w:r>
              <w:rPr>
                <w:rFonts w:hint="eastAsia" w:ascii="仿宋" w:hAnsi="仿宋" w:eastAsia="仿宋" w:cs="仿宋"/>
              </w:rPr>
              <w:t>a．已完工程交（竣）工验收项目，必须同时附：</w:t>
            </w:r>
          </w:p>
          <w:p>
            <w:pPr>
              <w:spacing w:line="300" w:lineRule="auto"/>
              <w:ind w:right="105" w:rightChars="50"/>
              <w:rPr>
                <w:rFonts w:ascii="仿宋" w:hAnsi="仿宋" w:eastAsia="仿宋" w:cs="仿宋"/>
                <w:b/>
              </w:rPr>
            </w:pPr>
            <w:r>
              <w:rPr>
                <w:rFonts w:hint="eastAsia" w:ascii="仿宋" w:hAnsi="仿宋" w:eastAsia="仿宋" w:cs="仿宋"/>
                <w:b/>
              </w:rPr>
              <w:t>（a）质量证明文件（交通部门出具的质量鉴定报告或竣工验收报告）复印件；</w:t>
            </w:r>
          </w:p>
          <w:p>
            <w:pPr>
              <w:spacing w:line="300" w:lineRule="auto"/>
              <w:ind w:right="105" w:rightChars="50"/>
              <w:rPr>
                <w:rFonts w:ascii="仿宋" w:hAnsi="仿宋" w:eastAsia="仿宋" w:cs="仿宋"/>
                <w:b/>
              </w:rPr>
            </w:pPr>
            <w:r>
              <w:rPr>
                <w:rFonts w:hint="eastAsia" w:ascii="仿宋" w:hAnsi="仿宋" w:eastAsia="仿宋" w:cs="仿宋"/>
                <w:b/>
              </w:rPr>
              <w:t>（b）合同协议书（或中标通知书）复印件。</w:t>
            </w:r>
          </w:p>
          <w:p>
            <w:pPr>
              <w:spacing w:line="300" w:lineRule="auto"/>
              <w:ind w:right="105" w:rightChars="50"/>
              <w:rPr>
                <w:rFonts w:ascii="仿宋" w:hAnsi="仿宋" w:eastAsia="仿宋" w:cs="仿宋"/>
                <w:b/>
              </w:rPr>
            </w:pPr>
            <w:r>
              <w:rPr>
                <w:rFonts w:hint="eastAsia" w:ascii="仿宋" w:hAnsi="仿宋" w:eastAsia="仿宋" w:cs="仿宋"/>
                <w:b/>
                <w:bCs/>
              </w:rPr>
              <w:t>（c</w:t>
            </w:r>
            <w:r>
              <w:rPr>
                <w:rFonts w:hint="eastAsia" w:ascii="仿宋" w:hAnsi="仿宋" w:eastAsia="仿宋" w:cs="仿宋"/>
                <w:b/>
              </w:rPr>
              <w:t>）以上两者缺一不可，否则业绩不予认可。</w:t>
            </w:r>
          </w:p>
          <w:p>
            <w:pPr>
              <w:spacing w:line="300" w:lineRule="auto"/>
              <w:ind w:right="105" w:rightChars="50"/>
              <w:rPr>
                <w:rFonts w:ascii="仿宋" w:hAnsi="仿宋" w:eastAsia="仿宋" w:cs="仿宋"/>
              </w:rPr>
            </w:pPr>
            <w:r>
              <w:rPr>
                <w:rFonts w:hint="eastAsia" w:ascii="仿宋" w:hAnsi="仿宋" w:eastAsia="仿宋" w:cs="仿宋"/>
              </w:rPr>
              <w:t>b．合同协议书（或中标通知书）和质量证明文件的施工单位名称必须一致（施工单位名称发生合法变更的除外，但需提供合法变更的有效文件），否则业绩不予认可。</w:t>
            </w:r>
          </w:p>
          <w:p>
            <w:pPr>
              <w:spacing w:line="300" w:lineRule="auto"/>
              <w:ind w:right="105" w:rightChars="50"/>
              <w:rPr>
                <w:rFonts w:ascii="仿宋" w:hAnsi="仿宋" w:eastAsia="仿宋" w:cs="仿宋"/>
              </w:rPr>
            </w:pPr>
            <w:r>
              <w:rPr>
                <w:rFonts w:hint="eastAsia" w:ascii="仿宋" w:hAnsi="仿宋" w:eastAsia="仿宋" w:cs="仿宋"/>
              </w:rPr>
              <w:t>c．工程规模的解释顺序为：质量证明文件、合同协议书（或中标通知书）；如质量证明文件和合同协议书（或中标通知书）中都没有体现工程规模的，必须附发包人证明材料，否则业绩不予认可。</w:t>
            </w:r>
          </w:p>
          <w:p>
            <w:pPr>
              <w:spacing w:line="300" w:lineRule="auto"/>
              <w:ind w:right="105" w:rightChars="50"/>
              <w:rPr>
                <w:rFonts w:ascii="仿宋" w:hAnsi="仿宋" w:eastAsia="仿宋" w:cs="仿宋"/>
                <w:b/>
                <w:bCs/>
              </w:rPr>
            </w:pPr>
            <w:r>
              <w:rPr>
                <w:rFonts w:hint="eastAsia" w:ascii="仿宋" w:hAnsi="仿宋" w:eastAsia="仿宋" w:cs="仿宋"/>
                <w:b/>
                <w:bCs/>
              </w:rPr>
              <w:t>（5）投标人的信誉符合招标文件规定（见附录4）；</w:t>
            </w:r>
          </w:p>
          <w:p>
            <w:pPr>
              <w:spacing w:line="300" w:lineRule="auto"/>
              <w:ind w:right="105" w:rightChars="50"/>
              <w:rPr>
                <w:rFonts w:ascii="仿宋" w:hAnsi="仿宋" w:eastAsia="仿宋" w:cs="仿宋"/>
              </w:rPr>
            </w:pPr>
            <w:r>
              <w:rPr>
                <w:rFonts w:hint="eastAsia" w:ascii="仿宋" w:hAnsi="仿宋" w:eastAsia="仿宋" w:cs="仿宋"/>
                <w:b/>
                <w:bCs/>
              </w:rPr>
              <w:t>（6）投标人的项目经理、项目总工和安全生产负责人资格符合招标文件规定（见附录5）</w:t>
            </w:r>
            <w:r>
              <w:rPr>
                <w:rFonts w:hint="eastAsia" w:ascii="仿宋" w:hAnsi="仿宋" w:eastAsia="仿宋" w:cs="仿宋"/>
              </w:rPr>
              <w:t>，并必须提供以下有效证件的清晰可辨的复印件或彩色扫描件：</w:t>
            </w:r>
          </w:p>
          <w:p>
            <w:pPr>
              <w:spacing w:line="300" w:lineRule="auto"/>
              <w:ind w:right="105" w:rightChars="50"/>
              <w:rPr>
                <w:rFonts w:ascii="仿宋" w:hAnsi="仿宋" w:eastAsia="仿宋" w:cs="仿宋"/>
              </w:rPr>
            </w:pPr>
            <w:r>
              <w:rPr>
                <w:rFonts w:hint="eastAsia" w:ascii="仿宋" w:hAnsi="仿宋" w:eastAsia="仿宋" w:cs="仿宋"/>
              </w:rPr>
              <w:t>a．项目经理：身份证（正反面双面扫描）、技术职称证书或建造师证书、公路水运施工企业安全生产考核合格证书（B证）。</w:t>
            </w:r>
          </w:p>
          <w:p>
            <w:pPr>
              <w:spacing w:line="300" w:lineRule="auto"/>
              <w:ind w:right="105" w:rightChars="50"/>
              <w:rPr>
                <w:rFonts w:ascii="仿宋" w:hAnsi="仿宋" w:eastAsia="仿宋" w:cs="仿宋"/>
              </w:rPr>
            </w:pPr>
            <w:r>
              <w:rPr>
                <w:rFonts w:hint="eastAsia" w:ascii="仿宋" w:hAnsi="仿宋" w:eastAsia="仿宋" w:cs="仿宋"/>
              </w:rPr>
              <w:t>b．项目总工：身份证（正反面双面扫描）、技术职称证书、公路水运施工企业安全生产考核合格证书（B证）。</w:t>
            </w:r>
          </w:p>
          <w:p>
            <w:pPr>
              <w:spacing w:line="300" w:lineRule="auto"/>
              <w:ind w:right="105" w:rightChars="50"/>
              <w:rPr>
                <w:rFonts w:ascii="仿宋" w:hAnsi="仿宋" w:eastAsia="仿宋" w:cs="仿宋"/>
              </w:rPr>
            </w:pPr>
            <w:r>
              <w:rPr>
                <w:rFonts w:hint="eastAsia" w:ascii="仿宋" w:hAnsi="仿宋" w:eastAsia="仿宋" w:cs="仿宋"/>
              </w:rPr>
              <w:t>c．安全生产负责人：身份证（正反面双面扫描）、公路水运施工企业安全生产考核合格证书（C证）。</w:t>
            </w:r>
          </w:p>
          <w:p>
            <w:pPr>
              <w:spacing w:line="300" w:lineRule="auto"/>
              <w:ind w:right="105" w:rightChars="50"/>
              <w:rPr>
                <w:rFonts w:ascii="仿宋" w:hAnsi="仿宋" w:eastAsia="仿宋" w:cs="仿宋"/>
              </w:rPr>
            </w:pPr>
            <w:r>
              <w:rPr>
                <w:rFonts w:hint="eastAsia" w:ascii="仿宋" w:hAnsi="仿宋" w:eastAsia="仿宋" w:cs="仿宋"/>
              </w:rPr>
              <w:t>（6）不存在投标人须知第1.4.3、1.4.4项规定的任何一种形式。</w:t>
            </w:r>
          </w:p>
          <w:p>
            <w:pPr>
              <w:spacing w:line="300" w:lineRule="auto"/>
              <w:ind w:right="105" w:rightChars="50"/>
              <w:rPr>
                <w:rFonts w:ascii="仿宋" w:hAnsi="仿宋" w:eastAsia="仿宋" w:cs="仿宋"/>
                <w:b/>
                <w:bCs/>
                <w:szCs w:val="21"/>
              </w:rPr>
            </w:pPr>
            <w:r>
              <w:rPr>
                <w:rFonts w:hint="eastAsia" w:ascii="仿宋" w:hAnsi="仿宋" w:eastAsia="仿宋" w:cs="仿宋"/>
              </w:rPr>
              <w:t>（7）其它要求符合招标文件的规定。</w:t>
            </w:r>
          </w:p>
          <w:p>
            <w:pPr>
              <w:spacing w:line="300" w:lineRule="auto"/>
              <w:ind w:right="105" w:rightChars="50"/>
              <w:rPr>
                <w:rFonts w:ascii="仿宋" w:hAnsi="仿宋" w:eastAsia="仿宋" w:cs="仿宋"/>
                <w:b/>
                <w:bCs/>
                <w:szCs w:val="21"/>
              </w:rPr>
            </w:pPr>
            <w:r>
              <w:rPr>
                <w:rFonts w:hint="eastAsia" w:ascii="仿宋" w:hAnsi="仿宋" w:eastAsia="仿宋" w:cs="仿宋"/>
                <w:b/>
                <w:bCs/>
                <w:szCs w:val="21"/>
              </w:rPr>
              <w:t>投标文件有不符合以上条件之一的，该投标文件资格审查不通过。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6" w:hRule="atLeast"/>
          <w:jc w:val="center"/>
        </w:trPr>
        <w:tc>
          <w:tcPr>
            <w:tcW w:w="939" w:type="dxa"/>
            <w:vAlign w:val="center"/>
          </w:tcPr>
          <w:p>
            <w:pPr>
              <w:jc w:val="center"/>
              <w:rPr>
                <w:rFonts w:ascii="黑体" w:eastAsia="黑体"/>
                <w:b/>
                <w:bCs/>
              </w:rPr>
            </w:pPr>
            <w:r>
              <w:rPr>
                <w:rFonts w:hint="eastAsia" w:ascii="黑体" w:eastAsia="黑体"/>
                <w:b/>
                <w:bCs/>
              </w:rPr>
              <w:t>条款号</w:t>
            </w:r>
          </w:p>
        </w:tc>
        <w:tc>
          <w:tcPr>
            <w:tcW w:w="1592" w:type="dxa"/>
            <w:tcBorders>
              <w:right w:val="single" w:color="auto" w:sz="4" w:space="0"/>
            </w:tcBorders>
            <w:vAlign w:val="center"/>
          </w:tcPr>
          <w:p>
            <w:pPr>
              <w:jc w:val="center"/>
              <w:rPr>
                <w:rFonts w:ascii="黑体" w:eastAsia="黑体"/>
                <w:b/>
                <w:bCs/>
              </w:rPr>
            </w:pPr>
            <w:r>
              <w:rPr>
                <w:rFonts w:hint="eastAsia" w:ascii="黑体" w:eastAsia="黑体"/>
                <w:b/>
                <w:bCs/>
              </w:rPr>
              <w:t>条款内容</w:t>
            </w:r>
          </w:p>
        </w:tc>
        <w:tc>
          <w:tcPr>
            <w:tcW w:w="6589" w:type="dxa"/>
            <w:gridSpan w:val="4"/>
            <w:tcBorders>
              <w:left w:val="single" w:color="auto" w:sz="4" w:space="0"/>
            </w:tcBorders>
            <w:vAlign w:val="center"/>
          </w:tcPr>
          <w:p>
            <w:pPr>
              <w:spacing w:line="300" w:lineRule="exact"/>
              <w:jc w:val="center"/>
              <w:rPr>
                <w:rFonts w:ascii="黑体" w:eastAsia="黑体"/>
                <w:b/>
                <w:bCs/>
              </w:rPr>
            </w:pPr>
            <w:r>
              <w:rPr>
                <w:rFonts w:hint="eastAsia" w:ascii="黑体" w:eastAsia="黑体"/>
                <w:b/>
                <w:bCs/>
              </w:rPr>
              <w:t>编列内容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5" w:hRule="atLeast"/>
          <w:jc w:val="center"/>
        </w:trPr>
        <w:tc>
          <w:tcPr>
            <w:tcW w:w="939" w:type="dxa"/>
            <w:vAlign w:val="center"/>
          </w:tcPr>
          <w:p>
            <w:pPr>
              <w:jc w:val="center"/>
              <w:rPr>
                <w:rFonts w:ascii="仿宋" w:hAnsi="仿宋" w:eastAsia="仿宋" w:cs="仿宋"/>
              </w:rPr>
            </w:pPr>
            <w:r>
              <w:rPr>
                <w:rFonts w:hint="eastAsia" w:ascii="仿宋" w:hAnsi="仿宋" w:eastAsia="仿宋" w:cs="仿宋"/>
              </w:rPr>
              <w:t>2.2.1</w:t>
            </w:r>
          </w:p>
        </w:tc>
        <w:tc>
          <w:tcPr>
            <w:tcW w:w="1592" w:type="dxa"/>
            <w:tcBorders>
              <w:right w:val="single" w:color="auto" w:sz="4" w:space="0"/>
            </w:tcBorders>
            <w:vAlign w:val="center"/>
          </w:tcPr>
          <w:p>
            <w:pPr>
              <w:spacing w:line="288" w:lineRule="auto"/>
              <w:ind w:left="-105" w:leftChars="-50" w:right="-105" w:rightChars="-50"/>
              <w:jc w:val="center"/>
              <w:rPr>
                <w:rFonts w:ascii="仿宋" w:hAnsi="仿宋" w:eastAsia="仿宋" w:cs="仿宋"/>
              </w:rPr>
            </w:pPr>
            <w:r>
              <w:rPr>
                <w:rFonts w:hint="eastAsia" w:ascii="仿宋" w:hAnsi="仿宋" w:eastAsia="仿宋" w:cs="仿宋"/>
              </w:rPr>
              <w:t>分值构成</w:t>
            </w:r>
          </w:p>
          <w:p>
            <w:pPr>
              <w:spacing w:line="288" w:lineRule="auto"/>
              <w:ind w:left="-105" w:leftChars="-50" w:right="-105" w:rightChars="-50"/>
              <w:rPr>
                <w:rFonts w:ascii="仿宋" w:hAnsi="仿宋" w:eastAsia="仿宋" w:cs="仿宋"/>
              </w:rPr>
            </w:pPr>
            <w:r>
              <w:rPr>
                <w:rFonts w:hint="eastAsia" w:ascii="仿宋" w:hAnsi="仿宋" w:eastAsia="仿宋" w:cs="仿宋"/>
              </w:rPr>
              <w:t>（总分100分）</w:t>
            </w:r>
          </w:p>
        </w:tc>
        <w:tc>
          <w:tcPr>
            <w:tcW w:w="6589" w:type="dxa"/>
            <w:gridSpan w:val="4"/>
            <w:tcBorders>
              <w:left w:val="single" w:color="auto" w:sz="4" w:space="0"/>
            </w:tcBorders>
            <w:vAlign w:val="center"/>
          </w:tcPr>
          <w:p>
            <w:pPr>
              <w:spacing w:line="288" w:lineRule="auto"/>
              <w:ind w:left="105" w:leftChars="50" w:right="105" w:rightChars="50" w:firstLine="210" w:firstLineChars="100"/>
              <w:rPr>
                <w:rFonts w:ascii="仿宋" w:hAnsi="仿宋" w:eastAsia="仿宋" w:cs="仿宋"/>
              </w:rPr>
            </w:pPr>
            <w:r>
              <w:rPr>
                <w:rFonts w:hint="eastAsia" w:ascii="仿宋" w:hAnsi="仿宋" w:eastAsia="仿宋" w:cs="仿宋"/>
              </w:rPr>
              <w:t>（1）评标报价：90分</w:t>
            </w:r>
          </w:p>
          <w:p>
            <w:pPr>
              <w:spacing w:line="288" w:lineRule="auto"/>
              <w:ind w:left="105" w:leftChars="50" w:right="105" w:rightChars="50" w:firstLine="210" w:firstLineChars="100"/>
              <w:rPr>
                <w:rFonts w:ascii="仿宋" w:hAnsi="仿宋" w:eastAsia="仿宋" w:cs="仿宋"/>
              </w:rPr>
            </w:pPr>
            <w:r>
              <w:rPr>
                <w:rFonts w:hint="eastAsia" w:ascii="仿宋" w:hAnsi="仿宋" w:eastAsia="仿宋" w:cs="仿宋"/>
              </w:rPr>
              <w:t>（2）技术评价：6分</w:t>
            </w:r>
          </w:p>
          <w:p>
            <w:pPr>
              <w:spacing w:line="288" w:lineRule="auto"/>
              <w:ind w:left="105" w:leftChars="50" w:right="105" w:rightChars="50" w:firstLine="210" w:firstLineChars="100"/>
              <w:rPr>
                <w:rFonts w:ascii="仿宋" w:hAnsi="仿宋" w:eastAsia="仿宋" w:cs="仿宋"/>
              </w:rPr>
            </w:pPr>
            <w:r>
              <w:rPr>
                <w:rFonts w:hint="eastAsia" w:ascii="仿宋" w:hAnsi="仿宋" w:eastAsia="仿宋" w:cs="仿宋"/>
              </w:rPr>
              <w:t>（3）管理水平：3分</w:t>
            </w:r>
          </w:p>
          <w:p>
            <w:pPr>
              <w:spacing w:line="288" w:lineRule="auto"/>
              <w:ind w:left="105" w:leftChars="50" w:right="105" w:rightChars="50" w:firstLine="210" w:firstLineChars="100"/>
              <w:rPr>
                <w:rFonts w:ascii="仿宋" w:hAnsi="仿宋" w:eastAsia="仿宋" w:cs="仿宋"/>
              </w:rPr>
            </w:pPr>
            <w:r>
              <w:rPr>
                <w:rFonts w:hint="eastAsia" w:ascii="仿宋" w:hAnsi="仿宋" w:eastAsia="仿宋" w:cs="仿宋"/>
              </w:rPr>
              <w:t>（4）企业</w:t>
            </w:r>
            <w:r>
              <w:rPr>
                <w:rFonts w:hint="eastAsia" w:ascii="仿宋" w:hAnsi="仿宋" w:eastAsia="仿宋" w:cs="仿宋"/>
                <w:b/>
                <w:bCs/>
                <w:color w:val="0000FF"/>
                <w:highlight w:val="yellow"/>
              </w:rPr>
              <w:t>信用评价</w:t>
            </w:r>
            <w:r>
              <w:rPr>
                <w:rFonts w:hint="eastAsia" w:ascii="仿宋" w:hAnsi="仿宋" w:eastAsia="仿宋" w:cs="仿宋"/>
              </w:rPr>
              <w:t>与信誉：（-2～1分）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151" w:hRule="atLeast"/>
          <w:jc w:val="center"/>
        </w:trPr>
        <w:tc>
          <w:tcPr>
            <w:tcW w:w="939" w:type="dxa"/>
            <w:vAlign w:val="center"/>
          </w:tcPr>
          <w:p>
            <w:pPr>
              <w:jc w:val="center"/>
              <w:rPr>
                <w:rFonts w:ascii="仿宋" w:hAnsi="仿宋" w:eastAsia="仿宋" w:cs="仿宋"/>
              </w:rPr>
            </w:pPr>
            <w:r>
              <w:rPr>
                <w:rFonts w:hint="eastAsia" w:ascii="仿宋" w:hAnsi="仿宋" w:eastAsia="仿宋" w:cs="仿宋"/>
              </w:rPr>
              <w:t>2.2.2</w:t>
            </w:r>
          </w:p>
          <w:p>
            <w:pPr>
              <w:jc w:val="center"/>
              <w:rPr>
                <w:rFonts w:ascii="仿宋" w:hAnsi="仿宋" w:eastAsia="仿宋" w:cs="仿宋"/>
              </w:rPr>
            </w:pPr>
          </w:p>
        </w:tc>
        <w:tc>
          <w:tcPr>
            <w:tcW w:w="1592" w:type="dxa"/>
            <w:tcBorders>
              <w:right w:val="single" w:color="auto" w:sz="4" w:space="0"/>
            </w:tcBorders>
            <w:vAlign w:val="center"/>
          </w:tcPr>
          <w:p>
            <w:pPr>
              <w:spacing w:line="288" w:lineRule="auto"/>
              <w:ind w:firstLine="210" w:firstLineChars="100"/>
              <w:jc w:val="center"/>
              <w:rPr>
                <w:rFonts w:ascii="仿宋" w:hAnsi="仿宋" w:eastAsia="仿宋" w:cs="仿宋"/>
              </w:rPr>
            </w:pPr>
            <w:r>
              <w:rPr>
                <w:rFonts w:hint="eastAsia" w:ascii="仿宋" w:hAnsi="仿宋" w:eastAsia="仿宋" w:cs="仿宋"/>
              </w:rPr>
              <w:t>评</w:t>
            </w:r>
          </w:p>
          <w:p>
            <w:pPr>
              <w:spacing w:line="288" w:lineRule="auto"/>
              <w:ind w:firstLine="210" w:firstLineChars="100"/>
              <w:jc w:val="center"/>
              <w:rPr>
                <w:rFonts w:ascii="仿宋" w:hAnsi="仿宋" w:eastAsia="仿宋" w:cs="仿宋"/>
              </w:rPr>
            </w:pPr>
            <w:r>
              <w:rPr>
                <w:rFonts w:hint="eastAsia" w:ascii="仿宋" w:hAnsi="仿宋" w:eastAsia="仿宋" w:cs="仿宋"/>
              </w:rPr>
              <w:t>标</w:t>
            </w:r>
          </w:p>
          <w:p>
            <w:pPr>
              <w:spacing w:line="288" w:lineRule="auto"/>
              <w:ind w:firstLine="210" w:firstLineChars="100"/>
              <w:jc w:val="center"/>
              <w:rPr>
                <w:rFonts w:ascii="仿宋" w:hAnsi="仿宋" w:eastAsia="仿宋" w:cs="仿宋"/>
              </w:rPr>
            </w:pPr>
            <w:r>
              <w:rPr>
                <w:rFonts w:hint="eastAsia" w:ascii="仿宋" w:hAnsi="仿宋" w:eastAsia="仿宋" w:cs="仿宋"/>
              </w:rPr>
              <w:t>基</w:t>
            </w:r>
          </w:p>
          <w:p>
            <w:pPr>
              <w:spacing w:line="288" w:lineRule="auto"/>
              <w:ind w:firstLine="210" w:firstLineChars="100"/>
              <w:jc w:val="center"/>
              <w:rPr>
                <w:rFonts w:ascii="仿宋" w:hAnsi="仿宋" w:eastAsia="仿宋" w:cs="仿宋"/>
              </w:rPr>
            </w:pPr>
            <w:r>
              <w:rPr>
                <w:rFonts w:hint="eastAsia" w:ascii="仿宋" w:hAnsi="仿宋" w:eastAsia="仿宋" w:cs="仿宋"/>
              </w:rPr>
              <w:t>准</w:t>
            </w:r>
          </w:p>
          <w:p>
            <w:pPr>
              <w:spacing w:line="288" w:lineRule="auto"/>
              <w:ind w:firstLine="210" w:firstLineChars="100"/>
              <w:jc w:val="center"/>
              <w:rPr>
                <w:rFonts w:ascii="仿宋" w:hAnsi="仿宋" w:eastAsia="仿宋" w:cs="仿宋"/>
              </w:rPr>
            </w:pPr>
            <w:r>
              <w:rPr>
                <w:rFonts w:hint="eastAsia" w:ascii="仿宋" w:hAnsi="仿宋" w:eastAsia="仿宋" w:cs="仿宋"/>
              </w:rPr>
              <w:t>价</w:t>
            </w:r>
          </w:p>
          <w:p>
            <w:pPr>
              <w:spacing w:line="288" w:lineRule="auto"/>
              <w:ind w:firstLine="210" w:firstLineChars="100"/>
              <w:jc w:val="center"/>
              <w:rPr>
                <w:rFonts w:ascii="仿宋" w:hAnsi="仿宋" w:eastAsia="仿宋" w:cs="仿宋"/>
              </w:rPr>
            </w:pPr>
            <w:r>
              <w:rPr>
                <w:rFonts w:hint="eastAsia" w:ascii="仿宋" w:hAnsi="仿宋" w:eastAsia="仿宋" w:cs="仿宋"/>
              </w:rPr>
              <w:t>计</w:t>
            </w:r>
          </w:p>
          <w:p>
            <w:pPr>
              <w:spacing w:line="288" w:lineRule="auto"/>
              <w:ind w:firstLine="210" w:firstLineChars="100"/>
              <w:jc w:val="center"/>
              <w:rPr>
                <w:rFonts w:ascii="仿宋" w:hAnsi="仿宋" w:eastAsia="仿宋" w:cs="仿宋"/>
              </w:rPr>
            </w:pPr>
            <w:r>
              <w:rPr>
                <w:rFonts w:hint="eastAsia" w:ascii="仿宋" w:hAnsi="仿宋" w:eastAsia="仿宋" w:cs="仿宋"/>
              </w:rPr>
              <w:t>算</w:t>
            </w:r>
          </w:p>
          <w:p>
            <w:pPr>
              <w:spacing w:line="288" w:lineRule="auto"/>
              <w:ind w:firstLine="210" w:firstLineChars="100"/>
              <w:jc w:val="center"/>
              <w:rPr>
                <w:rFonts w:ascii="仿宋" w:hAnsi="仿宋" w:eastAsia="仿宋" w:cs="仿宋"/>
              </w:rPr>
            </w:pPr>
            <w:r>
              <w:rPr>
                <w:rFonts w:hint="eastAsia" w:ascii="仿宋" w:hAnsi="仿宋" w:eastAsia="仿宋" w:cs="仿宋"/>
              </w:rPr>
              <w:t>方</w:t>
            </w:r>
          </w:p>
          <w:p>
            <w:pPr>
              <w:spacing w:line="288" w:lineRule="auto"/>
              <w:ind w:firstLine="210" w:firstLineChars="100"/>
              <w:jc w:val="center"/>
              <w:rPr>
                <w:rFonts w:ascii="仿宋" w:hAnsi="仿宋" w:eastAsia="仿宋" w:cs="仿宋"/>
              </w:rPr>
            </w:pPr>
            <w:r>
              <w:rPr>
                <w:rFonts w:hint="eastAsia" w:ascii="仿宋" w:hAnsi="仿宋" w:eastAsia="仿宋" w:cs="仿宋"/>
              </w:rPr>
              <w:t>法</w:t>
            </w:r>
          </w:p>
          <w:p>
            <w:pPr>
              <w:spacing w:line="288" w:lineRule="auto"/>
              <w:ind w:firstLine="210" w:firstLineChars="100"/>
              <w:jc w:val="center"/>
              <w:rPr>
                <w:rFonts w:ascii="仿宋" w:hAnsi="仿宋" w:eastAsia="仿宋" w:cs="仿宋"/>
              </w:rPr>
            </w:pPr>
          </w:p>
        </w:tc>
        <w:tc>
          <w:tcPr>
            <w:tcW w:w="6589" w:type="dxa"/>
            <w:gridSpan w:val="4"/>
            <w:tcBorders>
              <w:left w:val="single" w:color="auto" w:sz="4" w:space="0"/>
            </w:tcBorders>
            <w:vAlign w:val="center"/>
          </w:tcPr>
          <w:p>
            <w:pPr>
              <w:widowControl/>
              <w:spacing w:line="312" w:lineRule="auto"/>
              <w:ind w:right="105" w:rightChars="50" w:firstLine="211" w:firstLineChars="100"/>
              <w:jc w:val="left"/>
              <w:rPr>
                <w:rFonts w:ascii="仿宋" w:hAnsi="仿宋" w:eastAsia="仿宋" w:cs="仿宋"/>
                <w:b/>
                <w:bCs/>
                <w:szCs w:val="21"/>
              </w:rPr>
            </w:pPr>
            <w:r>
              <w:rPr>
                <w:rFonts w:hint="eastAsia" w:ascii="仿宋" w:hAnsi="仿宋" w:eastAsia="仿宋" w:cs="仿宋"/>
                <w:b/>
                <w:bCs/>
                <w:szCs w:val="21"/>
              </w:rPr>
              <w:t>评标基准价的计算：</w:t>
            </w:r>
          </w:p>
          <w:p>
            <w:pPr>
              <w:widowControl/>
              <w:spacing w:line="312" w:lineRule="auto"/>
              <w:ind w:right="105" w:rightChars="50" w:firstLine="211" w:firstLineChars="100"/>
              <w:jc w:val="left"/>
              <w:rPr>
                <w:rFonts w:ascii="仿宋" w:hAnsi="仿宋" w:eastAsia="仿宋" w:cs="仿宋"/>
                <w:bCs/>
                <w:iCs/>
                <w:szCs w:val="21"/>
              </w:rPr>
            </w:pPr>
            <w:r>
              <w:rPr>
                <w:rFonts w:hint="eastAsia" w:ascii="仿宋" w:hAnsi="仿宋" w:eastAsia="仿宋" w:cs="仿宋"/>
                <w:b/>
                <w:iCs/>
                <w:szCs w:val="21"/>
              </w:rPr>
              <w:t>评标基准价由评标委员会计算、复核并签字确认。</w:t>
            </w:r>
            <w:r>
              <w:rPr>
                <w:rFonts w:hint="eastAsia" w:ascii="仿宋" w:hAnsi="仿宋" w:eastAsia="仿宋" w:cs="仿宋"/>
                <w:bCs/>
                <w:iCs/>
                <w:szCs w:val="21"/>
              </w:rPr>
              <w:t>除计算差错外，确认后的评标基准价在本次招标期间保持不变（计算错误，仅限于以下两种情况：a.纯算术性四则运算差错;b.未按约定的计算方法，多计或者少计投标人报价的。由于评标差错，导致否决投标错误，重新评标纠正等其他情况，不属于计算差错）。</w:t>
            </w:r>
          </w:p>
          <w:p>
            <w:pPr>
              <w:widowControl/>
              <w:spacing w:line="312" w:lineRule="auto"/>
              <w:ind w:right="105" w:rightChars="50" w:firstLine="210" w:firstLineChars="100"/>
              <w:jc w:val="left"/>
              <w:rPr>
                <w:rFonts w:ascii="仿宋" w:hAnsi="仿宋" w:eastAsia="仿宋" w:cs="仿宋"/>
                <w:szCs w:val="21"/>
              </w:rPr>
            </w:pPr>
            <w:r>
              <w:rPr>
                <w:rFonts w:hint="eastAsia" w:ascii="仿宋" w:hAnsi="仿宋" w:eastAsia="仿宋" w:cs="仿宋"/>
                <w:szCs w:val="21"/>
              </w:rPr>
              <w:t>（1）评标价的确定：</w:t>
            </w:r>
          </w:p>
          <w:p>
            <w:pPr>
              <w:widowControl/>
              <w:spacing w:line="312" w:lineRule="auto"/>
              <w:ind w:right="105" w:rightChars="50" w:firstLine="210" w:firstLineChars="100"/>
              <w:jc w:val="left"/>
              <w:rPr>
                <w:rFonts w:ascii="仿宋" w:hAnsi="仿宋" w:eastAsia="仿宋" w:cs="仿宋"/>
                <w:szCs w:val="21"/>
              </w:rPr>
            </w:pPr>
            <w:r>
              <w:rPr>
                <w:rFonts w:hint="eastAsia" w:ascii="仿宋" w:hAnsi="仿宋" w:eastAsia="仿宋" w:cs="仿宋"/>
                <w:szCs w:val="21"/>
              </w:rPr>
              <w:t>评标价＝投标函的文字报价</w:t>
            </w:r>
          </w:p>
          <w:p>
            <w:pPr>
              <w:widowControl/>
              <w:spacing w:line="312" w:lineRule="auto"/>
              <w:ind w:right="105" w:rightChars="50" w:firstLine="210" w:firstLineChars="100"/>
              <w:jc w:val="left"/>
              <w:rPr>
                <w:rFonts w:ascii="仿宋" w:hAnsi="仿宋" w:eastAsia="仿宋" w:cs="仿宋"/>
                <w:szCs w:val="21"/>
              </w:rPr>
            </w:pPr>
            <w:r>
              <w:rPr>
                <w:rFonts w:hint="eastAsia" w:ascii="仿宋" w:hAnsi="仿宋" w:eastAsia="仿宋" w:cs="仿宋"/>
                <w:szCs w:val="21"/>
              </w:rPr>
              <w:t>（2）评标价平均值的计算</w:t>
            </w:r>
          </w:p>
          <w:p>
            <w:pPr>
              <w:widowControl/>
              <w:spacing w:line="312" w:lineRule="auto"/>
              <w:ind w:right="105" w:rightChars="50" w:firstLine="210" w:firstLineChars="100"/>
              <w:jc w:val="left"/>
              <w:rPr>
                <w:rFonts w:ascii="仿宋" w:hAnsi="仿宋" w:eastAsia="仿宋" w:cs="仿宋"/>
                <w:b/>
                <w:bCs/>
                <w:szCs w:val="21"/>
              </w:rPr>
            </w:pPr>
            <w:r>
              <w:rPr>
                <w:rFonts w:hint="eastAsia" w:ascii="仿宋" w:hAnsi="仿宋" w:eastAsia="仿宋" w:cs="仿宋"/>
                <w:szCs w:val="21"/>
              </w:rPr>
              <w:t>除按第二章“投标人须知”第5.2.2项规定开标现场被宣布为否决投标的投标报价之外投标人的投标价</w:t>
            </w:r>
            <w:r>
              <w:rPr>
                <w:rFonts w:hint="eastAsia" w:ascii="仿宋" w:hAnsi="仿宋" w:eastAsia="仿宋" w:cs="仿宋"/>
                <w:b/>
                <w:bCs/>
                <w:szCs w:val="21"/>
              </w:rPr>
              <w:t>（不含高于投标控制价和低于投标控制价80%的报价）</w:t>
            </w:r>
            <w:r>
              <w:rPr>
                <w:rFonts w:hint="eastAsia" w:ascii="仿宋" w:hAnsi="仿宋" w:eastAsia="仿宋" w:cs="仿宋"/>
                <w:szCs w:val="21"/>
              </w:rPr>
              <w:t>的所有人的投标报价去掉【1】个最高值和【1】个最低值后的算术平均值即为评标价平均值</w:t>
            </w:r>
            <w:r>
              <w:rPr>
                <w:rFonts w:hint="eastAsia" w:ascii="仿宋" w:hAnsi="仿宋" w:eastAsia="仿宋" w:cs="仿宋"/>
                <w:b/>
                <w:bCs/>
                <w:szCs w:val="21"/>
              </w:rPr>
              <w:t>（如果参与评标价平均值计算的有效投标人【&lt;5家】时，则计算评标价平均值时不去掉最高值和最低值）。</w:t>
            </w:r>
          </w:p>
          <w:p>
            <w:pPr>
              <w:widowControl/>
              <w:spacing w:line="312" w:lineRule="auto"/>
              <w:ind w:right="105" w:rightChars="50" w:firstLine="210" w:firstLineChars="100"/>
              <w:jc w:val="left"/>
              <w:rPr>
                <w:rFonts w:ascii="仿宋" w:hAnsi="仿宋" w:eastAsia="仿宋" w:cs="仿宋"/>
                <w:szCs w:val="21"/>
              </w:rPr>
            </w:pPr>
            <w:r>
              <w:rPr>
                <w:rFonts w:hint="eastAsia" w:ascii="仿宋" w:hAnsi="仿宋" w:eastAsia="仿宋" w:cs="仿宋"/>
                <w:szCs w:val="21"/>
              </w:rPr>
              <w:t>评标基准价的确定：</w:t>
            </w:r>
          </w:p>
          <w:p>
            <w:pPr>
              <w:widowControl/>
              <w:spacing w:line="312" w:lineRule="auto"/>
              <w:ind w:right="105" w:rightChars="50" w:firstLine="210" w:firstLineChars="100"/>
              <w:jc w:val="left"/>
              <w:rPr>
                <w:rFonts w:ascii="仿宋" w:hAnsi="仿宋" w:eastAsia="仿宋" w:cs="仿宋"/>
                <w:szCs w:val="21"/>
              </w:rPr>
            </w:pPr>
            <w:r>
              <w:rPr>
                <w:rFonts w:hint="eastAsia" w:ascii="仿宋" w:hAnsi="仿宋" w:eastAsia="仿宋" w:cs="仿宋"/>
                <w:szCs w:val="21"/>
              </w:rPr>
              <w:t>C＝【A×K＋B×（1－K）】×（100－i）/100</w:t>
            </w:r>
          </w:p>
          <w:p>
            <w:pPr>
              <w:widowControl/>
              <w:spacing w:line="312" w:lineRule="auto"/>
              <w:ind w:right="105" w:rightChars="50" w:firstLine="210" w:firstLineChars="100"/>
              <w:jc w:val="left"/>
              <w:rPr>
                <w:rFonts w:ascii="仿宋" w:hAnsi="仿宋" w:eastAsia="仿宋" w:cs="仿宋"/>
                <w:szCs w:val="21"/>
              </w:rPr>
            </w:pPr>
            <w:r>
              <w:rPr>
                <w:rFonts w:hint="eastAsia" w:ascii="仿宋" w:hAnsi="仿宋" w:eastAsia="仿宋" w:cs="仿宋"/>
                <w:szCs w:val="21"/>
              </w:rPr>
              <w:t>式中：C为评标基准价</w:t>
            </w:r>
          </w:p>
          <w:p>
            <w:pPr>
              <w:widowControl/>
              <w:spacing w:line="312" w:lineRule="auto"/>
              <w:ind w:right="105" w:rightChars="50" w:firstLine="210" w:firstLineChars="100"/>
              <w:jc w:val="left"/>
              <w:rPr>
                <w:rFonts w:ascii="仿宋" w:hAnsi="仿宋" w:eastAsia="仿宋" w:cs="仿宋"/>
                <w:szCs w:val="21"/>
              </w:rPr>
            </w:pPr>
            <w:r>
              <w:rPr>
                <w:rFonts w:hint="eastAsia" w:ascii="仿宋" w:hAnsi="仿宋" w:eastAsia="仿宋" w:cs="仿宋"/>
                <w:szCs w:val="21"/>
              </w:rPr>
              <w:t xml:space="preserve">A为招标人的投标控制价，以施工图预算批复为基础的工程量清单预算价 </w:t>
            </w:r>
            <w:r>
              <w:rPr>
                <w:rFonts w:hint="eastAsia" w:ascii="仿宋" w:hAnsi="仿宋" w:eastAsia="仿宋" w:cs="仿宋"/>
                <w:szCs w:val="21"/>
                <w:highlight w:val="yellow"/>
              </w:rPr>
              <w:t>xxxxxx</w:t>
            </w:r>
            <w:r>
              <w:rPr>
                <w:rFonts w:hint="eastAsia" w:ascii="仿宋" w:hAnsi="仿宋" w:eastAsia="仿宋" w:cs="仿宋"/>
                <w:szCs w:val="21"/>
              </w:rPr>
              <w:t>万元（无暂列金），再乘以随机抽取的调整系数设定。开标时在开标现场从三个连续值(0.95、0.96、0.97)中随机抽取其中一值作为调整系数。</w:t>
            </w:r>
          </w:p>
          <w:p>
            <w:pPr>
              <w:widowControl/>
              <w:spacing w:line="312" w:lineRule="auto"/>
              <w:ind w:right="105" w:rightChars="50" w:firstLine="210" w:firstLineChars="100"/>
              <w:jc w:val="left"/>
              <w:rPr>
                <w:rFonts w:ascii="仿宋" w:hAnsi="仿宋" w:eastAsia="仿宋" w:cs="仿宋"/>
                <w:szCs w:val="21"/>
              </w:rPr>
            </w:pPr>
            <w:r>
              <w:rPr>
                <w:rFonts w:hint="eastAsia" w:ascii="仿宋" w:hAnsi="仿宋" w:eastAsia="仿宋" w:cs="仿宋"/>
                <w:szCs w:val="21"/>
              </w:rPr>
              <w:t>B为除按第二章“投标人须知”第5.2.2项规定开标现场被宣布为否决投标或未通过初步评审的投标报价之外投标人的投标价</w:t>
            </w:r>
            <w:r>
              <w:rPr>
                <w:rFonts w:hint="eastAsia" w:ascii="仿宋" w:hAnsi="仿宋" w:eastAsia="仿宋" w:cs="仿宋"/>
                <w:b/>
                <w:bCs/>
                <w:szCs w:val="21"/>
              </w:rPr>
              <w:t>（不含高于投标控制价和低于投标控制价80%的报价）</w:t>
            </w:r>
            <w:r>
              <w:rPr>
                <w:rFonts w:hint="eastAsia" w:ascii="仿宋" w:hAnsi="仿宋" w:eastAsia="仿宋" w:cs="仿宋"/>
                <w:szCs w:val="21"/>
              </w:rPr>
              <w:t>的所有人的投标报价去掉【1】个最高值和【1】个最低值后的算术平均值即为评标价平均值</w:t>
            </w:r>
            <w:r>
              <w:rPr>
                <w:rFonts w:hint="eastAsia" w:ascii="仿宋" w:hAnsi="仿宋" w:eastAsia="仿宋" w:cs="仿宋"/>
                <w:b/>
                <w:bCs/>
                <w:szCs w:val="21"/>
              </w:rPr>
              <w:t>（如果参与评标价平均值计算的有效投标人【&lt;5家】时，则计算评标价平均值时不去掉最高值和最低值）。</w:t>
            </w:r>
          </w:p>
          <w:p>
            <w:pPr>
              <w:widowControl/>
              <w:spacing w:line="312" w:lineRule="auto"/>
              <w:ind w:right="105" w:rightChars="50" w:firstLine="210" w:firstLineChars="100"/>
              <w:rPr>
                <w:rFonts w:ascii="仿宋" w:hAnsi="仿宋" w:eastAsia="仿宋" w:cs="仿宋"/>
                <w:szCs w:val="21"/>
              </w:rPr>
            </w:pPr>
            <w:r>
              <w:rPr>
                <w:rFonts w:hint="eastAsia" w:ascii="仿宋" w:hAnsi="仿宋" w:eastAsia="仿宋" w:cs="仿宋"/>
                <w:szCs w:val="21"/>
              </w:rPr>
              <w:t>K为复合系数（从0.40、0.45、0.50三值中，开标时由系统随机抽取一个值）；</w:t>
            </w:r>
          </w:p>
          <w:p>
            <w:pPr>
              <w:widowControl/>
              <w:spacing w:line="312" w:lineRule="auto"/>
              <w:ind w:right="105" w:rightChars="50" w:firstLine="210" w:firstLineChars="100"/>
              <w:jc w:val="left"/>
              <w:rPr>
                <w:rFonts w:ascii="仿宋" w:hAnsi="仿宋" w:eastAsia="仿宋" w:cs="仿宋"/>
                <w:szCs w:val="21"/>
              </w:rPr>
            </w:pPr>
            <w:r>
              <w:rPr>
                <w:rFonts w:hint="eastAsia" w:ascii="仿宋" w:hAnsi="仿宋" w:eastAsia="仿宋" w:cs="仿宋"/>
                <w:szCs w:val="21"/>
              </w:rPr>
              <w:t>i 为下浮系数（从1、2、3三个连续值在开标时由系统随机抽取一个值）。</w:t>
            </w:r>
          </w:p>
          <w:p>
            <w:pPr>
              <w:widowControl/>
              <w:spacing w:line="312" w:lineRule="auto"/>
              <w:ind w:right="105" w:rightChars="50" w:firstLine="210" w:firstLineChars="100"/>
              <w:jc w:val="left"/>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9" w:hRule="atLeast"/>
          <w:jc w:val="center"/>
        </w:trPr>
        <w:tc>
          <w:tcPr>
            <w:tcW w:w="939" w:type="dxa"/>
            <w:vAlign w:val="center"/>
          </w:tcPr>
          <w:p>
            <w:pPr>
              <w:jc w:val="center"/>
              <w:rPr>
                <w:rFonts w:ascii="仿宋" w:hAnsi="仿宋" w:eastAsia="仿宋" w:cs="仿宋"/>
              </w:rPr>
            </w:pPr>
            <w:r>
              <w:rPr>
                <w:rFonts w:hint="eastAsia" w:ascii="仿宋" w:hAnsi="仿宋" w:eastAsia="仿宋" w:cs="仿宋"/>
              </w:rPr>
              <w:t>2.2.3</w:t>
            </w:r>
          </w:p>
        </w:tc>
        <w:tc>
          <w:tcPr>
            <w:tcW w:w="1592" w:type="dxa"/>
            <w:tcBorders>
              <w:right w:val="single" w:color="auto" w:sz="4" w:space="0"/>
            </w:tcBorders>
            <w:vAlign w:val="center"/>
          </w:tcPr>
          <w:p>
            <w:pPr>
              <w:rPr>
                <w:rFonts w:ascii="仿宋" w:hAnsi="仿宋" w:eastAsia="仿宋" w:cs="仿宋"/>
              </w:rPr>
            </w:pPr>
            <w:r>
              <w:rPr>
                <w:rFonts w:hint="eastAsia" w:ascii="仿宋" w:hAnsi="仿宋" w:eastAsia="仿宋" w:cs="仿宋"/>
              </w:rPr>
              <w:t>评标价的偏差率计算公式</w:t>
            </w:r>
          </w:p>
        </w:tc>
        <w:tc>
          <w:tcPr>
            <w:tcW w:w="6589" w:type="dxa"/>
            <w:gridSpan w:val="4"/>
            <w:tcBorders>
              <w:left w:val="single" w:color="auto" w:sz="4" w:space="0"/>
            </w:tcBorders>
            <w:vAlign w:val="center"/>
          </w:tcPr>
          <w:p>
            <w:pPr>
              <w:spacing w:line="288" w:lineRule="auto"/>
              <w:ind w:firstLine="210" w:firstLineChars="100"/>
              <w:rPr>
                <w:rFonts w:ascii="仿宋" w:hAnsi="仿宋" w:eastAsia="仿宋" w:cs="仿宋"/>
                <w:szCs w:val="21"/>
              </w:rPr>
            </w:pPr>
            <w:r>
              <w:rPr>
                <w:rFonts w:hint="eastAsia" w:ascii="仿宋" w:hAnsi="仿宋" w:eastAsia="仿宋" w:cs="仿宋"/>
              </w:rPr>
              <w:t>偏差率=100%×（投标人评标价－评标基准价）/评标基准价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4" w:hRule="atLeast"/>
          <w:jc w:val="center"/>
        </w:trPr>
        <w:tc>
          <w:tcPr>
            <w:tcW w:w="7111" w:type="dxa"/>
            <w:gridSpan w:val="5"/>
            <w:tcBorders>
              <w:top w:val="single" w:color="auto" w:sz="4" w:space="0"/>
              <w:bottom w:val="single" w:color="auto" w:sz="4" w:space="0"/>
              <w:right w:val="single" w:color="auto" w:sz="4" w:space="0"/>
            </w:tcBorders>
            <w:vAlign w:val="center"/>
          </w:tcPr>
          <w:p>
            <w:pPr>
              <w:jc w:val="center"/>
              <w:rPr>
                <w:rFonts w:ascii="黑体" w:eastAsia="黑体"/>
                <w:b/>
                <w:bCs/>
              </w:rPr>
            </w:pPr>
            <w:r>
              <w:rPr>
                <w:rFonts w:hint="eastAsia" w:ascii="黑体" w:eastAsia="黑体"/>
                <w:b/>
                <w:bCs/>
              </w:rPr>
              <w:t>评分因素与分值</w:t>
            </w:r>
          </w:p>
        </w:tc>
        <w:tc>
          <w:tcPr>
            <w:tcW w:w="2009" w:type="dxa"/>
            <w:tcBorders>
              <w:top w:val="single" w:color="auto" w:sz="4" w:space="0"/>
              <w:left w:val="single" w:color="auto" w:sz="4" w:space="0"/>
            </w:tcBorders>
            <w:vAlign w:val="center"/>
          </w:tcPr>
          <w:p>
            <w:pPr>
              <w:jc w:val="center"/>
              <w:rPr>
                <w:rFonts w:ascii="黑体" w:eastAsia="黑体"/>
                <w:b/>
                <w:bCs/>
              </w:rPr>
            </w:pPr>
            <w:r>
              <w:rPr>
                <w:rFonts w:hint="eastAsia" w:ascii="黑体" w:eastAsia="黑体"/>
                <w:b/>
                <w:bCs/>
              </w:rPr>
              <w:t>评分标准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5" w:hRule="atLeast"/>
          <w:jc w:val="center"/>
        </w:trPr>
        <w:tc>
          <w:tcPr>
            <w:tcW w:w="939" w:type="dxa"/>
            <w:tcBorders>
              <w:top w:val="single" w:color="auto" w:sz="4" w:space="0"/>
              <w:bottom w:val="single" w:color="auto" w:sz="4" w:space="0"/>
              <w:right w:val="single" w:color="auto" w:sz="6" w:space="0"/>
            </w:tcBorders>
            <w:vAlign w:val="center"/>
          </w:tcPr>
          <w:p>
            <w:pPr>
              <w:jc w:val="center"/>
              <w:rPr>
                <w:rFonts w:ascii="黑体" w:eastAsia="黑体"/>
              </w:rPr>
            </w:pPr>
            <w:r>
              <w:rPr>
                <w:rFonts w:hint="eastAsia" w:ascii="黑体" w:eastAsia="黑体"/>
              </w:rPr>
              <w:t>条款号</w:t>
            </w:r>
          </w:p>
        </w:tc>
        <w:tc>
          <w:tcPr>
            <w:tcW w:w="1592" w:type="dxa"/>
            <w:tcBorders>
              <w:top w:val="single" w:color="auto" w:sz="4" w:space="0"/>
              <w:left w:val="single" w:color="auto" w:sz="6" w:space="0"/>
              <w:bottom w:val="single" w:color="auto" w:sz="4" w:space="0"/>
              <w:right w:val="single" w:color="auto" w:sz="6" w:space="0"/>
            </w:tcBorders>
            <w:vAlign w:val="center"/>
          </w:tcPr>
          <w:p>
            <w:pPr>
              <w:jc w:val="center"/>
              <w:rPr>
                <w:rFonts w:ascii="黑体" w:eastAsia="黑体"/>
              </w:rPr>
            </w:pPr>
            <w:r>
              <w:rPr>
                <w:rFonts w:hint="eastAsia" w:ascii="黑体" w:eastAsia="黑体"/>
              </w:rPr>
              <w:t>评分因素</w:t>
            </w:r>
          </w:p>
        </w:tc>
        <w:tc>
          <w:tcPr>
            <w:tcW w:w="1126" w:type="dxa"/>
            <w:tcBorders>
              <w:top w:val="single" w:color="auto" w:sz="4" w:space="0"/>
              <w:left w:val="single" w:color="auto" w:sz="6" w:space="0"/>
              <w:bottom w:val="single" w:color="auto" w:sz="4" w:space="0"/>
              <w:right w:val="single" w:color="auto" w:sz="4" w:space="0"/>
            </w:tcBorders>
            <w:vAlign w:val="center"/>
          </w:tcPr>
          <w:p>
            <w:pPr>
              <w:jc w:val="center"/>
              <w:rPr>
                <w:rFonts w:ascii="黑体" w:eastAsia="黑体"/>
              </w:rPr>
            </w:pPr>
            <w:r>
              <w:rPr>
                <w:rFonts w:hint="eastAsia" w:ascii="黑体" w:eastAsia="黑体"/>
              </w:rPr>
              <w:t>权重分值</w:t>
            </w:r>
          </w:p>
        </w:tc>
        <w:tc>
          <w:tcPr>
            <w:tcW w:w="2177"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rPr>
            </w:pPr>
            <w:r>
              <w:rPr>
                <w:rFonts w:hint="eastAsia" w:ascii="黑体" w:eastAsia="黑体"/>
              </w:rPr>
              <w:t>各评分因素细分项</w:t>
            </w:r>
          </w:p>
        </w:tc>
        <w:tc>
          <w:tcPr>
            <w:tcW w:w="1277"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rPr>
            </w:pPr>
            <w:r>
              <w:rPr>
                <w:rFonts w:hint="eastAsia" w:ascii="黑体" w:eastAsia="黑体"/>
              </w:rPr>
              <w:t>分值</w:t>
            </w:r>
          </w:p>
        </w:tc>
        <w:tc>
          <w:tcPr>
            <w:tcW w:w="2009" w:type="dxa"/>
            <w:tcBorders>
              <w:left w:val="single" w:color="auto" w:sz="4" w:space="0"/>
              <w:bottom w:val="single" w:color="auto" w:sz="4" w:space="0"/>
            </w:tcBorders>
            <w:vAlign w:val="center"/>
          </w:tcPr>
          <w:p>
            <w:pPr>
              <w:jc w:val="center"/>
              <w:rPr>
                <w:rFonts w:ascii="黑体" w:eastAsia="黑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77" w:hRule="atLeast"/>
          <w:jc w:val="center"/>
        </w:trPr>
        <w:tc>
          <w:tcPr>
            <w:tcW w:w="939" w:type="dxa"/>
            <w:tcBorders>
              <w:right w:val="single" w:color="auto" w:sz="6" w:space="0"/>
            </w:tcBorders>
            <w:vAlign w:val="center"/>
          </w:tcPr>
          <w:p>
            <w:pPr>
              <w:jc w:val="center"/>
              <w:rPr>
                <w:rFonts w:ascii="仿宋" w:hAnsi="仿宋" w:eastAsia="仿宋" w:cs="仿宋"/>
              </w:rPr>
            </w:pPr>
            <w:r>
              <w:rPr>
                <w:rFonts w:hint="eastAsia" w:ascii="仿宋" w:hAnsi="仿宋" w:eastAsia="仿宋" w:cs="仿宋"/>
              </w:rPr>
              <w:t>2.2.4（1）</w:t>
            </w:r>
          </w:p>
        </w:tc>
        <w:tc>
          <w:tcPr>
            <w:tcW w:w="1592" w:type="dxa"/>
            <w:tcBorders>
              <w:left w:val="single" w:color="auto" w:sz="6" w:space="0"/>
              <w:right w:val="single" w:color="auto" w:sz="6" w:space="0"/>
            </w:tcBorders>
            <w:vAlign w:val="center"/>
          </w:tcPr>
          <w:p>
            <w:pPr>
              <w:jc w:val="center"/>
              <w:rPr>
                <w:rFonts w:ascii="仿宋" w:hAnsi="仿宋" w:eastAsia="仿宋" w:cs="仿宋"/>
              </w:rPr>
            </w:pPr>
            <w:r>
              <w:rPr>
                <w:rFonts w:hint="eastAsia" w:ascii="仿宋" w:hAnsi="仿宋" w:eastAsia="仿宋" w:cs="仿宋"/>
              </w:rPr>
              <w:t>评标价</w:t>
            </w:r>
          </w:p>
        </w:tc>
        <w:tc>
          <w:tcPr>
            <w:tcW w:w="1126" w:type="dxa"/>
            <w:tcBorders>
              <w:left w:val="single" w:color="auto" w:sz="6" w:space="0"/>
              <w:bottom w:val="single" w:color="auto" w:sz="12" w:space="0"/>
              <w:right w:val="single" w:color="auto" w:sz="4" w:space="0"/>
            </w:tcBorders>
            <w:vAlign w:val="center"/>
          </w:tcPr>
          <w:p>
            <w:pPr>
              <w:jc w:val="center"/>
              <w:rPr>
                <w:rFonts w:ascii="仿宋" w:hAnsi="仿宋" w:eastAsia="仿宋" w:cs="仿宋"/>
              </w:rPr>
            </w:pPr>
            <w:r>
              <w:rPr>
                <w:rFonts w:hint="eastAsia" w:ascii="仿宋" w:hAnsi="仿宋" w:eastAsia="仿宋" w:cs="仿宋"/>
              </w:rPr>
              <w:t>90分</w:t>
            </w:r>
          </w:p>
        </w:tc>
        <w:tc>
          <w:tcPr>
            <w:tcW w:w="5463" w:type="dxa"/>
            <w:gridSpan w:val="3"/>
            <w:tcBorders>
              <w:top w:val="single" w:color="auto" w:sz="4" w:space="0"/>
              <w:left w:val="single" w:color="auto" w:sz="4" w:space="0"/>
              <w:bottom w:val="single" w:color="auto" w:sz="12" w:space="0"/>
            </w:tcBorders>
            <w:vAlign w:val="center"/>
          </w:tcPr>
          <w:p>
            <w:pPr>
              <w:ind w:left="105" w:leftChars="50" w:right="105" w:rightChars="50" w:firstLine="210" w:firstLineChars="100"/>
              <w:jc w:val="left"/>
              <w:rPr>
                <w:rFonts w:ascii="仿宋" w:hAnsi="仿宋" w:eastAsia="仿宋" w:cs="仿宋"/>
              </w:rPr>
            </w:pPr>
            <w:r>
              <w:rPr>
                <w:rFonts w:hint="eastAsia" w:ascii="仿宋" w:hAnsi="仿宋" w:eastAsia="仿宋" w:cs="仿宋"/>
              </w:rPr>
              <w:t>投标人评标价得分的计算（保留两位小数）：</w:t>
            </w:r>
          </w:p>
          <w:p>
            <w:pPr>
              <w:ind w:left="105" w:leftChars="50" w:right="105" w:rightChars="50" w:firstLine="210" w:firstLineChars="100"/>
              <w:jc w:val="left"/>
              <w:rPr>
                <w:rFonts w:ascii="仿宋" w:hAnsi="仿宋" w:eastAsia="仿宋" w:cs="仿宋"/>
              </w:rPr>
            </w:pPr>
            <w:r>
              <w:rPr>
                <w:rFonts w:hint="eastAsia" w:ascii="仿宋" w:hAnsi="仿宋" w:eastAsia="仿宋" w:cs="仿宋"/>
              </w:rPr>
              <w:t>（1）投标人的评标价＝评标基准价的，得90分；</w:t>
            </w:r>
          </w:p>
          <w:p>
            <w:pPr>
              <w:ind w:right="105" w:rightChars="50" w:firstLine="315" w:firstLineChars="150"/>
              <w:jc w:val="left"/>
              <w:rPr>
                <w:rFonts w:ascii="仿宋" w:hAnsi="仿宋" w:eastAsia="仿宋" w:cs="仿宋"/>
              </w:rPr>
            </w:pPr>
            <w:r>
              <w:rPr>
                <w:rFonts w:hint="eastAsia" w:ascii="仿宋" w:hAnsi="仿宋" w:eastAsia="仿宋" w:cs="仿宋"/>
              </w:rPr>
              <w:t>（2）投标人的评标价＞评标基准价的：</w:t>
            </w:r>
          </w:p>
          <w:p>
            <w:pPr>
              <w:ind w:left="105" w:leftChars="50" w:right="105" w:rightChars="50" w:firstLine="210" w:firstLineChars="100"/>
              <w:jc w:val="left"/>
              <w:rPr>
                <w:rFonts w:ascii="仿宋" w:hAnsi="仿宋" w:eastAsia="仿宋" w:cs="仿宋"/>
                <w:vertAlign w:val="subscript"/>
              </w:rPr>
            </w:pPr>
            <w:r>
              <w:rPr>
                <w:rFonts w:hint="eastAsia" w:ascii="仿宋" w:hAnsi="仿宋" w:eastAsia="仿宋" w:cs="仿宋"/>
              </w:rPr>
              <w:t>评标价得分＝90－偏差率×100×E</w:t>
            </w:r>
            <w:r>
              <w:rPr>
                <w:rFonts w:hint="eastAsia" w:ascii="仿宋" w:hAnsi="仿宋" w:eastAsia="仿宋" w:cs="仿宋"/>
                <w:vertAlign w:val="subscript"/>
              </w:rPr>
              <w:t>1</w:t>
            </w:r>
          </w:p>
          <w:p>
            <w:pPr>
              <w:ind w:left="105" w:leftChars="50" w:right="105" w:rightChars="50" w:firstLine="210" w:firstLineChars="100"/>
              <w:jc w:val="left"/>
              <w:rPr>
                <w:rFonts w:ascii="仿宋" w:hAnsi="仿宋" w:eastAsia="仿宋" w:cs="仿宋"/>
              </w:rPr>
            </w:pPr>
            <w:r>
              <w:rPr>
                <w:rFonts w:hint="eastAsia" w:ascii="仿宋" w:hAnsi="仿宋" w:eastAsia="仿宋" w:cs="仿宋"/>
              </w:rPr>
              <w:t>（3）投标人的评标价≤评标基准价的：</w:t>
            </w:r>
          </w:p>
          <w:p>
            <w:pPr>
              <w:ind w:left="105" w:leftChars="50" w:right="105" w:rightChars="50" w:firstLine="525" w:firstLineChars="250"/>
              <w:jc w:val="left"/>
              <w:rPr>
                <w:rFonts w:ascii="仿宋" w:hAnsi="仿宋" w:eastAsia="仿宋" w:cs="仿宋"/>
                <w:vertAlign w:val="subscript"/>
              </w:rPr>
            </w:pPr>
            <w:r>
              <w:rPr>
                <w:rFonts w:hint="eastAsia" w:ascii="仿宋" w:hAnsi="仿宋" w:eastAsia="仿宋" w:cs="仿宋"/>
              </w:rPr>
              <w:t>评标价得分＝90 + 偏差率×100×E</w:t>
            </w:r>
            <w:r>
              <w:rPr>
                <w:rFonts w:hint="eastAsia" w:ascii="仿宋" w:hAnsi="仿宋" w:eastAsia="仿宋" w:cs="仿宋"/>
                <w:vertAlign w:val="subscript"/>
              </w:rPr>
              <w:t>2</w:t>
            </w:r>
          </w:p>
          <w:p>
            <w:pPr>
              <w:ind w:right="105" w:rightChars="50"/>
              <w:jc w:val="left"/>
              <w:rPr>
                <w:rFonts w:ascii="仿宋" w:hAnsi="仿宋" w:eastAsia="仿宋" w:cs="仿宋"/>
              </w:rPr>
            </w:pPr>
            <w:r>
              <w:rPr>
                <w:rFonts w:hint="eastAsia" w:ascii="仿宋" w:hAnsi="仿宋" w:eastAsia="仿宋" w:cs="仿宋"/>
              </w:rPr>
              <w:t>其中：E</w:t>
            </w:r>
            <w:r>
              <w:rPr>
                <w:rFonts w:hint="eastAsia" w:ascii="仿宋" w:hAnsi="仿宋" w:eastAsia="仿宋" w:cs="仿宋"/>
                <w:vertAlign w:val="subscript"/>
              </w:rPr>
              <w:t>1</w:t>
            </w:r>
            <w:r>
              <w:rPr>
                <w:rFonts w:hint="eastAsia" w:ascii="仿宋" w:hAnsi="仿宋" w:eastAsia="仿宋" w:cs="仿宋"/>
              </w:rPr>
              <w:t>是评标价每高于评标基准价一个百分点的扣分值；E</w:t>
            </w:r>
            <w:r>
              <w:rPr>
                <w:rFonts w:hint="eastAsia" w:ascii="仿宋" w:hAnsi="仿宋" w:eastAsia="仿宋" w:cs="仿宋"/>
                <w:vertAlign w:val="subscript"/>
              </w:rPr>
              <w:t>2</w:t>
            </w:r>
            <w:r>
              <w:rPr>
                <w:rFonts w:hint="eastAsia" w:ascii="仿宋" w:hAnsi="仿宋" w:eastAsia="仿宋" w:cs="仿宋"/>
              </w:rPr>
              <w:t>是评标价每低于评标基准价一个百分点的扣分值。</w:t>
            </w:r>
          </w:p>
          <w:p>
            <w:pPr>
              <w:ind w:left="105" w:leftChars="50" w:right="105" w:rightChars="50" w:firstLine="210" w:firstLineChars="100"/>
              <w:jc w:val="left"/>
              <w:rPr>
                <w:rFonts w:ascii="仿宋" w:hAnsi="仿宋" w:eastAsia="仿宋" w:cs="仿宋"/>
                <w:szCs w:val="21"/>
              </w:rPr>
            </w:pPr>
            <w:r>
              <w:rPr>
                <w:rFonts w:hint="eastAsia" w:ascii="仿宋" w:hAnsi="仿宋" w:eastAsia="仿宋" w:cs="仿宋"/>
              </w:rPr>
              <w:t>E</w:t>
            </w:r>
            <w:r>
              <w:rPr>
                <w:rFonts w:hint="eastAsia" w:ascii="仿宋" w:hAnsi="仿宋" w:eastAsia="仿宋" w:cs="仿宋"/>
                <w:vertAlign w:val="subscript"/>
              </w:rPr>
              <w:t>1</w:t>
            </w:r>
            <w:r>
              <w:rPr>
                <w:rFonts w:hint="eastAsia" w:ascii="仿宋" w:hAnsi="仿宋" w:eastAsia="仿宋" w:cs="仿宋"/>
              </w:rPr>
              <w:t>=1.2，E</w:t>
            </w:r>
            <w:r>
              <w:rPr>
                <w:rFonts w:hint="eastAsia" w:ascii="仿宋" w:hAnsi="仿宋" w:eastAsia="仿宋" w:cs="仿宋"/>
                <w:vertAlign w:val="subscript"/>
              </w:rPr>
              <w:t>2</w:t>
            </w:r>
            <w:r>
              <w:rPr>
                <w:rFonts w:hint="eastAsia" w:ascii="仿宋" w:hAnsi="仿宋" w:eastAsia="仿宋" w:cs="仿宋"/>
              </w:rPr>
              <w:t>=1.0</w:t>
            </w:r>
          </w:p>
        </w:tc>
      </w:tr>
    </w:tbl>
    <w:p>
      <w:pPr>
        <w:spacing w:line="240" w:lineRule="exact"/>
      </w:pPr>
    </w:p>
    <w:tbl>
      <w:tblPr>
        <w:tblStyle w:val="20"/>
        <w:tblW w:w="917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33"/>
        <w:gridCol w:w="134"/>
        <w:gridCol w:w="942"/>
        <w:gridCol w:w="475"/>
        <w:gridCol w:w="573"/>
        <w:gridCol w:w="1274"/>
        <w:gridCol w:w="1315"/>
        <w:gridCol w:w="35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4" w:hRule="atLeast"/>
          <w:jc w:val="center"/>
        </w:trPr>
        <w:tc>
          <w:tcPr>
            <w:tcW w:w="5646" w:type="dxa"/>
            <w:gridSpan w:val="7"/>
            <w:tcBorders>
              <w:top w:val="single" w:color="auto" w:sz="12" w:space="0"/>
              <w:bottom w:val="single" w:color="auto" w:sz="4" w:space="0"/>
              <w:right w:val="single" w:color="auto" w:sz="4" w:space="0"/>
            </w:tcBorders>
            <w:vAlign w:val="center"/>
          </w:tcPr>
          <w:p>
            <w:pPr>
              <w:spacing w:line="300" w:lineRule="exact"/>
              <w:jc w:val="center"/>
              <w:rPr>
                <w:rFonts w:ascii="黑体" w:eastAsia="黑体"/>
                <w:b/>
                <w:bCs/>
              </w:rPr>
            </w:pPr>
            <w:r>
              <w:rPr>
                <w:rFonts w:hint="eastAsia" w:ascii="黑体" w:eastAsia="黑体"/>
                <w:b/>
                <w:bCs/>
              </w:rPr>
              <w:t>评分因素与分值</w:t>
            </w:r>
          </w:p>
        </w:tc>
        <w:tc>
          <w:tcPr>
            <w:tcW w:w="3529" w:type="dxa"/>
            <w:vMerge w:val="restart"/>
            <w:tcBorders>
              <w:top w:val="single" w:color="auto" w:sz="12" w:space="0"/>
              <w:left w:val="single" w:color="auto" w:sz="4" w:space="0"/>
              <w:bottom w:val="single" w:color="auto" w:sz="4" w:space="0"/>
              <w:right w:val="single" w:color="auto" w:sz="12" w:space="0"/>
            </w:tcBorders>
            <w:vAlign w:val="center"/>
          </w:tcPr>
          <w:p>
            <w:pPr>
              <w:spacing w:line="300" w:lineRule="exact"/>
              <w:jc w:val="center"/>
              <w:rPr>
                <w:rFonts w:ascii="黑体" w:eastAsia="黑体"/>
              </w:rPr>
            </w:pPr>
            <w:r>
              <w:rPr>
                <w:rFonts w:hint="eastAsia" w:ascii="黑体" w:eastAsia="黑体"/>
                <w:b/>
                <w:bCs/>
              </w:rPr>
              <w:t>评分标准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933" w:type="dxa"/>
            <w:tcBorders>
              <w:top w:val="single" w:color="auto" w:sz="4" w:space="0"/>
              <w:bottom w:val="single" w:color="auto" w:sz="4" w:space="0"/>
              <w:right w:val="single" w:color="auto" w:sz="4" w:space="0"/>
            </w:tcBorders>
            <w:vAlign w:val="center"/>
          </w:tcPr>
          <w:p>
            <w:pPr>
              <w:spacing w:line="300" w:lineRule="exact"/>
              <w:jc w:val="center"/>
              <w:rPr>
                <w:rFonts w:ascii="黑体" w:eastAsia="黑体"/>
                <w:b/>
                <w:bCs/>
              </w:rPr>
            </w:pPr>
            <w:r>
              <w:rPr>
                <w:rFonts w:hint="eastAsia" w:ascii="黑体" w:eastAsia="黑体"/>
                <w:b/>
                <w:bCs/>
              </w:rPr>
              <w:t>条款号</w:t>
            </w:r>
          </w:p>
        </w:tc>
        <w:tc>
          <w:tcPr>
            <w:tcW w:w="1076"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eastAsia="黑体"/>
                <w:b/>
                <w:bCs/>
              </w:rPr>
            </w:pPr>
            <w:r>
              <w:rPr>
                <w:rFonts w:hint="eastAsia" w:ascii="黑体" w:eastAsia="黑体"/>
                <w:b/>
                <w:bCs/>
              </w:rPr>
              <w:t>评分因素</w:t>
            </w:r>
          </w:p>
        </w:tc>
        <w:tc>
          <w:tcPr>
            <w:tcW w:w="104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eastAsia="黑体"/>
                <w:b/>
                <w:bCs/>
              </w:rPr>
            </w:pPr>
            <w:r>
              <w:rPr>
                <w:rFonts w:hint="eastAsia" w:ascii="黑体" w:eastAsia="黑体"/>
                <w:b/>
                <w:bCs/>
              </w:rPr>
              <w:t>权重分值</w:t>
            </w:r>
          </w:p>
        </w:tc>
        <w:tc>
          <w:tcPr>
            <w:tcW w:w="127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eastAsia="黑体"/>
                <w:b/>
                <w:bCs/>
              </w:rPr>
            </w:pPr>
            <w:r>
              <w:rPr>
                <w:rFonts w:hint="eastAsia" w:ascii="黑体" w:eastAsia="黑体"/>
                <w:b/>
                <w:bCs/>
              </w:rPr>
              <w:t>各评分因素细分项</w:t>
            </w:r>
          </w:p>
        </w:tc>
        <w:tc>
          <w:tcPr>
            <w:tcW w:w="131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eastAsia="黑体"/>
                <w:b/>
                <w:bCs/>
              </w:rPr>
            </w:pPr>
            <w:r>
              <w:rPr>
                <w:rFonts w:hint="eastAsia" w:ascii="黑体" w:eastAsia="黑体"/>
                <w:b/>
                <w:bCs/>
              </w:rPr>
              <w:t>分值</w:t>
            </w:r>
          </w:p>
        </w:tc>
        <w:tc>
          <w:tcPr>
            <w:tcW w:w="3529" w:type="dxa"/>
            <w:vMerge w:val="continue"/>
            <w:tcBorders>
              <w:top w:val="single" w:color="auto" w:sz="4" w:space="0"/>
              <w:left w:val="single" w:color="auto" w:sz="4" w:space="0"/>
              <w:bottom w:val="single" w:color="auto" w:sz="4" w:space="0"/>
              <w:right w:val="single" w:color="auto" w:sz="12" w:space="0"/>
            </w:tcBorders>
            <w:vAlign w:val="center"/>
          </w:tcPr>
          <w:p>
            <w:pPr>
              <w:spacing w:line="300" w:lineRule="exact"/>
              <w:jc w:val="center"/>
              <w:rPr>
                <w:rFonts w:ascii="黑体" w:eastAsia="黑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8" w:hRule="atLeast"/>
          <w:jc w:val="center"/>
        </w:trPr>
        <w:tc>
          <w:tcPr>
            <w:tcW w:w="933" w:type="dxa"/>
            <w:vMerge w:val="restart"/>
            <w:tcBorders>
              <w:top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2.2.4（2）</w:t>
            </w:r>
          </w:p>
        </w:tc>
        <w:tc>
          <w:tcPr>
            <w:tcW w:w="1076"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rPr>
            </w:pPr>
            <w:r>
              <w:rPr>
                <w:rFonts w:hint="eastAsia" w:ascii="仿宋" w:hAnsi="仿宋" w:eastAsia="仿宋" w:cs="仿宋"/>
              </w:rPr>
              <w:t>技术评价</w:t>
            </w:r>
          </w:p>
        </w:tc>
        <w:tc>
          <w:tcPr>
            <w:tcW w:w="104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rPr>
            </w:pPr>
            <w:r>
              <w:rPr>
                <w:rFonts w:hint="eastAsia" w:ascii="仿宋" w:hAnsi="仿宋" w:eastAsia="仿宋" w:cs="仿宋"/>
              </w:rPr>
              <w:t>6分</w:t>
            </w:r>
          </w:p>
        </w:tc>
        <w:tc>
          <w:tcPr>
            <w:tcW w:w="127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rPr>
            </w:pPr>
            <w:r>
              <w:rPr>
                <w:rFonts w:hint="eastAsia" w:ascii="仿宋" w:hAnsi="仿宋" w:eastAsia="仿宋" w:cs="仿宋"/>
              </w:rPr>
              <w:t>质量检测</w:t>
            </w:r>
          </w:p>
          <w:p>
            <w:pPr>
              <w:spacing w:line="240" w:lineRule="exact"/>
              <w:jc w:val="center"/>
              <w:rPr>
                <w:rFonts w:ascii="仿宋" w:hAnsi="仿宋" w:eastAsia="仿宋" w:cs="仿宋"/>
              </w:rPr>
            </w:pPr>
            <w:r>
              <w:rPr>
                <w:rFonts w:hint="eastAsia" w:ascii="仿宋" w:hAnsi="仿宋" w:eastAsia="仿宋" w:cs="仿宋"/>
              </w:rPr>
              <w:t>设备</w:t>
            </w:r>
          </w:p>
        </w:tc>
        <w:tc>
          <w:tcPr>
            <w:tcW w:w="1315" w:type="dxa"/>
            <w:tcBorders>
              <w:top w:val="single" w:color="auto" w:sz="4" w:space="0"/>
              <w:left w:val="single" w:color="auto" w:sz="4" w:space="0"/>
              <w:bottom w:val="single" w:color="auto" w:sz="4" w:space="0"/>
              <w:right w:val="single" w:color="auto" w:sz="4" w:space="0"/>
            </w:tcBorders>
            <w:vAlign w:val="center"/>
          </w:tcPr>
          <w:p>
            <w:pPr>
              <w:spacing w:line="240" w:lineRule="exact"/>
              <w:ind w:left="-105" w:leftChars="-50" w:right="-105" w:rightChars="-50"/>
              <w:jc w:val="center"/>
              <w:rPr>
                <w:rFonts w:ascii="仿宋" w:hAnsi="仿宋" w:eastAsia="仿宋" w:cs="仿宋"/>
              </w:rPr>
            </w:pPr>
            <w:r>
              <w:rPr>
                <w:rFonts w:hint="eastAsia" w:ascii="仿宋" w:hAnsi="仿宋" w:eastAsia="仿宋" w:cs="仿宋"/>
              </w:rPr>
              <w:t>0～1.0</w:t>
            </w:r>
          </w:p>
          <w:p>
            <w:pPr>
              <w:spacing w:line="240" w:lineRule="exact"/>
              <w:ind w:left="-105" w:leftChars="-50" w:right="-105" w:rightChars="-50"/>
              <w:jc w:val="center"/>
              <w:rPr>
                <w:rFonts w:ascii="仿宋" w:hAnsi="仿宋" w:eastAsia="仿宋" w:cs="仿宋"/>
              </w:rPr>
            </w:pPr>
            <w:r>
              <w:rPr>
                <w:rFonts w:ascii="仿宋" w:hAnsi="仿宋" w:eastAsia="仿宋" w:cs="仿宋"/>
              </w:rPr>
              <w:t>分</w:t>
            </w:r>
          </w:p>
        </w:tc>
        <w:tc>
          <w:tcPr>
            <w:tcW w:w="3529" w:type="dxa"/>
            <w:tcBorders>
              <w:top w:val="single" w:color="auto" w:sz="4" w:space="0"/>
              <w:left w:val="single" w:color="auto" w:sz="4" w:space="0"/>
              <w:bottom w:val="single" w:color="auto" w:sz="4" w:space="0"/>
              <w:right w:val="single" w:color="auto" w:sz="12" w:space="0"/>
            </w:tcBorders>
            <w:vAlign w:val="center"/>
          </w:tcPr>
          <w:p>
            <w:pPr>
              <w:spacing w:line="240" w:lineRule="exact"/>
              <w:ind w:right="105" w:rightChars="50"/>
              <w:jc w:val="left"/>
              <w:rPr>
                <w:rFonts w:ascii="仿宋" w:hAnsi="仿宋" w:eastAsia="仿宋" w:cs="仿宋"/>
              </w:rPr>
            </w:pPr>
            <w:r>
              <w:rPr>
                <w:rFonts w:hint="eastAsia" w:ascii="仿宋" w:hAnsi="仿宋" w:eastAsia="仿宋" w:cs="仿宋"/>
              </w:rPr>
              <w:t>不满足</w:t>
            </w:r>
            <w:bookmarkStart w:id="1988" w:name="OLE_LINK13"/>
            <w:bookmarkStart w:id="1989" w:name="OLE_LINK6"/>
            <w:r>
              <w:rPr>
                <w:rFonts w:hint="eastAsia" w:ascii="仿宋" w:hAnsi="仿宋" w:eastAsia="仿宋" w:cs="仿宋"/>
              </w:rPr>
              <w:t>招标文件要求</w:t>
            </w:r>
            <w:bookmarkEnd w:id="1988"/>
            <w:bookmarkEnd w:id="1989"/>
            <w:r>
              <w:rPr>
                <w:rFonts w:hint="eastAsia" w:ascii="仿宋" w:hAnsi="仿宋" w:eastAsia="仿宋" w:cs="仿宋"/>
              </w:rPr>
              <w:t>得0分，仅满足资审要求得0.5分，功能有提高、水平更先进加0.5分。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37" w:hRule="atLeast"/>
          <w:jc w:val="center"/>
        </w:trPr>
        <w:tc>
          <w:tcPr>
            <w:tcW w:w="933" w:type="dxa"/>
            <w:vMerge w:val="continue"/>
            <w:tcBorders>
              <w:top w:val="single" w:color="auto" w:sz="4" w:space="0"/>
              <w:bottom w:val="single" w:color="auto" w:sz="4" w:space="0"/>
              <w:right w:val="single" w:color="auto" w:sz="4" w:space="0"/>
            </w:tcBorders>
            <w:vAlign w:val="center"/>
          </w:tcPr>
          <w:p>
            <w:pPr>
              <w:spacing w:line="300" w:lineRule="exact"/>
              <w:jc w:val="center"/>
              <w:rPr>
                <w:rFonts w:ascii="仿宋" w:hAnsi="仿宋" w:eastAsia="仿宋" w:cs="仿宋"/>
              </w:rPr>
            </w:pPr>
          </w:p>
        </w:tc>
        <w:tc>
          <w:tcPr>
            <w:tcW w:w="1076"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rPr>
            </w:pPr>
          </w:p>
        </w:tc>
        <w:tc>
          <w:tcPr>
            <w:tcW w:w="104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rPr>
            </w:pPr>
          </w:p>
        </w:tc>
        <w:tc>
          <w:tcPr>
            <w:tcW w:w="127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rPr>
            </w:pPr>
            <w:r>
              <w:rPr>
                <w:rFonts w:hint="eastAsia" w:ascii="仿宋" w:hAnsi="仿宋" w:eastAsia="仿宋" w:cs="仿宋"/>
              </w:rPr>
              <w:t>技术人员</w:t>
            </w:r>
          </w:p>
          <w:p>
            <w:pPr>
              <w:spacing w:line="240" w:lineRule="exact"/>
              <w:jc w:val="center"/>
              <w:rPr>
                <w:rFonts w:ascii="仿宋" w:hAnsi="仿宋" w:eastAsia="仿宋" w:cs="仿宋"/>
              </w:rPr>
            </w:pPr>
            <w:r>
              <w:rPr>
                <w:rFonts w:hint="eastAsia" w:ascii="仿宋" w:hAnsi="仿宋" w:eastAsia="仿宋" w:cs="仿宋"/>
              </w:rPr>
              <w:t>配置</w:t>
            </w:r>
          </w:p>
        </w:tc>
        <w:tc>
          <w:tcPr>
            <w:tcW w:w="131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rPr>
            </w:pPr>
            <w:r>
              <w:rPr>
                <w:rFonts w:hint="eastAsia" w:ascii="仿宋" w:hAnsi="仿宋" w:eastAsia="仿宋" w:cs="仿宋"/>
              </w:rPr>
              <w:t>1.5～2.0</w:t>
            </w:r>
            <w:r>
              <w:rPr>
                <w:rFonts w:ascii="仿宋" w:hAnsi="仿宋" w:eastAsia="仿宋" w:cs="仿宋"/>
              </w:rPr>
              <w:t>分</w:t>
            </w:r>
          </w:p>
        </w:tc>
        <w:tc>
          <w:tcPr>
            <w:tcW w:w="3529" w:type="dxa"/>
            <w:tcBorders>
              <w:top w:val="single" w:color="auto" w:sz="4" w:space="0"/>
              <w:left w:val="single" w:color="auto" w:sz="4" w:space="0"/>
              <w:bottom w:val="single" w:color="auto" w:sz="4" w:space="0"/>
              <w:right w:val="single" w:color="auto" w:sz="12" w:space="0"/>
            </w:tcBorders>
            <w:vAlign w:val="center"/>
          </w:tcPr>
          <w:p>
            <w:pPr>
              <w:spacing w:line="240" w:lineRule="exact"/>
              <w:ind w:right="105" w:rightChars="50"/>
              <w:rPr>
                <w:rFonts w:ascii="仿宋" w:hAnsi="仿宋" w:eastAsia="仿宋" w:cs="仿宋"/>
              </w:rPr>
            </w:pPr>
            <w:r>
              <w:rPr>
                <w:rFonts w:hint="eastAsia" w:ascii="仿宋" w:hAnsi="仿宋" w:eastAsia="仿宋" w:cs="仿宋"/>
              </w:rPr>
              <w:t>仅满足资审要求得1.5分，资历和经验较为丰富的酌情加分，最多加0.5分。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44" w:hRule="atLeast"/>
          <w:jc w:val="center"/>
        </w:trPr>
        <w:tc>
          <w:tcPr>
            <w:tcW w:w="933" w:type="dxa"/>
            <w:vMerge w:val="continue"/>
            <w:tcBorders>
              <w:top w:val="single" w:color="auto" w:sz="4" w:space="0"/>
              <w:bottom w:val="single" w:color="auto" w:sz="4" w:space="0"/>
              <w:right w:val="single" w:color="auto" w:sz="4" w:space="0"/>
            </w:tcBorders>
            <w:vAlign w:val="center"/>
          </w:tcPr>
          <w:p>
            <w:pPr>
              <w:spacing w:line="300" w:lineRule="exact"/>
              <w:jc w:val="center"/>
              <w:rPr>
                <w:rFonts w:ascii="仿宋" w:hAnsi="仿宋" w:eastAsia="仿宋" w:cs="仿宋"/>
              </w:rPr>
            </w:pPr>
          </w:p>
        </w:tc>
        <w:tc>
          <w:tcPr>
            <w:tcW w:w="1076"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rPr>
            </w:pPr>
          </w:p>
        </w:tc>
        <w:tc>
          <w:tcPr>
            <w:tcW w:w="104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rPr>
            </w:pPr>
          </w:p>
        </w:tc>
        <w:tc>
          <w:tcPr>
            <w:tcW w:w="127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rPr>
            </w:pPr>
            <w:r>
              <w:rPr>
                <w:rFonts w:hint="eastAsia" w:ascii="仿宋" w:hAnsi="仿宋" w:eastAsia="仿宋" w:cs="仿宋"/>
              </w:rPr>
              <w:t>养护机械</w:t>
            </w:r>
          </w:p>
          <w:p>
            <w:pPr>
              <w:spacing w:line="240" w:lineRule="exact"/>
              <w:jc w:val="center"/>
              <w:rPr>
                <w:rFonts w:ascii="仿宋" w:hAnsi="仿宋" w:eastAsia="仿宋" w:cs="仿宋"/>
              </w:rPr>
            </w:pPr>
            <w:r>
              <w:rPr>
                <w:rFonts w:hint="eastAsia" w:ascii="仿宋" w:hAnsi="仿宋" w:eastAsia="仿宋" w:cs="仿宋"/>
              </w:rPr>
              <w:t>设备配置</w:t>
            </w:r>
          </w:p>
        </w:tc>
        <w:tc>
          <w:tcPr>
            <w:tcW w:w="131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rPr>
            </w:pPr>
            <w:r>
              <w:rPr>
                <w:rFonts w:hint="eastAsia" w:ascii="仿宋" w:hAnsi="仿宋" w:eastAsia="仿宋" w:cs="仿宋"/>
              </w:rPr>
              <w:t>0～1.5</w:t>
            </w:r>
            <w:r>
              <w:rPr>
                <w:rFonts w:ascii="仿宋" w:hAnsi="仿宋" w:eastAsia="仿宋" w:cs="仿宋"/>
              </w:rPr>
              <w:t>分</w:t>
            </w:r>
          </w:p>
        </w:tc>
        <w:tc>
          <w:tcPr>
            <w:tcW w:w="3529" w:type="dxa"/>
            <w:tcBorders>
              <w:top w:val="single" w:color="auto" w:sz="4" w:space="0"/>
              <w:left w:val="single" w:color="auto" w:sz="4" w:space="0"/>
              <w:bottom w:val="single" w:color="auto" w:sz="4" w:space="0"/>
              <w:right w:val="single" w:color="auto" w:sz="12" w:space="0"/>
            </w:tcBorders>
            <w:vAlign w:val="center"/>
          </w:tcPr>
          <w:p>
            <w:pPr>
              <w:spacing w:line="240" w:lineRule="exact"/>
              <w:rPr>
                <w:rFonts w:ascii="仿宋" w:hAnsi="仿宋" w:eastAsia="仿宋" w:cs="仿宋"/>
                <w:szCs w:val="21"/>
              </w:rPr>
            </w:pPr>
            <w:r>
              <w:rPr>
                <w:rFonts w:hint="eastAsia" w:ascii="仿宋" w:hAnsi="仿宋" w:eastAsia="仿宋" w:cs="仿宋"/>
              </w:rPr>
              <w:t>不满足招标文件要求得0分，</w:t>
            </w:r>
            <w:r>
              <w:rPr>
                <w:rFonts w:hint="eastAsia" w:ascii="仿宋" w:hAnsi="仿宋" w:eastAsia="仿宋" w:cs="仿宋"/>
                <w:szCs w:val="21"/>
              </w:rPr>
              <w:t>仅满足资审要求得0.5分；设备配置合理、功能有提高、水平更先进的酌情加分，最多加 0.5 分。沥青拌合楼在项目所在地具有自有或租赁的加0.5分。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38" w:hRule="atLeast"/>
          <w:jc w:val="center"/>
        </w:trPr>
        <w:tc>
          <w:tcPr>
            <w:tcW w:w="933" w:type="dxa"/>
            <w:vMerge w:val="continue"/>
            <w:tcBorders>
              <w:top w:val="single" w:color="auto" w:sz="4" w:space="0"/>
              <w:bottom w:val="single" w:color="auto" w:sz="4" w:space="0"/>
              <w:right w:val="single" w:color="auto" w:sz="4" w:space="0"/>
            </w:tcBorders>
            <w:vAlign w:val="center"/>
          </w:tcPr>
          <w:p>
            <w:pPr>
              <w:jc w:val="center"/>
              <w:rPr>
                <w:rFonts w:ascii="仿宋" w:hAnsi="仿宋" w:eastAsia="仿宋" w:cs="仿宋"/>
              </w:rPr>
            </w:pPr>
          </w:p>
        </w:tc>
        <w:tc>
          <w:tcPr>
            <w:tcW w:w="1076"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rPr>
            </w:pPr>
          </w:p>
        </w:tc>
        <w:tc>
          <w:tcPr>
            <w:tcW w:w="104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rPr>
            </w:pPr>
          </w:p>
        </w:tc>
        <w:tc>
          <w:tcPr>
            <w:tcW w:w="127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rPr>
            </w:pPr>
            <w:r>
              <w:rPr>
                <w:rFonts w:hint="eastAsia" w:ascii="仿宋" w:hAnsi="仿宋" w:eastAsia="仿宋" w:cs="仿宋"/>
              </w:rPr>
              <w:t>养护技术</w:t>
            </w:r>
          </w:p>
          <w:p>
            <w:pPr>
              <w:spacing w:line="240" w:lineRule="exact"/>
              <w:jc w:val="center"/>
              <w:rPr>
                <w:rFonts w:ascii="仿宋" w:hAnsi="仿宋" w:eastAsia="仿宋" w:cs="仿宋"/>
              </w:rPr>
            </w:pPr>
            <w:r>
              <w:rPr>
                <w:rFonts w:hint="eastAsia" w:ascii="仿宋" w:hAnsi="仿宋" w:eastAsia="仿宋" w:cs="仿宋"/>
              </w:rPr>
              <w:t>方案</w:t>
            </w:r>
          </w:p>
        </w:tc>
        <w:tc>
          <w:tcPr>
            <w:tcW w:w="1315" w:type="dxa"/>
            <w:tcBorders>
              <w:top w:val="single" w:color="auto" w:sz="4" w:space="0"/>
              <w:left w:val="single" w:color="auto" w:sz="4" w:space="0"/>
              <w:bottom w:val="single" w:color="auto" w:sz="4" w:space="0"/>
              <w:right w:val="single" w:color="auto" w:sz="4" w:space="0"/>
            </w:tcBorders>
            <w:vAlign w:val="center"/>
          </w:tcPr>
          <w:p>
            <w:pPr>
              <w:spacing w:line="240" w:lineRule="exact"/>
              <w:ind w:left="-105" w:leftChars="-50" w:right="-105" w:rightChars="-50"/>
              <w:jc w:val="center"/>
              <w:rPr>
                <w:rFonts w:ascii="仿宋" w:hAnsi="仿宋" w:eastAsia="仿宋" w:cs="仿宋"/>
              </w:rPr>
            </w:pPr>
            <w:r>
              <w:rPr>
                <w:rFonts w:ascii="仿宋" w:hAnsi="仿宋" w:eastAsia="仿宋" w:cs="仿宋"/>
              </w:rPr>
              <w:t>0.5</w:t>
            </w:r>
            <w:r>
              <w:rPr>
                <w:rFonts w:hint="eastAsia" w:ascii="仿宋" w:hAnsi="仿宋" w:eastAsia="仿宋" w:cs="仿宋"/>
              </w:rPr>
              <w:t>～1.5</w:t>
            </w:r>
          </w:p>
          <w:p>
            <w:pPr>
              <w:spacing w:line="240" w:lineRule="exact"/>
              <w:jc w:val="center"/>
              <w:rPr>
                <w:rFonts w:ascii="仿宋" w:hAnsi="仿宋" w:eastAsia="仿宋" w:cs="仿宋"/>
              </w:rPr>
            </w:pPr>
            <w:r>
              <w:rPr>
                <w:rFonts w:ascii="仿宋" w:hAnsi="仿宋" w:eastAsia="仿宋" w:cs="仿宋"/>
              </w:rPr>
              <w:t>分</w:t>
            </w:r>
          </w:p>
        </w:tc>
        <w:tc>
          <w:tcPr>
            <w:tcW w:w="3529" w:type="dxa"/>
            <w:tcBorders>
              <w:top w:val="single" w:color="auto" w:sz="4" w:space="0"/>
              <w:left w:val="single" w:color="auto" w:sz="4" w:space="0"/>
              <w:bottom w:val="single" w:color="auto" w:sz="4" w:space="0"/>
              <w:right w:val="single" w:color="auto" w:sz="12" w:space="0"/>
            </w:tcBorders>
            <w:vAlign w:val="center"/>
          </w:tcPr>
          <w:p>
            <w:pPr>
              <w:spacing w:line="240" w:lineRule="exact"/>
              <w:ind w:right="105" w:rightChars="50"/>
              <w:rPr>
                <w:rFonts w:ascii="仿宋" w:hAnsi="仿宋" w:eastAsia="仿宋" w:cs="仿宋"/>
              </w:rPr>
            </w:pPr>
            <w:r>
              <w:rPr>
                <w:rFonts w:hint="eastAsia" w:ascii="仿宋" w:hAnsi="仿宋" w:eastAsia="仿宋" w:cs="仿宋"/>
              </w:rPr>
              <w:t>养护作业和保畅方案表述清楚、合理、可行得0.5分，方案关键技术符合实际，实施的路线明确的酌情加分，最多加1.0分。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0" w:hRule="atLeast"/>
          <w:jc w:val="center"/>
        </w:trPr>
        <w:tc>
          <w:tcPr>
            <w:tcW w:w="933" w:type="dxa"/>
            <w:vMerge w:val="restart"/>
            <w:tcBorders>
              <w:top w:val="single" w:color="auto" w:sz="4" w:space="0"/>
              <w:bottom w:val="single" w:color="auto" w:sz="4" w:space="0"/>
              <w:right w:val="single" w:color="auto" w:sz="4" w:space="0"/>
            </w:tcBorders>
            <w:vAlign w:val="center"/>
          </w:tcPr>
          <w:p>
            <w:pPr>
              <w:spacing w:line="300" w:lineRule="exact"/>
              <w:jc w:val="center"/>
              <w:rPr>
                <w:rFonts w:ascii="仿宋" w:hAnsi="仿宋" w:eastAsia="仿宋" w:cs="仿宋"/>
              </w:rPr>
            </w:pPr>
            <w:r>
              <w:rPr>
                <w:rFonts w:hint="eastAsia" w:ascii="仿宋" w:hAnsi="仿宋" w:eastAsia="仿宋" w:cs="仿宋"/>
              </w:rPr>
              <w:t>2.2.4（3）</w:t>
            </w:r>
          </w:p>
        </w:tc>
        <w:tc>
          <w:tcPr>
            <w:tcW w:w="1076"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rPr>
            </w:pPr>
            <w:r>
              <w:rPr>
                <w:rFonts w:hint="eastAsia" w:ascii="仿宋" w:hAnsi="仿宋" w:eastAsia="仿宋" w:cs="仿宋"/>
              </w:rPr>
              <w:t>管理水平</w:t>
            </w:r>
          </w:p>
        </w:tc>
        <w:tc>
          <w:tcPr>
            <w:tcW w:w="104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rPr>
            </w:pPr>
            <w:r>
              <w:rPr>
                <w:rFonts w:hint="eastAsia" w:ascii="仿宋" w:hAnsi="仿宋" w:eastAsia="仿宋" w:cs="仿宋"/>
              </w:rPr>
              <w:t>3分</w:t>
            </w:r>
          </w:p>
        </w:tc>
        <w:tc>
          <w:tcPr>
            <w:tcW w:w="127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rPr>
            </w:pPr>
            <w:r>
              <w:rPr>
                <w:rFonts w:hint="eastAsia" w:ascii="仿宋" w:hAnsi="仿宋" w:eastAsia="仿宋" w:cs="仿宋"/>
              </w:rPr>
              <w:t>养护组织</w:t>
            </w:r>
          </w:p>
          <w:p>
            <w:pPr>
              <w:spacing w:line="240" w:lineRule="exact"/>
              <w:jc w:val="center"/>
              <w:rPr>
                <w:rFonts w:ascii="仿宋" w:hAnsi="仿宋" w:eastAsia="仿宋" w:cs="仿宋"/>
              </w:rPr>
            </w:pPr>
            <w:r>
              <w:rPr>
                <w:rFonts w:hint="eastAsia" w:ascii="仿宋" w:hAnsi="仿宋" w:eastAsia="仿宋" w:cs="仿宋"/>
              </w:rPr>
              <w:t>机构</w:t>
            </w:r>
          </w:p>
        </w:tc>
        <w:tc>
          <w:tcPr>
            <w:tcW w:w="1315" w:type="dxa"/>
            <w:tcBorders>
              <w:top w:val="single" w:color="auto" w:sz="4" w:space="0"/>
              <w:left w:val="single" w:color="auto" w:sz="4" w:space="0"/>
              <w:bottom w:val="single" w:color="auto" w:sz="4" w:space="0"/>
              <w:right w:val="single" w:color="auto" w:sz="4" w:space="0"/>
            </w:tcBorders>
            <w:vAlign w:val="center"/>
          </w:tcPr>
          <w:p>
            <w:pPr>
              <w:spacing w:line="240" w:lineRule="exact"/>
              <w:ind w:left="-105" w:leftChars="-50" w:right="-105" w:rightChars="-50"/>
              <w:jc w:val="center"/>
              <w:rPr>
                <w:rFonts w:ascii="仿宋" w:hAnsi="仿宋" w:eastAsia="仿宋" w:cs="仿宋"/>
              </w:rPr>
            </w:pPr>
            <w:r>
              <w:rPr>
                <w:rFonts w:hint="eastAsia" w:ascii="仿宋" w:hAnsi="仿宋" w:eastAsia="仿宋" w:cs="仿宋"/>
              </w:rPr>
              <w:t>0.5～1.0分</w:t>
            </w:r>
          </w:p>
        </w:tc>
        <w:tc>
          <w:tcPr>
            <w:tcW w:w="3529" w:type="dxa"/>
            <w:tcBorders>
              <w:top w:val="single" w:color="auto" w:sz="4" w:space="0"/>
              <w:left w:val="single" w:color="auto" w:sz="4" w:space="0"/>
              <w:bottom w:val="single" w:color="auto" w:sz="4" w:space="0"/>
              <w:right w:val="single" w:color="auto" w:sz="12" w:space="0"/>
            </w:tcBorders>
            <w:vAlign w:val="center"/>
          </w:tcPr>
          <w:p>
            <w:pPr>
              <w:spacing w:line="240" w:lineRule="exact"/>
              <w:ind w:right="105" w:rightChars="50"/>
              <w:rPr>
                <w:rFonts w:ascii="仿宋" w:hAnsi="仿宋" w:eastAsia="仿宋" w:cs="仿宋"/>
              </w:rPr>
            </w:pPr>
            <w:r>
              <w:rPr>
                <w:rFonts w:hint="eastAsia" w:ascii="仿宋" w:hAnsi="仿宋" w:eastAsia="仿宋" w:cs="仿宋"/>
              </w:rPr>
              <w:t>分工合理、职责明确得1.0分，根据欠缺情况酌情减分至最低0.5分；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1" w:hRule="atLeast"/>
          <w:jc w:val="center"/>
        </w:trPr>
        <w:tc>
          <w:tcPr>
            <w:tcW w:w="933" w:type="dxa"/>
            <w:vMerge w:val="continue"/>
            <w:tcBorders>
              <w:top w:val="single" w:color="auto" w:sz="4" w:space="0"/>
              <w:bottom w:val="single" w:color="auto" w:sz="4" w:space="0"/>
              <w:right w:val="single" w:color="auto" w:sz="4" w:space="0"/>
            </w:tcBorders>
            <w:vAlign w:val="center"/>
          </w:tcPr>
          <w:p>
            <w:pPr>
              <w:spacing w:line="300" w:lineRule="exact"/>
              <w:jc w:val="center"/>
              <w:rPr>
                <w:rFonts w:ascii="仿宋" w:hAnsi="仿宋" w:eastAsia="仿宋" w:cs="仿宋"/>
              </w:rPr>
            </w:pPr>
          </w:p>
        </w:tc>
        <w:tc>
          <w:tcPr>
            <w:tcW w:w="1076"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rPr>
            </w:pPr>
          </w:p>
        </w:tc>
        <w:tc>
          <w:tcPr>
            <w:tcW w:w="104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rPr>
            </w:pPr>
          </w:p>
        </w:tc>
        <w:tc>
          <w:tcPr>
            <w:tcW w:w="127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rPr>
            </w:pPr>
            <w:r>
              <w:rPr>
                <w:rFonts w:hint="eastAsia" w:ascii="仿宋" w:hAnsi="仿宋" w:eastAsia="仿宋" w:cs="仿宋"/>
              </w:rPr>
              <w:t>质量保证</w:t>
            </w:r>
          </w:p>
          <w:p>
            <w:pPr>
              <w:spacing w:line="240" w:lineRule="exact"/>
              <w:jc w:val="center"/>
              <w:rPr>
                <w:rFonts w:ascii="仿宋" w:hAnsi="仿宋" w:eastAsia="仿宋" w:cs="仿宋"/>
              </w:rPr>
            </w:pPr>
            <w:r>
              <w:rPr>
                <w:rFonts w:hint="eastAsia" w:ascii="仿宋" w:hAnsi="仿宋" w:eastAsia="仿宋" w:cs="仿宋"/>
              </w:rPr>
              <w:t>和保畅</w:t>
            </w:r>
          </w:p>
        </w:tc>
        <w:tc>
          <w:tcPr>
            <w:tcW w:w="1315" w:type="dxa"/>
            <w:tcBorders>
              <w:top w:val="single" w:color="auto" w:sz="4" w:space="0"/>
              <w:left w:val="single" w:color="auto" w:sz="4" w:space="0"/>
              <w:bottom w:val="single" w:color="auto" w:sz="4" w:space="0"/>
              <w:right w:val="single" w:color="auto" w:sz="4" w:space="0"/>
            </w:tcBorders>
            <w:vAlign w:val="center"/>
          </w:tcPr>
          <w:p>
            <w:pPr>
              <w:spacing w:line="240" w:lineRule="exact"/>
              <w:ind w:left="-105" w:leftChars="-50" w:right="-105" w:rightChars="-50"/>
              <w:jc w:val="center"/>
              <w:rPr>
                <w:rFonts w:ascii="仿宋" w:hAnsi="仿宋" w:eastAsia="仿宋" w:cs="仿宋"/>
              </w:rPr>
            </w:pPr>
            <w:r>
              <w:rPr>
                <w:rFonts w:hint="eastAsia" w:ascii="仿宋" w:hAnsi="仿宋" w:eastAsia="仿宋" w:cs="仿宋"/>
              </w:rPr>
              <w:t>1.5～2.0分</w:t>
            </w:r>
          </w:p>
        </w:tc>
        <w:tc>
          <w:tcPr>
            <w:tcW w:w="3529" w:type="dxa"/>
            <w:tcBorders>
              <w:top w:val="single" w:color="auto" w:sz="4" w:space="0"/>
              <w:left w:val="single" w:color="auto" w:sz="4" w:space="0"/>
              <w:bottom w:val="single" w:color="auto" w:sz="4" w:space="0"/>
              <w:right w:val="single" w:color="auto" w:sz="12" w:space="0"/>
            </w:tcBorders>
            <w:vAlign w:val="center"/>
          </w:tcPr>
          <w:p>
            <w:pPr>
              <w:spacing w:line="240" w:lineRule="exact"/>
              <w:ind w:right="105" w:rightChars="50"/>
              <w:rPr>
                <w:rFonts w:ascii="仿宋" w:hAnsi="仿宋" w:eastAsia="仿宋" w:cs="仿宋"/>
              </w:rPr>
            </w:pPr>
            <w:r>
              <w:rPr>
                <w:rFonts w:hint="eastAsia" w:ascii="仿宋" w:hAnsi="仿宋" w:eastAsia="仿宋" w:cs="仿宋"/>
              </w:rPr>
              <w:t>措施得力得2.0分，根据欠缺情况酌情减分至最低1.5分。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933" w:type="dxa"/>
            <w:vMerge w:val="restart"/>
            <w:tcBorders>
              <w:top w:val="single" w:color="auto" w:sz="4" w:space="0"/>
              <w:bottom w:val="single" w:color="auto" w:sz="4" w:space="0"/>
              <w:right w:val="single" w:color="auto" w:sz="4" w:space="0"/>
            </w:tcBorders>
            <w:vAlign w:val="center"/>
          </w:tcPr>
          <w:p>
            <w:pPr>
              <w:spacing w:line="300" w:lineRule="exact"/>
              <w:jc w:val="center"/>
              <w:rPr>
                <w:rFonts w:ascii="仿宋" w:hAnsi="仿宋" w:eastAsia="仿宋" w:cs="仿宋"/>
                <w:b/>
                <w:bCs/>
                <w:color w:val="0000FF"/>
                <w:highlight w:val="yellow"/>
              </w:rPr>
            </w:pPr>
            <w:r>
              <w:rPr>
                <w:rFonts w:hint="eastAsia" w:ascii="仿宋" w:hAnsi="仿宋" w:eastAsia="仿宋" w:cs="仿宋"/>
                <w:b/>
                <w:bCs/>
                <w:color w:val="0000FF"/>
                <w:highlight w:val="yellow"/>
              </w:rPr>
              <w:t>2.2.4（4）</w:t>
            </w:r>
          </w:p>
        </w:tc>
        <w:tc>
          <w:tcPr>
            <w:tcW w:w="1076"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b/>
                <w:bCs/>
                <w:color w:val="0000FF"/>
                <w:highlight w:val="yellow"/>
              </w:rPr>
            </w:pPr>
            <w:r>
              <w:rPr>
                <w:rFonts w:hint="eastAsia" w:ascii="仿宋" w:hAnsi="仿宋" w:eastAsia="仿宋" w:cs="仿宋"/>
                <w:b/>
                <w:bCs/>
                <w:color w:val="0000FF"/>
                <w:highlight w:val="yellow"/>
              </w:rPr>
              <w:t>企业信用评价与信誉</w:t>
            </w:r>
          </w:p>
        </w:tc>
        <w:tc>
          <w:tcPr>
            <w:tcW w:w="104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b/>
                <w:bCs/>
                <w:color w:val="0000FF"/>
                <w:highlight w:val="yellow"/>
              </w:rPr>
            </w:pPr>
            <w:r>
              <w:rPr>
                <w:rFonts w:hint="eastAsia" w:ascii="仿宋" w:hAnsi="仿宋" w:eastAsia="仿宋" w:cs="仿宋"/>
                <w:b/>
                <w:bCs/>
                <w:color w:val="0000FF"/>
                <w:highlight w:val="yellow"/>
              </w:rPr>
              <w:t>-2~1分</w:t>
            </w:r>
          </w:p>
        </w:tc>
        <w:tc>
          <w:tcPr>
            <w:tcW w:w="127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bCs/>
                <w:color w:val="0000FF"/>
                <w:highlight w:val="yellow"/>
              </w:rPr>
            </w:pPr>
            <w:r>
              <w:rPr>
                <w:rFonts w:hint="eastAsia" w:ascii="仿宋" w:hAnsi="仿宋" w:eastAsia="仿宋" w:cs="仿宋"/>
                <w:b/>
                <w:bCs/>
                <w:color w:val="0000FF"/>
                <w:highlight w:val="yellow"/>
              </w:rPr>
              <w:t>企业信用评价</w:t>
            </w:r>
          </w:p>
        </w:tc>
        <w:tc>
          <w:tcPr>
            <w:tcW w:w="1315" w:type="dxa"/>
            <w:tcBorders>
              <w:top w:val="single" w:color="auto" w:sz="4" w:space="0"/>
              <w:left w:val="single" w:color="auto" w:sz="4" w:space="0"/>
              <w:bottom w:val="single" w:color="auto" w:sz="4" w:space="0"/>
              <w:right w:val="single" w:color="auto" w:sz="4" w:space="0"/>
            </w:tcBorders>
            <w:vAlign w:val="center"/>
          </w:tcPr>
          <w:p>
            <w:pPr>
              <w:spacing w:line="240" w:lineRule="exact"/>
              <w:ind w:left="-105" w:leftChars="-50" w:right="-105" w:rightChars="-50"/>
              <w:jc w:val="center"/>
              <w:rPr>
                <w:rFonts w:ascii="仿宋" w:hAnsi="仿宋" w:eastAsia="仿宋" w:cs="仿宋"/>
                <w:b/>
                <w:bCs/>
                <w:color w:val="0000FF"/>
                <w:highlight w:val="yellow"/>
              </w:rPr>
            </w:pPr>
            <w:r>
              <w:rPr>
                <w:rFonts w:hint="eastAsia" w:ascii="仿宋" w:hAnsi="仿宋" w:eastAsia="仿宋" w:cs="仿宋"/>
                <w:b/>
                <w:bCs/>
                <w:color w:val="0000FF"/>
                <w:highlight w:val="yellow"/>
              </w:rPr>
              <w:t>1分</w:t>
            </w:r>
          </w:p>
        </w:tc>
        <w:tc>
          <w:tcPr>
            <w:tcW w:w="3529" w:type="dxa"/>
            <w:tcBorders>
              <w:top w:val="single" w:color="auto" w:sz="4" w:space="0"/>
              <w:left w:val="single" w:color="auto" w:sz="4" w:space="0"/>
              <w:bottom w:val="single" w:color="auto" w:sz="4" w:space="0"/>
              <w:right w:val="single" w:color="auto" w:sz="12" w:space="0"/>
            </w:tcBorders>
            <w:vAlign w:val="center"/>
          </w:tcPr>
          <w:p>
            <w:pPr>
              <w:spacing w:line="240" w:lineRule="exact"/>
              <w:ind w:right="105" w:rightChars="50"/>
              <w:rPr>
                <w:rFonts w:ascii="仿宋" w:hAnsi="仿宋" w:eastAsia="仿宋" w:cs="仿宋"/>
                <w:b/>
                <w:bCs/>
                <w:color w:val="0000FF"/>
                <w:highlight w:val="yellow"/>
              </w:rPr>
            </w:pPr>
            <w:r>
              <w:rPr>
                <w:rFonts w:hint="eastAsia" w:ascii="仿宋" w:hAnsi="仿宋" w:eastAsia="仿宋" w:cs="仿宋"/>
                <w:b/>
                <w:bCs/>
                <w:color w:val="0000FF"/>
                <w:highlight w:val="yellow"/>
              </w:rPr>
              <w:t>（1）投标人根据浙江省交通运输厅2022年公布的养护企业信用评价结果或杭州市交通运输管理服务中心2021年公布的养护企业信用评价结果，AA级得1分；A级得0.5分；B级得0分；C级扣1分（无浙江省交通运输厅或杭州市交通运输管理服务中心公布信用等级的，其最新信用等级按B级计算）；无评价的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86" w:hRule="atLeast"/>
          <w:jc w:val="center"/>
        </w:trPr>
        <w:tc>
          <w:tcPr>
            <w:tcW w:w="933" w:type="dxa"/>
            <w:vMerge w:val="continue"/>
            <w:tcBorders>
              <w:top w:val="single" w:color="auto" w:sz="4" w:space="0"/>
              <w:bottom w:val="single" w:color="auto" w:sz="12" w:space="0"/>
              <w:right w:val="single" w:color="auto" w:sz="4" w:space="0"/>
            </w:tcBorders>
            <w:vAlign w:val="center"/>
          </w:tcPr>
          <w:p>
            <w:pPr>
              <w:spacing w:line="300" w:lineRule="exact"/>
              <w:jc w:val="center"/>
              <w:rPr>
                <w:rFonts w:ascii="仿宋" w:hAnsi="仿宋" w:eastAsia="仿宋" w:cs="仿宋"/>
                <w:b/>
                <w:bCs/>
                <w:color w:val="0000FF"/>
                <w:highlight w:val="yellow"/>
              </w:rPr>
            </w:pPr>
          </w:p>
        </w:tc>
        <w:tc>
          <w:tcPr>
            <w:tcW w:w="1076" w:type="dxa"/>
            <w:gridSpan w:val="2"/>
            <w:vMerge w:val="continue"/>
            <w:tcBorders>
              <w:top w:val="single" w:color="auto" w:sz="4" w:space="0"/>
              <w:left w:val="single" w:color="auto" w:sz="4" w:space="0"/>
              <w:bottom w:val="single" w:color="auto" w:sz="12" w:space="0"/>
              <w:right w:val="single" w:color="auto" w:sz="4" w:space="0"/>
            </w:tcBorders>
            <w:vAlign w:val="center"/>
          </w:tcPr>
          <w:p>
            <w:pPr>
              <w:spacing w:line="300" w:lineRule="exact"/>
              <w:jc w:val="center"/>
              <w:rPr>
                <w:rFonts w:ascii="仿宋" w:hAnsi="仿宋" w:eastAsia="仿宋" w:cs="仿宋"/>
                <w:b/>
                <w:bCs/>
                <w:color w:val="0000FF"/>
                <w:highlight w:val="yellow"/>
              </w:rPr>
            </w:pPr>
          </w:p>
        </w:tc>
        <w:tc>
          <w:tcPr>
            <w:tcW w:w="1048" w:type="dxa"/>
            <w:gridSpan w:val="2"/>
            <w:vMerge w:val="continue"/>
            <w:tcBorders>
              <w:top w:val="single" w:color="auto" w:sz="4" w:space="0"/>
              <w:left w:val="single" w:color="auto" w:sz="4" w:space="0"/>
              <w:bottom w:val="single" w:color="auto" w:sz="12" w:space="0"/>
              <w:right w:val="single" w:color="auto" w:sz="4" w:space="0"/>
            </w:tcBorders>
            <w:vAlign w:val="center"/>
          </w:tcPr>
          <w:p>
            <w:pPr>
              <w:spacing w:line="300" w:lineRule="exact"/>
              <w:jc w:val="center"/>
              <w:rPr>
                <w:rFonts w:ascii="仿宋" w:hAnsi="仿宋" w:eastAsia="仿宋" w:cs="仿宋"/>
                <w:b/>
                <w:bCs/>
                <w:color w:val="0000FF"/>
                <w:highlight w:val="yellow"/>
              </w:rPr>
            </w:pPr>
          </w:p>
        </w:tc>
        <w:tc>
          <w:tcPr>
            <w:tcW w:w="1274" w:type="dxa"/>
            <w:tcBorders>
              <w:top w:val="single" w:color="auto" w:sz="4" w:space="0"/>
              <w:left w:val="single" w:color="auto" w:sz="4" w:space="0"/>
              <w:bottom w:val="single" w:color="auto" w:sz="12" w:space="0"/>
              <w:right w:val="single" w:color="auto" w:sz="4" w:space="0"/>
            </w:tcBorders>
            <w:vAlign w:val="center"/>
          </w:tcPr>
          <w:p>
            <w:pPr>
              <w:spacing w:line="240" w:lineRule="exact"/>
              <w:jc w:val="center"/>
              <w:rPr>
                <w:rFonts w:ascii="仿宋" w:hAnsi="仿宋" w:eastAsia="仿宋" w:cs="仿宋"/>
                <w:b/>
                <w:bCs/>
                <w:color w:val="0000FF"/>
                <w:highlight w:val="yellow"/>
              </w:rPr>
            </w:pPr>
            <w:r>
              <w:rPr>
                <w:rFonts w:hint="eastAsia" w:ascii="仿宋" w:hAnsi="仿宋" w:eastAsia="仿宋" w:cs="仿宋"/>
                <w:b/>
                <w:bCs/>
                <w:color w:val="0000FF"/>
                <w:highlight w:val="yellow"/>
              </w:rPr>
              <w:t>企业信誉</w:t>
            </w:r>
          </w:p>
        </w:tc>
        <w:tc>
          <w:tcPr>
            <w:tcW w:w="1315" w:type="dxa"/>
            <w:tcBorders>
              <w:top w:val="single" w:color="auto" w:sz="4" w:space="0"/>
              <w:left w:val="single" w:color="auto" w:sz="4" w:space="0"/>
              <w:bottom w:val="single" w:color="auto" w:sz="12" w:space="0"/>
              <w:right w:val="single" w:color="auto" w:sz="4" w:space="0"/>
            </w:tcBorders>
            <w:vAlign w:val="center"/>
          </w:tcPr>
          <w:p>
            <w:pPr>
              <w:spacing w:line="240" w:lineRule="exact"/>
              <w:ind w:left="-105" w:leftChars="-50" w:right="-105" w:rightChars="-50"/>
              <w:jc w:val="center"/>
              <w:rPr>
                <w:rFonts w:ascii="仿宋" w:hAnsi="仿宋" w:eastAsia="仿宋" w:cs="仿宋"/>
                <w:b/>
                <w:bCs/>
                <w:color w:val="0000FF"/>
                <w:highlight w:val="yellow"/>
              </w:rPr>
            </w:pPr>
            <w:r>
              <w:rPr>
                <w:rFonts w:hint="eastAsia" w:ascii="仿宋" w:hAnsi="仿宋" w:eastAsia="仿宋" w:cs="仿宋"/>
                <w:b/>
                <w:bCs/>
                <w:color w:val="0000FF"/>
                <w:highlight w:val="yellow"/>
              </w:rPr>
              <w:t>-2分</w:t>
            </w:r>
          </w:p>
        </w:tc>
        <w:tc>
          <w:tcPr>
            <w:tcW w:w="3529" w:type="dxa"/>
            <w:tcBorders>
              <w:top w:val="single" w:color="auto" w:sz="4" w:space="0"/>
              <w:left w:val="single" w:color="auto" w:sz="4" w:space="0"/>
              <w:bottom w:val="single" w:color="auto" w:sz="12" w:space="0"/>
              <w:right w:val="single" w:color="auto" w:sz="12" w:space="0"/>
            </w:tcBorders>
            <w:vAlign w:val="center"/>
          </w:tcPr>
          <w:p>
            <w:pPr>
              <w:spacing w:line="240" w:lineRule="exact"/>
              <w:ind w:right="105" w:rightChars="50"/>
              <w:rPr>
                <w:rFonts w:ascii="仿宋" w:hAnsi="仿宋" w:eastAsia="仿宋" w:cs="仿宋"/>
                <w:b/>
                <w:bCs/>
                <w:color w:val="0000FF"/>
                <w:highlight w:val="yellow"/>
              </w:rPr>
            </w:pPr>
            <w:r>
              <w:rPr>
                <w:rFonts w:hint="eastAsia" w:ascii="仿宋" w:hAnsi="仿宋" w:eastAsia="仿宋" w:cs="仿宋"/>
                <w:b/>
                <w:bCs/>
                <w:color w:val="0000FF"/>
                <w:highlight w:val="yellow"/>
              </w:rPr>
              <w:t>自 2019 年1月1日以来，在养护工程领域中，有行贿受贿行为但未构成犯罪的（以中国裁判文书网（http://wenshu.court.gov.cn/）</w:t>
            </w:r>
          </w:p>
          <w:p>
            <w:pPr>
              <w:spacing w:line="240" w:lineRule="exact"/>
              <w:ind w:right="105" w:rightChars="50"/>
              <w:rPr>
                <w:rFonts w:ascii="仿宋" w:hAnsi="仿宋" w:eastAsia="仿宋" w:cs="仿宋"/>
                <w:b/>
                <w:bCs/>
                <w:color w:val="0000FF"/>
                <w:highlight w:val="yellow"/>
              </w:rPr>
            </w:pPr>
            <w:r>
              <w:rPr>
                <w:rFonts w:hint="eastAsia" w:ascii="仿宋" w:hAnsi="仿宋" w:eastAsia="仿宋" w:cs="仿宋"/>
                <w:b/>
                <w:bCs/>
                <w:color w:val="0000FF"/>
                <w:highlight w:val="yellow"/>
              </w:rPr>
              <w:t>查询结果为准），隐瞒不报的扣2分，如实填报的扣1分。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175" w:type="dxa"/>
            <w:gridSpan w:val="8"/>
            <w:tcBorders>
              <w:top w:val="single" w:color="auto" w:sz="12" w:space="0"/>
              <w:bottom w:val="single" w:color="auto" w:sz="6" w:space="0"/>
            </w:tcBorders>
            <w:vAlign w:val="center"/>
          </w:tcPr>
          <w:p>
            <w:pPr>
              <w:spacing w:line="320" w:lineRule="exact"/>
              <w:ind w:firstLine="211" w:firstLineChars="100"/>
              <w:rPr>
                <w:rFonts w:ascii="黑体" w:hAnsi="宋体" w:eastAsia="黑体"/>
                <w:b/>
                <w:bCs/>
              </w:rPr>
            </w:pPr>
            <w:bookmarkStart w:id="1990" w:name="_Toc30368"/>
            <w:bookmarkStart w:id="1991" w:name="_Toc1787"/>
            <w:bookmarkStart w:id="1992" w:name="_Toc16991"/>
            <w:bookmarkStart w:id="1993" w:name="_Toc7324"/>
            <w:bookmarkStart w:id="1994" w:name="_Toc21862"/>
            <w:bookmarkStart w:id="1995" w:name="_Toc6508"/>
            <w:bookmarkStart w:id="1996" w:name="_Toc732"/>
            <w:r>
              <w:rPr>
                <w:rFonts w:hint="eastAsia" w:ascii="黑体" w:hAnsi="宋体" w:eastAsia="黑体"/>
                <w:b/>
                <w:bCs/>
              </w:rPr>
              <w:t>需要补充的其它内容：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4" w:hRule="atLeast"/>
          <w:jc w:val="center"/>
        </w:trPr>
        <w:tc>
          <w:tcPr>
            <w:tcW w:w="1067" w:type="dxa"/>
            <w:gridSpan w:val="2"/>
            <w:tcBorders>
              <w:top w:val="single" w:color="auto" w:sz="6" w:space="0"/>
              <w:bottom w:val="single" w:color="auto" w:sz="4" w:space="0"/>
              <w:right w:val="single" w:color="auto" w:sz="6" w:space="0"/>
            </w:tcBorders>
            <w:vAlign w:val="center"/>
          </w:tcPr>
          <w:p>
            <w:pPr>
              <w:spacing w:line="300" w:lineRule="exact"/>
              <w:jc w:val="center"/>
              <w:rPr>
                <w:rFonts w:ascii="黑体" w:eastAsia="黑体"/>
                <w:b/>
                <w:bCs/>
              </w:rPr>
            </w:pPr>
            <w:r>
              <w:rPr>
                <w:rFonts w:hint="eastAsia" w:ascii="黑体" w:eastAsia="黑体"/>
                <w:b/>
                <w:bCs/>
              </w:rPr>
              <w:t>条款号</w:t>
            </w:r>
          </w:p>
        </w:tc>
        <w:tc>
          <w:tcPr>
            <w:tcW w:w="1417" w:type="dxa"/>
            <w:gridSpan w:val="2"/>
            <w:tcBorders>
              <w:top w:val="single" w:color="auto" w:sz="6" w:space="0"/>
              <w:left w:val="single" w:color="auto" w:sz="6" w:space="0"/>
              <w:bottom w:val="single" w:color="auto" w:sz="4" w:space="0"/>
              <w:right w:val="single" w:color="auto" w:sz="6" w:space="0"/>
            </w:tcBorders>
            <w:vAlign w:val="center"/>
          </w:tcPr>
          <w:p>
            <w:pPr>
              <w:spacing w:line="300" w:lineRule="exact"/>
              <w:jc w:val="center"/>
              <w:rPr>
                <w:rFonts w:ascii="黑体" w:eastAsia="黑体"/>
                <w:b/>
                <w:bCs/>
              </w:rPr>
            </w:pPr>
            <w:r>
              <w:rPr>
                <w:rFonts w:hint="eastAsia" w:ascii="黑体" w:eastAsia="黑体"/>
                <w:b/>
                <w:bCs/>
              </w:rPr>
              <w:t>条款内容</w:t>
            </w:r>
          </w:p>
        </w:tc>
        <w:tc>
          <w:tcPr>
            <w:tcW w:w="6691" w:type="dxa"/>
            <w:gridSpan w:val="4"/>
            <w:tcBorders>
              <w:top w:val="single" w:color="auto" w:sz="6" w:space="0"/>
              <w:left w:val="single" w:color="auto" w:sz="6" w:space="0"/>
              <w:bottom w:val="single" w:color="auto" w:sz="4" w:space="0"/>
            </w:tcBorders>
            <w:vAlign w:val="center"/>
          </w:tcPr>
          <w:p>
            <w:pPr>
              <w:spacing w:line="300" w:lineRule="exact"/>
              <w:jc w:val="center"/>
              <w:rPr>
                <w:rFonts w:ascii="黑体" w:eastAsia="黑体"/>
                <w:b/>
                <w:bCs/>
              </w:rPr>
            </w:pPr>
            <w:r>
              <w:rPr>
                <w:rFonts w:hint="eastAsia" w:ascii="黑体" w:eastAsia="黑体"/>
                <w:b/>
                <w:bCs/>
              </w:rPr>
              <w:t>编列内容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067" w:type="dxa"/>
            <w:gridSpan w:val="2"/>
            <w:tcBorders>
              <w:top w:val="single" w:color="auto" w:sz="6" w:space="0"/>
              <w:bottom w:val="single" w:color="auto" w:sz="6" w:space="0"/>
              <w:right w:val="single" w:color="auto" w:sz="6" w:space="0"/>
            </w:tcBorders>
            <w:vAlign w:val="center"/>
          </w:tcPr>
          <w:p>
            <w:pPr>
              <w:spacing w:line="360" w:lineRule="exact"/>
              <w:jc w:val="center"/>
              <w:rPr>
                <w:rFonts w:ascii="仿宋" w:hAnsi="仿宋" w:eastAsia="仿宋" w:cs="仿宋"/>
              </w:rPr>
            </w:pPr>
            <w:r>
              <w:rPr>
                <w:rFonts w:hint="eastAsia" w:ascii="仿宋" w:hAnsi="仿宋" w:eastAsia="仿宋" w:cs="仿宋"/>
              </w:rPr>
              <w:t>3.4.1</w:t>
            </w:r>
          </w:p>
        </w:tc>
        <w:tc>
          <w:tcPr>
            <w:tcW w:w="1417" w:type="dxa"/>
            <w:gridSpan w:val="2"/>
            <w:tcBorders>
              <w:top w:val="single" w:color="auto" w:sz="6" w:space="0"/>
              <w:left w:val="single" w:color="auto" w:sz="6" w:space="0"/>
              <w:bottom w:val="single" w:color="auto" w:sz="6" w:space="0"/>
              <w:right w:val="single" w:color="auto" w:sz="6" w:space="0"/>
            </w:tcBorders>
            <w:vAlign w:val="center"/>
          </w:tcPr>
          <w:p>
            <w:pPr>
              <w:spacing w:line="360" w:lineRule="exact"/>
              <w:ind w:firstLine="210" w:firstLineChars="100"/>
              <w:rPr>
                <w:rFonts w:ascii="仿宋" w:hAnsi="仿宋" w:eastAsia="仿宋" w:cs="仿宋"/>
              </w:rPr>
            </w:pPr>
            <w:r>
              <w:rPr>
                <w:rFonts w:hint="eastAsia" w:ascii="仿宋" w:hAnsi="仿宋" w:eastAsia="仿宋" w:cs="仿宋"/>
              </w:rPr>
              <w:t>评标结果</w:t>
            </w:r>
          </w:p>
        </w:tc>
        <w:tc>
          <w:tcPr>
            <w:tcW w:w="6691" w:type="dxa"/>
            <w:gridSpan w:val="4"/>
            <w:tcBorders>
              <w:top w:val="single" w:color="auto" w:sz="6" w:space="0"/>
              <w:left w:val="single" w:color="auto" w:sz="6" w:space="0"/>
              <w:bottom w:val="single" w:color="auto" w:sz="6" w:space="0"/>
            </w:tcBorders>
            <w:vAlign w:val="center"/>
          </w:tcPr>
          <w:p>
            <w:pPr>
              <w:spacing w:line="300" w:lineRule="auto"/>
              <w:ind w:firstLine="211" w:firstLineChars="100"/>
              <w:rPr>
                <w:rFonts w:ascii="仿宋" w:hAnsi="仿宋" w:eastAsia="仿宋"/>
                <w:b/>
                <w:szCs w:val="21"/>
              </w:rPr>
            </w:pPr>
            <w:r>
              <w:rPr>
                <w:rFonts w:ascii="仿宋" w:hAnsi="仿宋" w:eastAsia="仿宋"/>
                <w:b/>
                <w:szCs w:val="21"/>
              </w:rPr>
              <w:t>第3.</w:t>
            </w:r>
            <w:r>
              <w:rPr>
                <w:rFonts w:hint="eastAsia" w:ascii="仿宋" w:hAnsi="仿宋" w:eastAsia="仿宋"/>
                <w:b/>
                <w:szCs w:val="21"/>
              </w:rPr>
              <w:t>4.1</w:t>
            </w:r>
            <w:r>
              <w:rPr>
                <w:rFonts w:ascii="仿宋" w:hAnsi="仿宋" w:eastAsia="仿宋"/>
                <w:b/>
                <w:szCs w:val="21"/>
              </w:rPr>
              <w:t>项细化为：</w:t>
            </w:r>
          </w:p>
          <w:p>
            <w:pPr>
              <w:spacing w:line="300" w:lineRule="auto"/>
              <w:ind w:left="105" w:leftChars="50" w:right="105" w:rightChars="50" w:firstLine="420" w:firstLineChars="200"/>
              <w:rPr>
                <w:rFonts w:ascii="仿宋" w:hAnsi="仿宋" w:eastAsia="仿宋" w:cs="仿宋"/>
              </w:rPr>
            </w:pPr>
            <w:r>
              <w:rPr>
                <w:rFonts w:hint="eastAsia" w:ascii="仿宋" w:hAnsi="仿宋" w:eastAsia="仿宋" w:cs="仿宋"/>
              </w:rPr>
              <w:t>对通过初步评审和详细评审的投标人，评标委员会成员计算出每一投标人的综合分值（评标价、技术、管理、企业资质与信誉得分合计），</w:t>
            </w:r>
            <w:r>
              <w:rPr>
                <w:rFonts w:hint="eastAsia" w:ascii="仿宋" w:hAnsi="仿宋" w:eastAsia="仿宋" w:cs="仿宋"/>
                <w:bCs/>
                <w:iCs/>
                <w:u w:val="single"/>
              </w:rPr>
              <w:t>其中技术评价及管理水平分数汇总时，在去掉评委一个最高分和一个最低分后，计算平均值作为投标人的技术评价及管理水平的最终得分（保留两位小数）；</w:t>
            </w:r>
            <w:r>
              <w:rPr>
                <w:rFonts w:hint="eastAsia" w:ascii="仿宋" w:hAnsi="仿宋" w:eastAsia="仿宋" w:cs="仿宋"/>
              </w:rPr>
              <w:t>经监标人当场签证后，按综合得分由高到低的顺序，依次推荐前1名投标人为中标候选人。当出现综合得分完全相同时，投标价低者优先（若出现综合得分完全相同且投标价也相同时，由评标委员会代表按随机抽签的办法决定中标候选人排序，先抽到者优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68" w:hRule="atLeast"/>
          <w:jc w:val="center"/>
        </w:trPr>
        <w:tc>
          <w:tcPr>
            <w:tcW w:w="1067" w:type="dxa"/>
            <w:gridSpan w:val="2"/>
            <w:tcBorders>
              <w:top w:val="single" w:color="auto" w:sz="6" w:space="0"/>
              <w:bottom w:val="single" w:color="auto" w:sz="12" w:space="0"/>
              <w:right w:val="single" w:color="auto" w:sz="6" w:space="0"/>
            </w:tcBorders>
            <w:vAlign w:val="center"/>
          </w:tcPr>
          <w:p>
            <w:pPr>
              <w:spacing w:line="300" w:lineRule="auto"/>
              <w:jc w:val="center"/>
              <w:rPr>
                <w:rFonts w:ascii="仿宋" w:hAnsi="仿宋" w:eastAsia="仿宋" w:cs="仿宋"/>
              </w:rPr>
            </w:pPr>
            <w:r>
              <w:rPr>
                <w:rFonts w:hint="eastAsia" w:ascii="仿宋" w:hAnsi="仿宋" w:eastAsia="仿宋" w:cs="仿宋"/>
              </w:rPr>
              <w:t>3.4.2</w:t>
            </w:r>
          </w:p>
        </w:tc>
        <w:tc>
          <w:tcPr>
            <w:tcW w:w="1417" w:type="dxa"/>
            <w:gridSpan w:val="2"/>
            <w:tcBorders>
              <w:top w:val="single" w:color="auto" w:sz="6" w:space="0"/>
              <w:left w:val="single" w:color="auto" w:sz="6" w:space="0"/>
              <w:bottom w:val="single" w:color="auto" w:sz="12" w:space="0"/>
              <w:right w:val="single" w:color="auto" w:sz="6" w:space="0"/>
            </w:tcBorders>
            <w:vAlign w:val="center"/>
          </w:tcPr>
          <w:p>
            <w:pPr>
              <w:spacing w:line="300" w:lineRule="auto"/>
              <w:ind w:firstLine="210" w:firstLineChars="100"/>
              <w:rPr>
                <w:rFonts w:ascii="仿宋" w:hAnsi="仿宋" w:eastAsia="仿宋" w:cs="仿宋"/>
              </w:rPr>
            </w:pPr>
            <w:r>
              <w:rPr>
                <w:rFonts w:hint="eastAsia" w:ascii="仿宋" w:hAnsi="仿宋" w:eastAsia="仿宋" w:cs="仿宋"/>
              </w:rPr>
              <w:t>评标结果</w:t>
            </w:r>
          </w:p>
        </w:tc>
        <w:tc>
          <w:tcPr>
            <w:tcW w:w="6691" w:type="dxa"/>
            <w:gridSpan w:val="4"/>
            <w:tcBorders>
              <w:top w:val="single" w:color="auto" w:sz="6" w:space="0"/>
              <w:left w:val="single" w:color="auto" w:sz="6" w:space="0"/>
              <w:bottom w:val="single" w:color="auto" w:sz="12" w:space="0"/>
            </w:tcBorders>
            <w:vAlign w:val="center"/>
          </w:tcPr>
          <w:p>
            <w:pPr>
              <w:spacing w:line="300" w:lineRule="auto"/>
              <w:ind w:left="105" w:leftChars="50" w:right="105" w:rightChars="50" w:firstLine="210" w:firstLineChars="100"/>
              <w:rPr>
                <w:rFonts w:ascii="仿宋" w:hAnsi="仿宋" w:eastAsia="仿宋" w:cs="仿宋"/>
              </w:rPr>
            </w:pPr>
            <w:r>
              <w:rPr>
                <w:rFonts w:hint="eastAsia" w:ascii="仿宋" w:hAnsi="仿宋" w:eastAsia="仿宋" w:cs="仿宋"/>
              </w:rPr>
              <w:t>评标委员会根据评分结果，向招标人推荐1名中标候选人，标明排列顺序。向招标人提出书面报告，并抄送有关行政监督部门。评标报告应如实记载下列内容：</w:t>
            </w:r>
          </w:p>
          <w:p>
            <w:pPr>
              <w:spacing w:line="300" w:lineRule="auto"/>
              <w:ind w:right="105" w:rightChars="50"/>
              <w:rPr>
                <w:rFonts w:ascii="仿宋" w:hAnsi="仿宋" w:eastAsia="仿宋" w:cs="仿宋"/>
              </w:rPr>
            </w:pPr>
            <w:r>
              <w:rPr>
                <w:rFonts w:hint="eastAsia" w:ascii="仿宋" w:hAnsi="仿宋" w:eastAsia="仿宋" w:cs="仿宋"/>
              </w:rPr>
              <w:t>（1）项目概况（包括招标项目基本情况和数据表）；</w:t>
            </w:r>
          </w:p>
          <w:p>
            <w:pPr>
              <w:spacing w:line="300" w:lineRule="auto"/>
              <w:ind w:right="105" w:rightChars="50"/>
              <w:rPr>
                <w:rFonts w:ascii="仿宋" w:hAnsi="仿宋" w:eastAsia="仿宋" w:cs="仿宋"/>
              </w:rPr>
            </w:pPr>
            <w:r>
              <w:rPr>
                <w:rFonts w:hint="eastAsia" w:ascii="仿宋" w:hAnsi="仿宋" w:eastAsia="仿宋" w:cs="仿宋"/>
              </w:rPr>
              <w:t>（2）招标过程（包括开标记录）；</w:t>
            </w:r>
          </w:p>
          <w:p>
            <w:pPr>
              <w:spacing w:line="300" w:lineRule="auto"/>
              <w:ind w:right="105" w:rightChars="50"/>
              <w:rPr>
                <w:rFonts w:ascii="仿宋" w:hAnsi="仿宋" w:eastAsia="仿宋" w:cs="仿宋"/>
              </w:rPr>
            </w:pPr>
            <w:r>
              <w:rPr>
                <w:rFonts w:hint="eastAsia" w:ascii="仿宋" w:hAnsi="仿宋" w:eastAsia="仿宋" w:cs="仿宋"/>
              </w:rPr>
              <w:t>（3）评标工作（包括评标委员会组成、评标标准与办法、资格审查、初步评审、详细评审、综合评价，以及否决投标处理的说明）；</w:t>
            </w:r>
          </w:p>
          <w:p>
            <w:pPr>
              <w:spacing w:line="300" w:lineRule="auto"/>
              <w:ind w:right="105" w:rightChars="50"/>
              <w:rPr>
                <w:rFonts w:ascii="仿宋" w:hAnsi="仿宋" w:eastAsia="仿宋" w:cs="仿宋"/>
              </w:rPr>
            </w:pPr>
            <w:r>
              <w:rPr>
                <w:rFonts w:hint="eastAsia" w:ascii="仿宋" w:hAnsi="仿宋" w:eastAsia="仿宋" w:cs="仿宋"/>
              </w:rPr>
              <w:t>（4）评标结果；</w:t>
            </w:r>
          </w:p>
          <w:p>
            <w:pPr>
              <w:spacing w:line="300" w:lineRule="auto"/>
              <w:ind w:right="105" w:rightChars="50"/>
              <w:rPr>
                <w:rFonts w:ascii="仿宋" w:hAnsi="仿宋" w:eastAsia="仿宋" w:cs="仿宋"/>
              </w:rPr>
            </w:pPr>
            <w:r>
              <w:rPr>
                <w:rFonts w:hint="eastAsia" w:ascii="仿宋" w:hAnsi="仿宋" w:eastAsia="仿宋" w:cs="仿宋"/>
              </w:rPr>
              <w:t>（5）向投标人的澄清记录及评标附表。</w:t>
            </w:r>
          </w:p>
          <w:p>
            <w:pPr>
              <w:spacing w:line="300" w:lineRule="auto"/>
              <w:ind w:right="105" w:rightChars="50"/>
              <w:rPr>
                <w:rFonts w:ascii="仿宋" w:hAnsi="仿宋" w:eastAsia="仿宋" w:cs="仿宋"/>
              </w:rPr>
            </w:pPr>
            <w:r>
              <w:rPr>
                <w:rFonts w:hint="eastAsia" w:ascii="仿宋" w:hAnsi="仿宋" w:eastAsia="仿宋" w:cs="仿宋"/>
              </w:rPr>
              <w:t>评标委员会全体评标委员应在（3）、（4）、（5）项的每一页上签字。</w:t>
            </w:r>
          </w:p>
        </w:tc>
      </w:tr>
    </w:tbl>
    <w:p>
      <w:pPr>
        <w:pStyle w:val="5"/>
        <w:spacing w:before="120" w:afterLines="50" w:line="420" w:lineRule="exact"/>
        <w:rPr>
          <w:rFonts w:ascii="Times New Roman" w:hAnsi="Times New Roman"/>
          <w:sz w:val="28"/>
          <w:szCs w:val="28"/>
        </w:rPr>
      </w:pPr>
      <w:bookmarkStart w:id="1997" w:name="_Toc21619"/>
      <w:bookmarkStart w:id="1998" w:name="_Toc25434"/>
      <w:bookmarkStart w:id="1999" w:name="_Toc17274"/>
      <w:bookmarkStart w:id="2000" w:name="_Toc9289"/>
      <w:bookmarkStart w:id="2001" w:name="_Toc15206"/>
      <w:bookmarkStart w:id="2002" w:name="_Toc29000"/>
      <w:bookmarkStart w:id="2003" w:name="_Toc12261"/>
      <w:bookmarkStart w:id="2004" w:name="_Toc7678"/>
      <w:bookmarkStart w:id="2005" w:name="_Toc27266"/>
      <w:bookmarkStart w:id="2006" w:name="_Toc30025"/>
      <w:bookmarkStart w:id="2007" w:name="_Toc19849"/>
    </w:p>
    <w:p>
      <w:pPr>
        <w:pStyle w:val="5"/>
        <w:spacing w:before="120" w:afterLines="50" w:line="420" w:lineRule="exact"/>
        <w:rPr>
          <w:rFonts w:ascii="Times New Roman" w:hAnsi="Times New Roman"/>
          <w:sz w:val="28"/>
          <w:szCs w:val="28"/>
        </w:rPr>
      </w:pPr>
    </w:p>
    <w:p/>
    <w:p>
      <w:pPr>
        <w:pStyle w:val="2"/>
        <w:ind w:firstLine="240"/>
      </w:pPr>
    </w:p>
    <w:p>
      <w:pPr>
        <w:pStyle w:val="2"/>
        <w:ind w:firstLine="240"/>
      </w:pPr>
    </w:p>
    <w:p>
      <w:pPr>
        <w:pStyle w:val="2"/>
        <w:ind w:firstLine="240"/>
      </w:pPr>
    </w:p>
    <w:p>
      <w:pPr>
        <w:pStyle w:val="5"/>
        <w:spacing w:before="120" w:afterLines="50" w:line="420" w:lineRule="exact"/>
        <w:rPr>
          <w:rFonts w:ascii="Times New Roman" w:hAnsi="Times New Roman"/>
          <w:sz w:val="28"/>
          <w:szCs w:val="28"/>
        </w:rPr>
      </w:pPr>
    </w:p>
    <w:p/>
    <w:p>
      <w:pPr>
        <w:rPr>
          <w:sz w:val="28"/>
          <w:szCs w:val="28"/>
        </w:rPr>
      </w:pPr>
      <w:r>
        <w:rPr>
          <w:sz w:val="28"/>
          <w:szCs w:val="28"/>
        </w:rPr>
        <w:br w:type="page"/>
      </w:r>
    </w:p>
    <w:p>
      <w:pPr>
        <w:pStyle w:val="5"/>
        <w:spacing w:before="120" w:afterLines="50" w:line="420" w:lineRule="exact"/>
        <w:rPr>
          <w:rFonts w:ascii="Times New Roman"/>
          <w:sz w:val="28"/>
          <w:szCs w:val="28"/>
        </w:rPr>
      </w:pPr>
      <w:r>
        <w:rPr>
          <w:rFonts w:ascii="Times New Roman" w:hAnsi="Times New Roman"/>
          <w:sz w:val="28"/>
          <w:szCs w:val="28"/>
        </w:rPr>
        <w:t>1</w:t>
      </w:r>
      <w:r>
        <w:rPr>
          <w:rFonts w:ascii="Times New Roman"/>
          <w:sz w:val="28"/>
          <w:szCs w:val="28"/>
        </w:rPr>
        <w:t>．</w:t>
      </w:r>
      <w:r>
        <w:rPr>
          <w:rFonts w:hint="eastAsia"/>
          <w:b w:val="0"/>
          <w:sz w:val="28"/>
          <w:szCs w:val="28"/>
        </w:rPr>
        <w:t>评标方法</w:t>
      </w:r>
      <w:bookmarkEnd w:id="1944"/>
      <w:bookmarkEnd w:id="1945"/>
      <w:bookmarkEnd w:id="1946"/>
      <w:bookmarkEnd w:id="1947"/>
      <w:bookmarkEnd w:id="1948"/>
      <w:bookmarkEnd w:id="1949"/>
      <w:bookmarkEnd w:id="1950"/>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p>
    <w:p>
      <w:pPr>
        <w:spacing w:line="420" w:lineRule="exact"/>
        <w:ind w:firstLine="420" w:firstLineChars="200"/>
        <w:rPr>
          <w:szCs w:val="21"/>
        </w:rPr>
      </w:pPr>
      <w:r>
        <w:rPr>
          <w:rFonts w:hint="eastAsia"/>
          <w:szCs w:val="21"/>
        </w:rPr>
        <w:t>本次评标采用综合评估法。评标委员会对满足招标文件实质性要求的投标文件，按照本章第2.2款规定的评分标准进行打分，并按得分由高到低的顺序推荐中标候选人，但投标报价低于其成本的除外。</w:t>
      </w:r>
      <w:bookmarkStart w:id="2008" w:name="_Toc282778950"/>
      <w:bookmarkStart w:id="2009" w:name="_Toc288546599"/>
      <w:bookmarkStart w:id="2010" w:name="_Toc282787390"/>
      <w:bookmarkStart w:id="2011" w:name="_Toc288491475"/>
      <w:bookmarkStart w:id="2012" w:name="_Toc283794147"/>
      <w:bookmarkStart w:id="2013" w:name="_Toc287853299"/>
      <w:bookmarkStart w:id="2014" w:name="_Toc282779459"/>
      <w:r>
        <w:rPr>
          <w:rFonts w:hint="eastAsia"/>
          <w:szCs w:val="21"/>
        </w:rPr>
        <w:t>当出现综合得分完全相同时，投标价低者优先（若出现综合得分完全相同且投标价也相同时，由评标委员会代表按随机抽签的办法决定中标候选人排序，先抽到者优先）。</w:t>
      </w:r>
    </w:p>
    <w:p>
      <w:pPr>
        <w:pStyle w:val="5"/>
        <w:spacing w:before="120" w:afterLines="50" w:line="420" w:lineRule="exact"/>
        <w:rPr>
          <w:rFonts w:ascii="Times New Roman" w:hAnsi="Times New Roman"/>
          <w:sz w:val="28"/>
          <w:szCs w:val="28"/>
        </w:rPr>
      </w:pPr>
      <w:bookmarkStart w:id="2015" w:name="_Toc18275"/>
      <w:bookmarkStart w:id="2016" w:name="_Toc26362"/>
      <w:bookmarkStart w:id="2017" w:name="_Toc12257"/>
      <w:bookmarkStart w:id="2018" w:name="_Toc6823"/>
      <w:bookmarkStart w:id="2019" w:name="_Toc28063"/>
      <w:bookmarkStart w:id="2020" w:name="_Toc15690"/>
      <w:bookmarkStart w:id="2021" w:name="_Toc28045"/>
      <w:bookmarkStart w:id="2022" w:name="_Toc14282"/>
      <w:bookmarkStart w:id="2023" w:name="_Toc16018"/>
      <w:bookmarkStart w:id="2024" w:name="_Toc3513"/>
      <w:bookmarkStart w:id="2025" w:name="_Toc7337"/>
      <w:bookmarkStart w:id="2026" w:name="_Toc5680"/>
      <w:bookmarkStart w:id="2027" w:name="_Toc15876"/>
      <w:bookmarkStart w:id="2028" w:name="_Toc8140"/>
      <w:bookmarkStart w:id="2029" w:name="_Toc31143"/>
      <w:bookmarkStart w:id="2030" w:name="_Toc17746"/>
      <w:bookmarkStart w:id="2031" w:name="_Toc22696"/>
      <w:bookmarkStart w:id="2032" w:name="_Toc1065"/>
      <w:r>
        <w:rPr>
          <w:rFonts w:hint="eastAsia" w:ascii="Times New Roman" w:hAnsi="Times New Roman"/>
          <w:sz w:val="28"/>
          <w:szCs w:val="28"/>
        </w:rPr>
        <w:t>2</w:t>
      </w:r>
      <w:r>
        <w:rPr>
          <w:rFonts w:ascii="Times New Roman" w:hAnsi="Times New Roman"/>
          <w:sz w:val="28"/>
          <w:szCs w:val="28"/>
        </w:rPr>
        <w:t>．</w:t>
      </w:r>
      <w:r>
        <w:rPr>
          <w:rFonts w:hint="eastAsia" w:ascii="Times New Roman" w:hAnsi="Times New Roman"/>
          <w:sz w:val="28"/>
          <w:szCs w:val="28"/>
        </w:rPr>
        <w:t>评审标准</w:t>
      </w:r>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p>
    <w:p>
      <w:pPr>
        <w:pStyle w:val="7"/>
        <w:spacing w:before="120" w:afterLines="50" w:line="420" w:lineRule="exact"/>
        <w:rPr>
          <w:rFonts w:ascii="Times New Roman" w:hAnsi="Times New Roman"/>
          <w:b w:val="0"/>
          <w:sz w:val="21"/>
          <w:szCs w:val="21"/>
        </w:rPr>
      </w:pPr>
      <w:bookmarkStart w:id="2033" w:name="_Toc282787391"/>
      <w:r>
        <w:rPr>
          <w:rFonts w:ascii="Times New Roman" w:hAnsi="Times New Roman"/>
          <w:sz w:val="21"/>
          <w:szCs w:val="21"/>
        </w:rPr>
        <w:t>2.1</w:t>
      </w:r>
      <w:r>
        <w:rPr>
          <w:rFonts w:ascii="Times New Roman"/>
          <w:b w:val="0"/>
          <w:sz w:val="21"/>
          <w:szCs w:val="21"/>
        </w:rPr>
        <w:t>初步评审标准</w:t>
      </w:r>
      <w:bookmarkEnd w:id="2033"/>
    </w:p>
    <w:p>
      <w:pPr>
        <w:spacing w:line="420" w:lineRule="exact"/>
        <w:ind w:firstLine="420" w:firstLineChars="200"/>
        <w:rPr>
          <w:szCs w:val="21"/>
        </w:rPr>
      </w:pPr>
      <w:r>
        <w:rPr>
          <w:rFonts w:hint="eastAsia"/>
          <w:szCs w:val="21"/>
        </w:rPr>
        <w:t>2.1.1  形式评审标准：见评标办法前附表。</w:t>
      </w:r>
    </w:p>
    <w:p>
      <w:pPr>
        <w:spacing w:line="420" w:lineRule="exact"/>
        <w:ind w:firstLine="420" w:firstLineChars="200"/>
        <w:rPr>
          <w:szCs w:val="21"/>
        </w:rPr>
      </w:pPr>
      <w:r>
        <w:rPr>
          <w:rFonts w:hint="eastAsia"/>
          <w:szCs w:val="21"/>
        </w:rPr>
        <w:t>2.1.2  资格评审标准：见评标办法前附表。</w:t>
      </w:r>
    </w:p>
    <w:p>
      <w:pPr>
        <w:spacing w:line="420" w:lineRule="exact"/>
        <w:ind w:firstLine="420" w:firstLineChars="200"/>
        <w:rPr>
          <w:szCs w:val="21"/>
        </w:rPr>
      </w:pPr>
      <w:r>
        <w:rPr>
          <w:rFonts w:hint="eastAsia"/>
          <w:szCs w:val="21"/>
        </w:rPr>
        <w:t>2.1.3  响应性评审标准：见评标办法前附表。</w:t>
      </w:r>
    </w:p>
    <w:p>
      <w:pPr>
        <w:pStyle w:val="7"/>
        <w:spacing w:before="120" w:after="120" w:line="420" w:lineRule="exact"/>
        <w:rPr>
          <w:rFonts w:ascii="Times New Roman"/>
          <w:b w:val="0"/>
          <w:sz w:val="21"/>
          <w:szCs w:val="21"/>
        </w:rPr>
      </w:pPr>
      <w:bookmarkStart w:id="2034" w:name="_Toc282787392"/>
      <w:r>
        <w:rPr>
          <w:rFonts w:ascii="Times New Roman" w:hAnsi="Times New Roman"/>
          <w:sz w:val="21"/>
          <w:szCs w:val="21"/>
        </w:rPr>
        <w:t>2.</w:t>
      </w:r>
      <w:r>
        <w:rPr>
          <w:rFonts w:hint="eastAsia" w:ascii="Times New Roman" w:hAnsi="Times New Roman"/>
          <w:sz w:val="21"/>
          <w:szCs w:val="21"/>
        </w:rPr>
        <w:t>2</w:t>
      </w:r>
      <w:r>
        <w:rPr>
          <w:rFonts w:hint="eastAsia" w:ascii="Times New Roman"/>
          <w:b w:val="0"/>
          <w:sz w:val="21"/>
          <w:szCs w:val="21"/>
        </w:rPr>
        <w:t>分值构成与评分</w:t>
      </w:r>
      <w:r>
        <w:rPr>
          <w:rFonts w:ascii="Times New Roman"/>
          <w:b w:val="0"/>
          <w:sz w:val="21"/>
          <w:szCs w:val="21"/>
        </w:rPr>
        <w:t>标准</w:t>
      </w:r>
      <w:bookmarkEnd w:id="2034"/>
    </w:p>
    <w:p>
      <w:pPr>
        <w:spacing w:line="420" w:lineRule="exact"/>
        <w:ind w:firstLine="420" w:firstLineChars="200"/>
        <w:rPr>
          <w:szCs w:val="21"/>
        </w:rPr>
      </w:pPr>
      <w:r>
        <w:rPr>
          <w:rFonts w:hint="eastAsia"/>
          <w:szCs w:val="21"/>
        </w:rPr>
        <w:t>2.2.1  分值构成</w:t>
      </w:r>
    </w:p>
    <w:p>
      <w:pPr>
        <w:spacing w:line="420" w:lineRule="exact"/>
        <w:ind w:firstLine="420" w:firstLineChars="200"/>
        <w:rPr>
          <w:szCs w:val="21"/>
        </w:rPr>
      </w:pPr>
      <w:r>
        <w:rPr>
          <w:rFonts w:hint="eastAsia"/>
          <w:szCs w:val="21"/>
        </w:rPr>
        <w:t>（1）投标报价：见评标办法前附表；</w:t>
      </w:r>
    </w:p>
    <w:p>
      <w:pPr>
        <w:spacing w:line="420" w:lineRule="exact"/>
        <w:ind w:firstLine="420" w:firstLineChars="200"/>
        <w:rPr>
          <w:szCs w:val="21"/>
        </w:rPr>
      </w:pPr>
      <w:r>
        <w:rPr>
          <w:rFonts w:hint="eastAsia"/>
          <w:szCs w:val="21"/>
        </w:rPr>
        <w:t>（2）技术评价：见评标办法前附表；</w:t>
      </w:r>
    </w:p>
    <w:p>
      <w:pPr>
        <w:spacing w:line="420" w:lineRule="exact"/>
        <w:ind w:firstLine="420" w:firstLineChars="200"/>
        <w:rPr>
          <w:szCs w:val="21"/>
        </w:rPr>
      </w:pPr>
      <w:r>
        <w:rPr>
          <w:rFonts w:hint="eastAsia"/>
          <w:szCs w:val="21"/>
        </w:rPr>
        <w:t>（3）管理水平：见评标办法前附表；</w:t>
      </w:r>
    </w:p>
    <w:p>
      <w:pPr>
        <w:spacing w:line="420" w:lineRule="exact"/>
        <w:ind w:firstLine="420" w:firstLineChars="200"/>
        <w:rPr>
          <w:szCs w:val="21"/>
        </w:rPr>
      </w:pPr>
      <w:r>
        <w:rPr>
          <w:rFonts w:hint="eastAsia"/>
          <w:szCs w:val="21"/>
        </w:rPr>
        <w:t>（4）企业资质与信誉：见评标办法前附表。</w:t>
      </w:r>
    </w:p>
    <w:p>
      <w:pPr>
        <w:spacing w:line="420" w:lineRule="exact"/>
        <w:ind w:firstLine="420" w:firstLineChars="200"/>
        <w:rPr>
          <w:szCs w:val="21"/>
        </w:rPr>
      </w:pPr>
      <w:r>
        <w:rPr>
          <w:rFonts w:hint="eastAsia"/>
          <w:szCs w:val="21"/>
        </w:rPr>
        <w:t>2.2.2  评标基准价计算</w:t>
      </w:r>
    </w:p>
    <w:p>
      <w:pPr>
        <w:spacing w:line="420" w:lineRule="exact"/>
        <w:ind w:firstLine="420" w:firstLineChars="200"/>
        <w:rPr>
          <w:szCs w:val="21"/>
        </w:rPr>
      </w:pPr>
      <w:r>
        <w:rPr>
          <w:rFonts w:hint="eastAsia"/>
          <w:szCs w:val="21"/>
        </w:rPr>
        <w:t>评标基准价计算方法：见评标办法前附表。</w:t>
      </w:r>
    </w:p>
    <w:p>
      <w:pPr>
        <w:spacing w:line="420" w:lineRule="exact"/>
        <w:ind w:firstLine="420" w:firstLineChars="200"/>
        <w:rPr>
          <w:szCs w:val="21"/>
        </w:rPr>
      </w:pPr>
      <w:r>
        <w:rPr>
          <w:rFonts w:hint="eastAsia"/>
          <w:szCs w:val="21"/>
        </w:rPr>
        <w:t>2.2.3  投标报价的偏差率计算</w:t>
      </w:r>
    </w:p>
    <w:p>
      <w:pPr>
        <w:spacing w:line="420" w:lineRule="exact"/>
        <w:ind w:firstLine="420" w:firstLineChars="200"/>
        <w:rPr>
          <w:szCs w:val="21"/>
        </w:rPr>
      </w:pPr>
      <w:r>
        <w:rPr>
          <w:rFonts w:hint="eastAsia"/>
          <w:szCs w:val="21"/>
        </w:rPr>
        <w:t>投标报价的偏差率计算公式：见评标办法前附表。</w:t>
      </w:r>
    </w:p>
    <w:p>
      <w:pPr>
        <w:spacing w:line="420" w:lineRule="exact"/>
        <w:ind w:firstLine="420" w:firstLineChars="200"/>
        <w:rPr>
          <w:szCs w:val="21"/>
        </w:rPr>
      </w:pPr>
      <w:r>
        <w:rPr>
          <w:rFonts w:hint="eastAsia"/>
          <w:szCs w:val="21"/>
        </w:rPr>
        <w:t>2.2.4  评分标准</w:t>
      </w:r>
    </w:p>
    <w:p>
      <w:pPr>
        <w:spacing w:line="420" w:lineRule="exact"/>
        <w:ind w:firstLine="420" w:firstLineChars="200"/>
        <w:rPr>
          <w:szCs w:val="21"/>
        </w:rPr>
      </w:pPr>
      <w:r>
        <w:rPr>
          <w:rFonts w:hint="eastAsia"/>
          <w:szCs w:val="21"/>
        </w:rPr>
        <w:t>（1）投标报价评分标准：见评标办法前附表；</w:t>
      </w:r>
    </w:p>
    <w:p>
      <w:pPr>
        <w:spacing w:line="420" w:lineRule="exact"/>
        <w:ind w:firstLine="420" w:firstLineChars="200"/>
        <w:rPr>
          <w:szCs w:val="21"/>
        </w:rPr>
      </w:pPr>
      <w:r>
        <w:rPr>
          <w:rFonts w:hint="eastAsia"/>
          <w:szCs w:val="21"/>
        </w:rPr>
        <w:t>（2）技术评价评分标准：见评标办法前附表；</w:t>
      </w:r>
    </w:p>
    <w:p>
      <w:pPr>
        <w:spacing w:line="420" w:lineRule="exact"/>
        <w:ind w:firstLine="420" w:firstLineChars="200"/>
        <w:rPr>
          <w:szCs w:val="21"/>
        </w:rPr>
      </w:pPr>
      <w:r>
        <w:rPr>
          <w:rFonts w:hint="eastAsia"/>
          <w:szCs w:val="21"/>
        </w:rPr>
        <w:t>（3）管理水平评分标准：见评标办法前附表；</w:t>
      </w:r>
    </w:p>
    <w:p>
      <w:pPr>
        <w:spacing w:line="420" w:lineRule="exact"/>
        <w:ind w:firstLine="420" w:firstLineChars="200"/>
        <w:rPr>
          <w:szCs w:val="21"/>
        </w:rPr>
      </w:pPr>
      <w:r>
        <w:rPr>
          <w:rFonts w:hint="eastAsia"/>
          <w:szCs w:val="21"/>
        </w:rPr>
        <w:t>（4）企业资质与信誉评分标准：见评标办法前附表。</w:t>
      </w:r>
    </w:p>
    <w:p>
      <w:pPr>
        <w:pStyle w:val="5"/>
        <w:spacing w:before="120" w:afterLines="50" w:line="420" w:lineRule="exact"/>
        <w:rPr>
          <w:b w:val="0"/>
          <w:sz w:val="28"/>
          <w:szCs w:val="28"/>
        </w:rPr>
      </w:pPr>
      <w:bookmarkStart w:id="2035" w:name="_Toc12251"/>
      <w:bookmarkStart w:id="2036" w:name="_Toc5216"/>
      <w:bookmarkStart w:id="2037" w:name="_Toc31199"/>
      <w:bookmarkStart w:id="2038" w:name="_Toc288546600"/>
      <w:bookmarkStart w:id="2039" w:name="_Toc13239"/>
      <w:bookmarkStart w:id="2040" w:name="_Toc282787393"/>
      <w:bookmarkStart w:id="2041" w:name="_Toc11066"/>
      <w:bookmarkStart w:id="2042" w:name="_Toc13056"/>
      <w:bookmarkStart w:id="2043" w:name="_Toc3240"/>
      <w:bookmarkStart w:id="2044" w:name="_Toc21893"/>
      <w:bookmarkStart w:id="2045" w:name="_Toc29419"/>
      <w:bookmarkStart w:id="2046" w:name="_Toc282778951"/>
      <w:bookmarkStart w:id="2047" w:name="_Toc16852"/>
      <w:bookmarkStart w:id="2048" w:name="_Toc287853300"/>
      <w:bookmarkStart w:id="2049" w:name="_Toc23074"/>
      <w:bookmarkStart w:id="2050" w:name="_Toc12662"/>
      <w:bookmarkStart w:id="2051" w:name="_Toc25587"/>
      <w:bookmarkStart w:id="2052" w:name="_Toc21895"/>
      <w:bookmarkStart w:id="2053" w:name="_Toc27846"/>
      <w:bookmarkStart w:id="2054" w:name="_Toc283794148"/>
      <w:bookmarkStart w:id="2055" w:name="_Toc288491476"/>
      <w:bookmarkStart w:id="2056" w:name="_Toc14699"/>
      <w:bookmarkStart w:id="2057" w:name="_Toc12032"/>
      <w:bookmarkStart w:id="2058" w:name="_Toc31465"/>
      <w:bookmarkStart w:id="2059" w:name="_Toc282779460"/>
      <w:r>
        <w:rPr>
          <w:rFonts w:hint="eastAsia" w:ascii="Times New Roman" w:hAnsi="Times New Roman"/>
          <w:sz w:val="28"/>
          <w:szCs w:val="28"/>
        </w:rPr>
        <w:t>3</w:t>
      </w:r>
      <w:r>
        <w:rPr>
          <w:rFonts w:ascii="Times New Roman"/>
          <w:sz w:val="28"/>
          <w:szCs w:val="28"/>
        </w:rPr>
        <w:t>．</w:t>
      </w:r>
      <w:r>
        <w:rPr>
          <w:rFonts w:hint="eastAsia"/>
          <w:b w:val="0"/>
          <w:sz w:val="28"/>
          <w:szCs w:val="28"/>
        </w:rPr>
        <w:t>评标程序</w:t>
      </w:r>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p>
    <w:p>
      <w:pPr>
        <w:pStyle w:val="7"/>
        <w:spacing w:before="120" w:afterLines="50" w:line="420" w:lineRule="exact"/>
        <w:rPr>
          <w:rFonts w:ascii="Times New Roman" w:hAnsi="Times New Roman"/>
          <w:b w:val="0"/>
          <w:sz w:val="21"/>
          <w:szCs w:val="21"/>
        </w:rPr>
      </w:pPr>
      <w:bookmarkStart w:id="2060" w:name="_Toc282787394"/>
      <w:r>
        <w:rPr>
          <w:rFonts w:ascii="Times New Roman" w:hAnsi="Times New Roman"/>
          <w:sz w:val="21"/>
          <w:szCs w:val="21"/>
        </w:rPr>
        <w:t>3.1</w:t>
      </w:r>
      <w:r>
        <w:rPr>
          <w:rFonts w:ascii="Times New Roman"/>
          <w:b w:val="0"/>
          <w:sz w:val="21"/>
          <w:szCs w:val="21"/>
        </w:rPr>
        <w:t>初步评审</w:t>
      </w:r>
      <w:bookmarkEnd w:id="2060"/>
    </w:p>
    <w:p>
      <w:pPr>
        <w:spacing w:line="420" w:lineRule="exact"/>
        <w:ind w:firstLine="420" w:firstLineChars="200"/>
        <w:rPr>
          <w:szCs w:val="21"/>
        </w:rPr>
      </w:pPr>
      <w:r>
        <w:rPr>
          <w:rFonts w:hint="eastAsia"/>
          <w:szCs w:val="21"/>
        </w:rPr>
        <w:t>3.1.1  评标委员会可以要求投标人提交第二章“投标人须知”第3.5.1项至第3.5.5</w:t>
      </w:r>
    </w:p>
    <w:p>
      <w:pPr>
        <w:spacing w:line="420" w:lineRule="exact"/>
        <w:ind w:firstLine="420" w:firstLineChars="200"/>
        <w:rPr>
          <w:szCs w:val="21"/>
        </w:rPr>
      </w:pPr>
      <w:r>
        <w:rPr>
          <w:rFonts w:hint="eastAsia"/>
          <w:szCs w:val="21"/>
        </w:rPr>
        <w:t>项规定的有关证明和证件的原件，以便核验。评标委员会依据本章第2.1款规定的标准对投标文件进行初步评审。有一项不符合评审标准的，作否决投标处理。</w:t>
      </w:r>
    </w:p>
    <w:p>
      <w:pPr>
        <w:spacing w:line="400" w:lineRule="exact"/>
        <w:ind w:firstLine="420" w:firstLineChars="200"/>
        <w:rPr>
          <w:szCs w:val="21"/>
        </w:rPr>
      </w:pPr>
      <w:r>
        <w:rPr>
          <w:rFonts w:hint="eastAsia"/>
          <w:szCs w:val="21"/>
        </w:rPr>
        <w:t>3.1.2  投标人有以下情形之一的，其投标作否决投标处理：</w:t>
      </w:r>
    </w:p>
    <w:p>
      <w:pPr>
        <w:spacing w:line="400" w:lineRule="exact"/>
        <w:ind w:firstLine="420" w:firstLineChars="200"/>
        <w:rPr>
          <w:szCs w:val="21"/>
        </w:rPr>
      </w:pPr>
      <w:r>
        <w:rPr>
          <w:rFonts w:hint="eastAsia"/>
          <w:szCs w:val="21"/>
        </w:rPr>
        <w:t>（1）第二章“投标人须知”第1.4.3项规定的任何一种情形的；</w:t>
      </w:r>
    </w:p>
    <w:p>
      <w:pPr>
        <w:spacing w:line="400" w:lineRule="exact"/>
        <w:ind w:firstLine="420" w:firstLineChars="200"/>
        <w:rPr>
          <w:szCs w:val="21"/>
        </w:rPr>
      </w:pPr>
      <w:r>
        <w:rPr>
          <w:rFonts w:hint="eastAsia"/>
          <w:szCs w:val="21"/>
        </w:rPr>
        <w:t>（2）串通投标或弄虚作假或有其它违法行为的；</w:t>
      </w:r>
    </w:p>
    <w:p>
      <w:pPr>
        <w:spacing w:line="420" w:lineRule="exact"/>
        <w:ind w:firstLine="420" w:firstLineChars="200"/>
        <w:rPr>
          <w:szCs w:val="21"/>
        </w:rPr>
      </w:pPr>
      <w:r>
        <w:rPr>
          <w:rFonts w:hint="eastAsia"/>
          <w:szCs w:val="21"/>
        </w:rPr>
        <w:t>（3）不按评标委员会要求澄清、说明或补正的。</w:t>
      </w:r>
    </w:p>
    <w:p>
      <w:pPr>
        <w:spacing w:line="420" w:lineRule="exact"/>
        <w:ind w:firstLine="420" w:firstLineChars="200"/>
        <w:rPr>
          <w:szCs w:val="21"/>
        </w:rPr>
      </w:pPr>
      <w:r>
        <w:rPr>
          <w:rFonts w:hint="eastAsia"/>
          <w:szCs w:val="21"/>
        </w:rPr>
        <w:t>3.1.3  招标人开标宣布的投标人报价，当以数字表示的金额与文字表示的金额有差异时，以文字表示的金额为准。经投标人确认且符合招标文件要求的最终报价即为投标人的评标价；</w:t>
      </w:r>
    </w:p>
    <w:p>
      <w:pPr>
        <w:spacing w:line="420" w:lineRule="exact"/>
        <w:ind w:firstLine="420" w:firstLineChars="200"/>
        <w:rPr>
          <w:szCs w:val="21"/>
        </w:rPr>
      </w:pPr>
      <w:r>
        <w:rPr>
          <w:rFonts w:hint="eastAsia"/>
          <w:szCs w:val="21"/>
        </w:rPr>
        <w:t>投标人开标时确认的最终报价，经评标委员会校核，若有算术上和累加运算上的差错，按以下原则进行处理：</w:t>
      </w:r>
    </w:p>
    <w:p>
      <w:pPr>
        <w:spacing w:line="420" w:lineRule="exact"/>
        <w:ind w:firstLine="420" w:firstLineChars="200"/>
        <w:rPr>
          <w:szCs w:val="21"/>
        </w:rPr>
      </w:pPr>
      <w:r>
        <w:rPr>
          <w:rFonts w:hint="eastAsia"/>
          <w:szCs w:val="21"/>
        </w:rPr>
        <w:t>（1）投标人的最终投标价（文字表示的金额）一经开标宣布，无论何种原因，不准修正；</w:t>
      </w:r>
    </w:p>
    <w:p>
      <w:pPr>
        <w:spacing w:line="420" w:lineRule="exact"/>
        <w:ind w:firstLine="422" w:firstLineChars="200"/>
        <w:rPr>
          <w:b/>
          <w:bCs/>
          <w:szCs w:val="21"/>
        </w:rPr>
      </w:pPr>
      <w:r>
        <w:rPr>
          <w:rFonts w:hint="eastAsia"/>
          <w:b/>
          <w:bCs/>
          <w:szCs w:val="21"/>
        </w:rPr>
        <w:t>（2）当各子目的算术性差错绝对值累计在1％投标价以上时，属重大偏差，则为无效标；</w:t>
      </w:r>
    </w:p>
    <w:p>
      <w:pPr>
        <w:spacing w:line="420" w:lineRule="exact"/>
        <w:ind w:firstLine="420" w:firstLineChars="200"/>
        <w:rPr>
          <w:szCs w:val="21"/>
        </w:rPr>
      </w:pPr>
      <w:r>
        <w:rPr>
          <w:rFonts w:hint="eastAsia"/>
          <w:szCs w:val="21"/>
        </w:rPr>
        <w:t>（3）当各子目的算术性差错绝对值累计在1％投标价以内时，应在报价金额不变和注意报价平衡的前提下，对相关单价金额、合价、总额价和暂列金额</w:t>
      </w:r>
      <w:r>
        <w:rPr>
          <w:rFonts w:hint="eastAsia" w:ascii="宋体" w:hAnsi="宋体"/>
          <w:szCs w:val="21"/>
        </w:rPr>
        <w:t>（</w:t>
      </w:r>
      <w:r>
        <w:rPr>
          <w:rFonts w:hint="eastAsia"/>
          <w:szCs w:val="21"/>
        </w:rPr>
        <w:t>必须符合招标文件的要求）予以修正。</w:t>
      </w:r>
    </w:p>
    <w:p>
      <w:pPr>
        <w:spacing w:line="420" w:lineRule="exact"/>
        <w:ind w:firstLine="420" w:firstLineChars="200"/>
        <w:rPr>
          <w:szCs w:val="21"/>
        </w:rPr>
      </w:pPr>
      <w:r>
        <w:rPr>
          <w:rFonts w:hint="eastAsia"/>
          <w:szCs w:val="21"/>
        </w:rPr>
        <w:t>3.14  工程量清单中的各子目算术性差错绝对值累计在1％投标价以内，评标委员会按以下原则进行修正，修正的价格经投标人书面确认后具有约束力。投标人不接受修正价格的，其投标作否决投标处理。</w:t>
      </w:r>
    </w:p>
    <w:p>
      <w:pPr>
        <w:spacing w:line="420" w:lineRule="exact"/>
        <w:ind w:firstLine="420" w:firstLineChars="200"/>
        <w:rPr>
          <w:szCs w:val="21"/>
        </w:rPr>
      </w:pPr>
      <w:r>
        <w:rPr>
          <w:rFonts w:hint="eastAsia"/>
          <w:szCs w:val="21"/>
        </w:rPr>
        <w:t>（1）在招标人给定的工程量清单中漏报了某个工程子目的单价、合价或总额价，或所报单价、合价或总额价减少了报价范围，则应在报价金额不变的前提下，漏报的工程子目单价、合价或总额价或单价、合价或总额价中减少的报价内容视为已含入其它工程子目的单价、合价或总额价之中。</w:t>
      </w:r>
    </w:p>
    <w:p>
      <w:pPr>
        <w:spacing w:line="420" w:lineRule="exact"/>
        <w:ind w:firstLine="420" w:firstLineChars="200"/>
        <w:rPr>
          <w:szCs w:val="21"/>
        </w:rPr>
      </w:pPr>
      <w:r>
        <w:rPr>
          <w:rFonts w:hint="eastAsia"/>
          <w:szCs w:val="21"/>
        </w:rPr>
        <w:t>（2）在招标人给定的工程量清单中多报了某个工程子目的单价、合价或总额价，或所报单价、合价或总额价增加了报价范围，则应在报价金额不变的前提下，从投标报价中扣除多报的工程子目报价或工程子目报价中增加了报价范围的部分报价，列入暂列金额中，相应减少合价金额。</w:t>
      </w:r>
    </w:p>
    <w:p>
      <w:pPr>
        <w:spacing w:line="420" w:lineRule="exact"/>
        <w:ind w:firstLine="420" w:firstLineChars="200"/>
        <w:rPr>
          <w:szCs w:val="21"/>
        </w:rPr>
      </w:pPr>
      <w:r>
        <w:rPr>
          <w:rFonts w:hint="eastAsia"/>
          <w:szCs w:val="21"/>
        </w:rPr>
        <w:t>（3）当单价与数量的乘积与合价（金额）虽然一致，但投标人减少了该子目的工程数量，则应在报价不变的前提下，将合价除以按招标人给定的工程数量得出的单价予以修正投标人所报单价。</w:t>
      </w:r>
    </w:p>
    <w:p>
      <w:pPr>
        <w:pStyle w:val="7"/>
        <w:spacing w:before="120" w:after="120" w:line="420" w:lineRule="exact"/>
        <w:rPr>
          <w:rFonts w:ascii="Times New Roman" w:hAnsi="Times New Roman"/>
          <w:b w:val="0"/>
          <w:sz w:val="21"/>
          <w:szCs w:val="21"/>
        </w:rPr>
      </w:pPr>
      <w:bookmarkStart w:id="2061" w:name="_Toc282787395"/>
      <w:r>
        <w:rPr>
          <w:rFonts w:ascii="Times New Roman" w:hAnsi="Times New Roman"/>
          <w:sz w:val="21"/>
          <w:szCs w:val="21"/>
        </w:rPr>
        <w:t>3.2</w:t>
      </w:r>
      <w:r>
        <w:rPr>
          <w:rFonts w:ascii="Times New Roman"/>
          <w:b w:val="0"/>
          <w:sz w:val="21"/>
          <w:szCs w:val="21"/>
        </w:rPr>
        <w:t>详细评审</w:t>
      </w:r>
      <w:bookmarkEnd w:id="2061"/>
    </w:p>
    <w:p>
      <w:pPr>
        <w:spacing w:line="420" w:lineRule="exact"/>
        <w:ind w:firstLine="420" w:firstLineChars="200"/>
        <w:rPr>
          <w:szCs w:val="21"/>
        </w:rPr>
      </w:pPr>
      <w:r>
        <w:rPr>
          <w:rFonts w:hint="eastAsia"/>
          <w:szCs w:val="21"/>
        </w:rPr>
        <w:t>3.2.1  评标委员会按本章第2.2款规定的量化因素和分值进行打分，并计算出综合评估得分。</w:t>
      </w:r>
    </w:p>
    <w:p>
      <w:pPr>
        <w:spacing w:line="420" w:lineRule="exact"/>
        <w:ind w:firstLine="420" w:firstLineChars="200"/>
        <w:rPr>
          <w:szCs w:val="21"/>
        </w:rPr>
      </w:pPr>
      <w:r>
        <w:rPr>
          <w:rFonts w:hint="eastAsia"/>
          <w:szCs w:val="21"/>
        </w:rPr>
        <w:t>3.2.2  评分分值计算保留小数点后两位，小数点后第三位“四舍五入”。</w:t>
      </w:r>
    </w:p>
    <w:p>
      <w:pPr>
        <w:spacing w:line="420" w:lineRule="exact"/>
        <w:ind w:firstLine="420" w:firstLineChars="200"/>
        <w:rPr>
          <w:szCs w:val="21"/>
        </w:rPr>
      </w:pPr>
      <w:r>
        <w:rPr>
          <w:rFonts w:hint="eastAsia"/>
          <w:szCs w:val="21"/>
        </w:rPr>
        <w:t>3.2.3  投标人得分 = 评标价得分 + 技术评价得分 + 管理水平得分 + 企业资质与信誉得分。</w:t>
      </w:r>
    </w:p>
    <w:p>
      <w:pPr>
        <w:spacing w:line="420" w:lineRule="exact"/>
        <w:ind w:firstLine="420" w:firstLineChars="200"/>
        <w:rPr>
          <w:szCs w:val="21"/>
        </w:rPr>
      </w:pPr>
      <w:r>
        <w:rPr>
          <w:rFonts w:hint="eastAsia"/>
          <w:szCs w:val="21"/>
        </w:rPr>
        <w:t>3.2.4  评标委员会在完成对投标文件的资格审查和初步评审后，还应从合同条件、技术能力以及投标人以往施工履约信誉等方面进行详细评审，并按通过或不通过进行评审。</w:t>
      </w:r>
    </w:p>
    <w:p>
      <w:pPr>
        <w:pStyle w:val="7"/>
        <w:spacing w:before="120" w:after="120" w:line="420" w:lineRule="exact"/>
        <w:rPr>
          <w:rFonts w:ascii="Times New Roman" w:hAnsi="Times New Roman"/>
          <w:b w:val="0"/>
          <w:sz w:val="24"/>
          <w:szCs w:val="24"/>
        </w:rPr>
      </w:pPr>
      <w:bookmarkStart w:id="2062" w:name="_Toc282787396"/>
      <w:r>
        <w:rPr>
          <w:rFonts w:ascii="Times New Roman" w:hAnsi="Times New Roman"/>
          <w:sz w:val="24"/>
          <w:szCs w:val="24"/>
        </w:rPr>
        <w:t>3.3</w:t>
      </w:r>
      <w:r>
        <w:rPr>
          <w:rFonts w:hint="eastAsia"/>
          <w:b w:val="0"/>
          <w:sz w:val="24"/>
          <w:szCs w:val="24"/>
        </w:rPr>
        <w:t>投标文件的澄清和补正</w:t>
      </w:r>
      <w:bookmarkEnd w:id="2062"/>
    </w:p>
    <w:p>
      <w:pPr>
        <w:spacing w:line="420" w:lineRule="exact"/>
        <w:ind w:firstLine="420" w:firstLineChars="200"/>
        <w:rPr>
          <w:szCs w:val="21"/>
        </w:rPr>
      </w:pPr>
      <w:r>
        <w:rPr>
          <w:rFonts w:hint="eastAsia"/>
          <w:szCs w:val="21"/>
        </w:rPr>
        <w:t>3.3.1  在评标过程中，评标委员会可以书面形式要求投标人对所提交投标文件中不明确的内容进行书面澄清或说明，或者对细微偏差进行补正。评标委员会不接受投标人主动提出的澄清、说明或补正。</w:t>
      </w:r>
    </w:p>
    <w:p>
      <w:pPr>
        <w:spacing w:line="420" w:lineRule="exact"/>
        <w:ind w:firstLine="420" w:firstLineChars="200"/>
        <w:rPr>
          <w:szCs w:val="21"/>
        </w:rPr>
      </w:pPr>
      <w:r>
        <w:rPr>
          <w:rFonts w:hint="eastAsia"/>
          <w:szCs w:val="21"/>
        </w:rPr>
        <w:t>3.3.2  澄清、说明和补正不得改变投标文件的实质性内容（算术性错误修正的除外）。投标人的书面澄清、说明和补正属于投标文件的组成部分。</w:t>
      </w:r>
    </w:p>
    <w:p>
      <w:pPr>
        <w:spacing w:line="420" w:lineRule="exact"/>
        <w:ind w:firstLine="420" w:firstLineChars="200"/>
        <w:rPr>
          <w:szCs w:val="21"/>
        </w:rPr>
      </w:pPr>
      <w:r>
        <w:rPr>
          <w:rFonts w:hint="eastAsia"/>
          <w:szCs w:val="21"/>
        </w:rPr>
        <w:t>3.3.3  评标委员会对投标人提交的澄清、说明或补正有疑问的，可以要求投标人进一步澄清、说明或补正，直至满足评标委员会的要求。</w:t>
      </w:r>
    </w:p>
    <w:p>
      <w:pPr>
        <w:spacing w:line="420" w:lineRule="exact"/>
        <w:ind w:firstLine="420" w:firstLineChars="200"/>
        <w:rPr>
          <w:szCs w:val="21"/>
        </w:rPr>
      </w:pPr>
      <w:r>
        <w:rPr>
          <w:rFonts w:hint="eastAsia"/>
          <w:szCs w:val="21"/>
        </w:rPr>
        <w:t>3.3.4  凡超出招标文件规定的或给发包人带来未曾要求的利益的变化、偏差或其它因素在评标时不予考虑。</w:t>
      </w:r>
    </w:p>
    <w:p>
      <w:pPr>
        <w:pStyle w:val="7"/>
        <w:spacing w:before="120" w:after="120" w:line="420" w:lineRule="exact"/>
        <w:rPr>
          <w:rFonts w:ascii="Times New Roman" w:hAnsi="Times New Roman"/>
          <w:b w:val="0"/>
          <w:sz w:val="21"/>
          <w:szCs w:val="21"/>
        </w:rPr>
      </w:pPr>
      <w:bookmarkStart w:id="2063" w:name="_Toc282787397"/>
      <w:r>
        <w:rPr>
          <w:rFonts w:ascii="Times New Roman" w:hAnsi="Times New Roman"/>
          <w:sz w:val="21"/>
          <w:szCs w:val="21"/>
        </w:rPr>
        <w:t>3.4</w:t>
      </w:r>
      <w:r>
        <w:rPr>
          <w:rFonts w:hint="eastAsia"/>
          <w:b w:val="0"/>
          <w:sz w:val="21"/>
          <w:szCs w:val="21"/>
        </w:rPr>
        <w:t>评标结果</w:t>
      </w:r>
      <w:bookmarkEnd w:id="2063"/>
    </w:p>
    <w:p>
      <w:pPr>
        <w:spacing w:line="420" w:lineRule="exact"/>
        <w:ind w:firstLine="420" w:firstLineChars="200"/>
        <w:rPr>
          <w:szCs w:val="21"/>
        </w:rPr>
      </w:pPr>
      <w:r>
        <w:rPr>
          <w:rFonts w:hint="eastAsia"/>
          <w:szCs w:val="21"/>
        </w:rPr>
        <w:t>3.4.1  除第二章“投标人须知”前附表授权直接确定中标人外，评标委员会按照得分由高到低的顺序推荐中标候选人。</w:t>
      </w:r>
    </w:p>
    <w:p>
      <w:pPr>
        <w:spacing w:line="420" w:lineRule="exact"/>
        <w:ind w:firstLine="420" w:firstLineChars="200"/>
        <w:rPr>
          <w:szCs w:val="21"/>
        </w:rPr>
      </w:pPr>
      <w:r>
        <w:rPr>
          <w:rFonts w:hint="eastAsia"/>
          <w:szCs w:val="21"/>
        </w:rPr>
        <w:t>3.4.2  评标委员会完成评标后，应当向招标人提交书面评标报告。</w:t>
      </w:r>
    </w:p>
    <w:p>
      <w:pPr>
        <w:spacing w:line="420" w:lineRule="exact"/>
        <w:ind w:firstLine="480" w:firstLineChars="200"/>
        <w:rPr>
          <w:sz w:val="24"/>
        </w:rPr>
      </w:pPr>
    </w:p>
    <w:p>
      <w:pPr>
        <w:ind w:firstLine="2160" w:firstLineChars="600"/>
        <w:rPr>
          <w:rFonts w:ascii="黑体" w:eastAsia="黑体"/>
          <w:sz w:val="36"/>
          <w:szCs w:val="36"/>
          <w:u w:val="single"/>
        </w:rPr>
      </w:pPr>
    </w:p>
    <w:p>
      <w:pPr>
        <w:ind w:firstLine="2160" w:firstLineChars="600"/>
        <w:rPr>
          <w:rFonts w:ascii="黑体" w:eastAsia="黑体"/>
          <w:sz w:val="36"/>
          <w:szCs w:val="36"/>
          <w:u w:val="single"/>
        </w:rPr>
      </w:pPr>
    </w:p>
    <w:p>
      <w:pPr>
        <w:ind w:firstLine="2160" w:firstLineChars="600"/>
        <w:rPr>
          <w:rFonts w:ascii="黑体" w:eastAsia="黑体"/>
          <w:sz w:val="36"/>
          <w:szCs w:val="36"/>
          <w:u w:val="single"/>
        </w:rPr>
      </w:pPr>
    </w:p>
    <w:p>
      <w:pPr>
        <w:ind w:firstLine="2160" w:firstLineChars="600"/>
        <w:rPr>
          <w:rFonts w:ascii="黑体" w:eastAsia="黑体"/>
          <w:sz w:val="36"/>
          <w:szCs w:val="36"/>
          <w:u w:val="single"/>
        </w:rPr>
      </w:pPr>
    </w:p>
    <w:p>
      <w:pPr>
        <w:ind w:firstLine="2160" w:firstLineChars="600"/>
        <w:rPr>
          <w:rFonts w:ascii="黑体" w:eastAsia="黑体"/>
          <w:sz w:val="36"/>
          <w:szCs w:val="36"/>
          <w:u w:val="single"/>
        </w:rPr>
      </w:pPr>
    </w:p>
    <w:p>
      <w:pPr>
        <w:pStyle w:val="2"/>
        <w:ind w:firstLine="360"/>
        <w:rPr>
          <w:rFonts w:ascii="黑体" w:eastAsia="黑体"/>
          <w:sz w:val="36"/>
          <w:szCs w:val="36"/>
          <w:u w:val="single"/>
        </w:rPr>
      </w:pPr>
    </w:p>
    <w:p>
      <w:pPr>
        <w:pStyle w:val="2"/>
        <w:ind w:firstLine="360"/>
        <w:rPr>
          <w:rFonts w:ascii="黑体" w:eastAsia="黑体"/>
          <w:sz w:val="36"/>
          <w:szCs w:val="36"/>
          <w:u w:val="single"/>
        </w:rPr>
      </w:pPr>
    </w:p>
    <w:p>
      <w:pPr>
        <w:pStyle w:val="2"/>
        <w:ind w:firstLine="360"/>
        <w:rPr>
          <w:rFonts w:ascii="黑体" w:eastAsia="黑体"/>
          <w:sz w:val="36"/>
          <w:szCs w:val="36"/>
          <w:u w:val="single"/>
        </w:rPr>
      </w:pPr>
    </w:p>
    <w:p>
      <w:pPr>
        <w:pStyle w:val="2"/>
        <w:ind w:firstLine="360"/>
        <w:rPr>
          <w:rFonts w:ascii="黑体" w:eastAsia="黑体"/>
          <w:sz w:val="36"/>
          <w:szCs w:val="36"/>
          <w:u w:val="single"/>
        </w:rPr>
      </w:pPr>
    </w:p>
    <w:p>
      <w:pPr>
        <w:rPr>
          <w:rFonts w:ascii="黑体" w:eastAsia="黑体"/>
          <w:sz w:val="36"/>
          <w:szCs w:val="36"/>
          <w:u w:val="single"/>
        </w:rPr>
      </w:pPr>
    </w:p>
    <w:p>
      <w:pPr>
        <w:rPr>
          <w:rFonts w:ascii="黑体" w:eastAsia="黑体"/>
        </w:rPr>
      </w:pPr>
      <w:bookmarkStart w:id="2064" w:name="_Toc233622793"/>
      <w:bookmarkStart w:id="2065" w:name="_Toc233423232"/>
      <w:bookmarkStart w:id="2066" w:name="_Toc12338"/>
      <w:bookmarkStart w:id="2067" w:name="_Toc1088"/>
      <w:bookmarkStart w:id="2068" w:name="_Toc233290347"/>
      <w:bookmarkStart w:id="2069" w:name="_Toc25058"/>
      <w:bookmarkStart w:id="2070" w:name="_Toc10161"/>
      <w:bookmarkStart w:id="2071" w:name="_Toc233435959"/>
      <w:bookmarkStart w:id="2072" w:name="_Toc12881"/>
      <w:bookmarkStart w:id="2073" w:name="_Toc18130"/>
      <w:bookmarkStart w:id="2074" w:name="_Toc6529"/>
      <w:bookmarkStart w:id="2075" w:name="_Toc8861"/>
      <w:bookmarkStart w:id="2076" w:name="_Toc233429748"/>
      <w:r>
        <w:rPr>
          <w:rFonts w:hint="eastAsia" w:ascii="黑体" w:eastAsia="黑体"/>
        </w:rPr>
        <w:br w:type="page"/>
      </w:r>
    </w:p>
    <w:p>
      <w:pPr>
        <w:pStyle w:val="4"/>
        <w:numPr>
          <w:ilvl w:val="255"/>
          <w:numId w:val="0"/>
        </w:numPr>
        <w:spacing w:before="0" w:after="0" w:line="240" w:lineRule="auto"/>
        <w:jc w:val="center"/>
        <w:rPr>
          <w:rFonts w:ascii="黑体" w:eastAsia="黑体"/>
          <w:bCs w:val="0"/>
        </w:rPr>
      </w:pPr>
      <w:r>
        <w:rPr>
          <w:rFonts w:hint="eastAsia" w:ascii="黑体" w:eastAsia="黑体"/>
          <w:bCs w:val="0"/>
        </w:rPr>
        <w:t xml:space="preserve">第四章 </w:t>
      </w:r>
      <w:bookmarkStart w:id="2077" w:name="_Toc22043"/>
      <w:bookmarkStart w:id="2078" w:name="_Toc6235"/>
      <w:bookmarkStart w:id="2079" w:name="_Toc26365"/>
      <w:bookmarkStart w:id="2080" w:name="_Toc18049"/>
      <w:bookmarkStart w:id="2081" w:name="_Toc4369"/>
      <w:bookmarkStart w:id="2082" w:name="_Toc21634"/>
      <w:bookmarkStart w:id="2083" w:name="_Toc30009"/>
      <w:bookmarkStart w:id="2084" w:name="_Toc27105"/>
      <w:bookmarkStart w:id="2085" w:name="_Toc15230"/>
      <w:bookmarkStart w:id="2086" w:name="_Toc17089"/>
      <w:r>
        <w:rPr>
          <w:rFonts w:hint="eastAsia" w:ascii="黑体" w:eastAsia="黑体"/>
          <w:bCs w:val="0"/>
        </w:rPr>
        <w:t>合同条款及格式</w:t>
      </w:r>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Start w:id="2087" w:name="_Toc237255128"/>
      <w:bookmarkStart w:id="2088" w:name="_Toc283794160"/>
      <w:bookmarkStart w:id="2089" w:name="_Toc233214800"/>
      <w:bookmarkStart w:id="2090" w:name="_Toc233429749"/>
      <w:bookmarkStart w:id="2091" w:name="_Toc282778963"/>
      <w:bookmarkStart w:id="2092" w:name="_Toc282787409"/>
      <w:bookmarkStart w:id="2093" w:name="_Toc233423233"/>
      <w:bookmarkStart w:id="2094" w:name="_Toc288546612"/>
      <w:bookmarkStart w:id="2095" w:name="_Toc282779472"/>
      <w:bookmarkStart w:id="2096" w:name="_Toc233290348"/>
      <w:bookmarkStart w:id="2097" w:name="_Toc237923788"/>
      <w:bookmarkStart w:id="2098" w:name="_Toc233435960"/>
      <w:bookmarkStart w:id="2099" w:name="_Toc288491488"/>
      <w:bookmarkStart w:id="2100" w:name="_Toc235846353"/>
      <w:bookmarkStart w:id="2101" w:name="_Toc287853312"/>
    </w:p>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p>
      <w:pPr>
        <w:pStyle w:val="5"/>
        <w:numPr>
          <w:ilvl w:val="0"/>
          <w:numId w:val="6"/>
        </w:numPr>
        <w:jc w:val="center"/>
        <w:rPr>
          <w:b w:val="0"/>
        </w:rPr>
      </w:pPr>
      <w:bookmarkStart w:id="2102" w:name="_Toc12008"/>
      <w:bookmarkStart w:id="2103" w:name="_Toc233214801"/>
      <w:bookmarkStart w:id="2104" w:name="_Toc282787410"/>
      <w:bookmarkStart w:id="2105" w:name="_Toc8061"/>
      <w:bookmarkStart w:id="2106" w:name="_Toc29306"/>
      <w:bookmarkStart w:id="2107" w:name="_Toc237255129"/>
      <w:bookmarkStart w:id="2108" w:name="_Toc233435961"/>
      <w:bookmarkStart w:id="2109" w:name="_Toc282779473"/>
      <w:bookmarkStart w:id="2110" w:name="_Toc237923789"/>
      <w:bookmarkStart w:id="2111" w:name="_Toc233423234"/>
      <w:bookmarkStart w:id="2112" w:name="_Toc235846354"/>
      <w:bookmarkStart w:id="2113" w:name="_Toc288546613"/>
      <w:bookmarkStart w:id="2114" w:name="_Toc21441"/>
      <w:bookmarkStart w:id="2115" w:name="_Toc287853313"/>
      <w:bookmarkStart w:id="2116" w:name="_Toc283794161"/>
      <w:bookmarkStart w:id="2117" w:name="_Toc288491489"/>
      <w:bookmarkStart w:id="2118" w:name="_Toc4005"/>
      <w:bookmarkStart w:id="2119" w:name="_Toc233290349"/>
      <w:bookmarkStart w:id="2120" w:name="_Toc13393"/>
      <w:bookmarkStart w:id="2121" w:name="_Toc17262"/>
      <w:bookmarkStart w:id="2122" w:name="_Toc11129"/>
      <w:bookmarkStart w:id="2123" w:name="_Toc419"/>
      <w:bookmarkStart w:id="2124" w:name="_Toc282778964"/>
      <w:bookmarkStart w:id="2125" w:name="_Toc17576"/>
      <w:bookmarkStart w:id="2126" w:name="_Toc233429750"/>
      <w:bookmarkStart w:id="2127" w:name="_Toc21252"/>
      <w:bookmarkStart w:id="2128" w:name="_Toc7483"/>
      <w:bookmarkStart w:id="2129" w:name="_Toc179632629"/>
      <w:bookmarkStart w:id="2130" w:name="_Toc152045611"/>
      <w:bookmarkStart w:id="2131" w:name="_Toc25080"/>
      <w:bookmarkStart w:id="2132" w:name="_Toc237923790"/>
      <w:bookmarkStart w:id="2133" w:name="_Toc12278"/>
      <w:bookmarkStart w:id="2134" w:name="_Toc14516"/>
      <w:bookmarkStart w:id="2135" w:name="_Toc287853314"/>
      <w:bookmarkStart w:id="2136" w:name="_Toc152042389"/>
      <w:bookmarkStart w:id="2137" w:name="_Toc282779474"/>
      <w:bookmarkStart w:id="2138" w:name="_Toc1584"/>
      <w:bookmarkStart w:id="2139" w:name="_Toc282787411"/>
      <w:bookmarkStart w:id="2140" w:name="_Toc16697"/>
      <w:bookmarkStart w:id="2141" w:name="_Toc288546614"/>
      <w:bookmarkStart w:id="2142" w:name="_Toc283794162"/>
      <w:bookmarkStart w:id="2143" w:name="_Toc1875"/>
      <w:bookmarkStart w:id="2144" w:name="_Toc28788"/>
      <w:bookmarkStart w:id="2145" w:name="_Toc144974579"/>
      <w:bookmarkStart w:id="2146" w:name="_Toc282778965"/>
      <w:bookmarkStart w:id="2147" w:name="_Toc8869"/>
      <w:bookmarkStart w:id="2148" w:name="_Toc288491490"/>
      <w:r>
        <w:rPr>
          <w:rFonts w:hint="eastAsia"/>
          <w:b w:val="0"/>
        </w:rPr>
        <w:t>通用合同条款</w:t>
      </w:r>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p>
    <w:p>
      <w:pPr>
        <w:pStyle w:val="28"/>
        <w:spacing w:beforeLines="50" w:afterLines="50" w:line="420" w:lineRule="exact"/>
        <w:rPr>
          <w:szCs w:val="28"/>
        </w:rPr>
      </w:pPr>
      <w:bookmarkStart w:id="2149" w:name="_Toc14719"/>
      <w:bookmarkStart w:id="2150" w:name="_Toc32298"/>
      <w:bookmarkStart w:id="2151" w:name="_Toc23478"/>
      <w:bookmarkStart w:id="2152" w:name="_Toc2178"/>
      <w:bookmarkStart w:id="2153" w:name="_Toc7831"/>
      <w:bookmarkStart w:id="2154" w:name="_Toc27385"/>
      <w:bookmarkStart w:id="2155" w:name="_Toc14298"/>
      <w:bookmarkStart w:id="2156" w:name="_Toc22980"/>
      <w:bookmarkStart w:id="2157" w:name="_Toc2605"/>
      <w:bookmarkStart w:id="2158" w:name="_Toc13098"/>
      <w:bookmarkStart w:id="2159" w:name="_Toc13173"/>
      <w:r>
        <w:rPr>
          <w:rFonts w:hint="eastAsia"/>
          <w:szCs w:val="28"/>
        </w:rPr>
        <w:t>1．一般约定</w:t>
      </w:r>
      <w:bookmarkEnd w:id="2149"/>
      <w:bookmarkEnd w:id="2150"/>
      <w:bookmarkEnd w:id="2151"/>
      <w:bookmarkEnd w:id="2152"/>
      <w:bookmarkEnd w:id="2153"/>
      <w:bookmarkEnd w:id="2154"/>
      <w:bookmarkEnd w:id="2155"/>
      <w:bookmarkEnd w:id="2156"/>
      <w:bookmarkEnd w:id="2157"/>
      <w:bookmarkEnd w:id="2158"/>
      <w:bookmarkEnd w:id="2159"/>
    </w:p>
    <w:p>
      <w:pPr>
        <w:pStyle w:val="27"/>
        <w:spacing w:beforeLines="50" w:afterLines="50" w:line="420" w:lineRule="exact"/>
        <w:rPr>
          <w:szCs w:val="24"/>
        </w:rPr>
      </w:pPr>
      <w:bookmarkStart w:id="2160" w:name="_Toc282779475"/>
      <w:bookmarkStart w:id="2161" w:name="_Toc13457"/>
      <w:bookmarkStart w:id="2162" w:name="_Toc18742"/>
      <w:bookmarkStart w:id="2163" w:name="_Toc15390"/>
      <w:bookmarkStart w:id="2164" w:name="_Toc287853315"/>
      <w:bookmarkStart w:id="2165" w:name="_Toc179632630"/>
      <w:bookmarkStart w:id="2166" w:name="_Toc282778966"/>
      <w:bookmarkStart w:id="2167" w:name="_Toc288546615"/>
      <w:bookmarkStart w:id="2168" w:name="_Toc152045612"/>
      <w:bookmarkStart w:id="2169" w:name="_Toc144974580"/>
      <w:bookmarkStart w:id="2170" w:name="_Toc283794163"/>
      <w:bookmarkStart w:id="2171" w:name="_Toc13874"/>
      <w:bookmarkStart w:id="2172" w:name="_Toc22699"/>
      <w:bookmarkStart w:id="2173" w:name="_Toc12774"/>
      <w:bookmarkStart w:id="2174" w:name="_Toc10077"/>
      <w:bookmarkStart w:id="2175" w:name="_Toc282787412"/>
      <w:bookmarkStart w:id="2176" w:name="_Toc32309"/>
      <w:bookmarkStart w:id="2177" w:name="_Toc22268"/>
      <w:bookmarkStart w:id="2178" w:name="_Toc237923791"/>
      <w:bookmarkStart w:id="2179" w:name="_Toc288491491"/>
      <w:bookmarkStart w:id="2180" w:name="_Toc3090"/>
      <w:bookmarkStart w:id="2181" w:name="_Toc152042390"/>
      <w:bookmarkStart w:id="2182" w:name="_Toc2337"/>
      <w:r>
        <w:rPr>
          <w:rFonts w:hint="eastAsia"/>
          <w:b/>
          <w:szCs w:val="24"/>
        </w:rPr>
        <w:t>1.1</w:t>
      </w:r>
      <w:r>
        <w:rPr>
          <w:rFonts w:hint="eastAsia"/>
          <w:szCs w:val="24"/>
        </w:rPr>
        <w:t xml:space="preserve">  词语定义</w:t>
      </w:r>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p>
    <w:p>
      <w:pPr>
        <w:spacing w:line="420" w:lineRule="exact"/>
        <w:ind w:firstLine="420" w:firstLineChars="200"/>
        <w:rPr>
          <w:szCs w:val="21"/>
        </w:rPr>
      </w:pPr>
      <w:r>
        <w:rPr>
          <w:rFonts w:hint="eastAsia"/>
          <w:szCs w:val="21"/>
        </w:rPr>
        <w:t>通用合同条款、专用合同条款中的下列词语应具有本款所赋予的含义。</w:t>
      </w:r>
    </w:p>
    <w:p>
      <w:pPr>
        <w:spacing w:line="420" w:lineRule="exact"/>
        <w:ind w:firstLine="420" w:firstLineChars="200"/>
        <w:rPr>
          <w:rFonts w:ascii="宋体" w:hAnsi="宋体"/>
          <w:szCs w:val="21"/>
        </w:rPr>
      </w:pPr>
      <w:r>
        <w:rPr>
          <w:rFonts w:hint="eastAsia"/>
          <w:szCs w:val="21"/>
        </w:rPr>
        <w:t xml:space="preserve">1.1.1 </w:t>
      </w:r>
      <w:r>
        <w:rPr>
          <w:rFonts w:hint="eastAsia" w:ascii="宋体" w:hAnsi="宋体"/>
          <w:szCs w:val="21"/>
        </w:rPr>
        <w:t xml:space="preserve"> 合同</w:t>
      </w:r>
    </w:p>
    <w:p>
      <w:pPr>
        <w:spacing w:line="420" w:lineRule="exact"/>
        <w:ind w:left="420" w:leftChars="200" w:firstLine="420" w:firstLineChars="200"/>
        <w:rPr>
          <w:szCs w:val="21"/>
        </w:rPr>
      </w:pPr>
      <w:r>
        <w:rPr>
          <w:rFonts w:hint="eastAsia"/>
          <w:szCs w:val="21"/>
        </w:rPr>
        <w:t>1.1.1.1  合同文件（或称合同）：指合同协议书、中标通知书、投标函及投标函附录、专用合同条款、通用合同条款、技术标准和要求、图纸、已标价工程量清单，以及其它合同文件。</w:t>
      </w:r>
    </w:p>
    <w:p>
      <w:pPr>
        <w:spacing w:line="420" w:lineRule="exact"/>
        <w:ind w:left="420" w:leftChars="200" w:firstLine="420" w:firstLineChars="200"/>
        <w:rPr>
          <w:szCs w:val="21"/>
        </w:rPr>
      </w:pPr>
      <w:r>
        <w:rPr>
          <w:rFonts w:hint="eastAsia"/>
          <w:szCs w:val="21"/>
        </w:rPr>
        <w:t>1.1.1.2  合同协议书：指第1.5款所指的合同协议书。</w:t>
      </w:r>
    </w:p>
    <w:p>
      <w:pPr>
        <w:spacing w:line="420" w:lineRule="exact"/>
        <w:ind w:left="420" w:leftChars="200" w:firstLine="420" w:firstLineChars="200"/>
        <w:rPr>
          <w:szCs w:val="21"/>
        </w:rPr>
      </w:pPr>
      <w:r>
        <w:rPr>
          <w:rFonts w:hint="eastAsia"/>
          <w:szCs w:val="21"/>
        </w:rPr>
        <w:t>1.1.1.3  中标通知书：指发包人通知承包人中标的函件。</w:t>
      </w:r>
    </w:p>
    <w:p>
      <w:pPr>
        <w:spacing w:line="420" w:lineRule="exact"/>
        <w:ind w:left="420" w:leftChars="200" w:firstLine="420" w:firstLineChars="200"/>
        <w:rPr>
          <w:dstrike/>
          <w:szCs w:val="21"/>
        </w:rPr>
      </w:pPr>
      <w:r>
        <w:rPr>
          <w:rFonts w:hint="eastAsia"/>
          <w:szCs w:val="21"/>
        </w:rPr>
        <w:t>1.1.1.4  投标函：指构成合同文件组成部分的由承包人填写并签署的投标函。</w:t>
      </w:r>
    </w:p>
    <w:p>
      <w:pPr>
        <w:spacing w:line="420" w:lineRule="exact"/>
        <w:ind w:left="420" w:leftChars="200" w:firstLine="420" w:firstLineChars="200"/>
        <w:rPr>
          <w:szCs w:val="21"/>
        </w:rPr>
      </w:pPr>
      <w:r>
        <w:rPr>
          <w:rFonts w:hint="eastAsia"/>
          <w:szCs w:val="21"/>
        </w:rPr>
        <w:t>1.1.1.5  投标函附录：指附在投标函后构成合同文件的投标函附录。</w:t>
      </w:r>
    </w:p>
    <w:p>
      <w:pPr>
        <w:spacing w:line="420" w:lineRule="exact"/>
        <w:ind w:left="420" w:leftChars="200" w:firstLine="420" w:firstLineChars="200"/>
        <w:rPr>
          <w:szCs w:val="21"/>
        </w:rPr>
      </w:pPr>
      <w:r>
        <w:rPr>
          <w:rFonts w:hint="eastAsia"/>
          <w:szCs w:val="21"/>
        </w:rPr>
        <w:t>1.1.1.6  技术规范：指本合同所约定的技术标准和要求，是合同文件的组成部分。通用合同条款中“技术标准和要求”一词具有相同含义。</w:t>
      </w:r>
    </w:p>
    <w:p>
      <w:pPr>
        <w:spacing w:line="420" w:lineRule="exact"/>
        <w:ind w:left="420" w:leftChars="200" w:firstLine="420" w:firstLineChars="200"/>
        <w:rPr>
          <w:szCs w:val="21"/>
        </w:rPr>
      </w:pPr>
      <w:r>
        <w:rPr>
          <w:rFonts w:hint="eastAsia"/>
          <w:szCs w:val="21"/>
        </w:rPr>
        <w:t>1.1.1.7  图纸：指包含在合同中的工程图纸，以及由发包人按合同约定提供的任何补充和修改的图纸，包括配套的说明。</w:t>
      </w:r>
    </w:p>
    <w:p>
      <w:pPr>
        <w:spacing w:line="420" w:lineRule="exact"/>
        <w:ind w:left="420" w:leftChars="200" w:firstLine="420" w:firstLineChars="200"/>
        <w:rPr>
          <w:szCs w:val="21"/>
        </w:rPr>
      </w:pPr>
      <w:r>
        <w:rPr>
          <w:rFonts w:hint="eastAsia"/>
          <w:szCs w:val="21"/>
        </w:rPr>
        <w:t>1.1.1.8  已标价工程量清单：指构成合同文件组成部分的已标明价格、经算术性错误修正及其它错误修正（如有）且承包人已确认的最终的工程量清单，包括工程量清单说明、投标报价说明、其它说明及工程量清单各项表格（工程量清单表4.1～表4.2（表4.3））。</w:t>
      </w:r>
    </w:p>
    <w:p>
      <w:pPr>
        <w:spacing w:line="420" w:lineRule="exact"/>
        <w:ind w:left="420" w:leftChars="200" w:firstLine="420" w:firstLineChars="200"/>
        <w:rPr>
          <w:szCs w:val="21"/>
        </w:rPr>
      </w:pPr>
      <w:r>
        <w:rPr>
          <w:rFonts w:hint="eastAsia"/>
          <w:szCs w:val="21"/>
        </w:rPr>
        <w:t>1.1.1.9  其它合同文件：指经合同双方当事人确认构成合同文件的其它文件。</w:t>
      </w:r>
    </w:p>
    <w:p>
      <w:pPr>
        <w:spacing w:line="420" w:lineRule="exact"/>
        <w:ind w:left="420" w:leftChars="200" w:firstLine="420" w:firstLineChars="200"/>
        <w:rPr>
          <w:szCs w:val="21"/>
        </w:rPr>
      </w:pPr>
      <w:r>
        <w:rPr>
          <w:rFonts w:hint="eastAsia"/>
          <w:szCs w:val="21"/>
        </w:rPr>
        <w:t>1.1.1.10  补遗书：指发出招标文件之后由招标人向取得招标文件的投标人发出的、编号的，对招标文件所作的澄清、修改书。</w:t>
      </w:r>
    </w:p>
    <w:p>
      <w:pPr>
        <w:spacing w:line="420" w:lineRule="exact"/>
        <w:ind w:firstLine="420" w:firstLineChars="200"/>
        <w:rPr>
          <w:rFonts w:ascii="宋体" w:hAnsi="宋体"/>
          <w:szCs w:val="21"/>
        </w:rPr>
      </w:pPr>
      <w:r>
        <w:rPr>
          <w:rFonts w:hint="eastAsia"/>
          <w:szCs w:val="21"/>
        </w:rPr>
        <w:t xml:space="preserve">1.1.2 </w:t>
      </w:r>
      <w:r>
        <w:rPr>
          <w:rFonts w:hint="eastAsia" w:ascii="宋体" w:hAnsi="宋体"/>
          <w:szCs w:val="21"/>
        </w:rPr>
        <w:t xml:space="preserve"> 合同当事人和人员</w:t>
      </w:r>
    </w:p>
    <w:p>
      <w:pPr>
        <w:spacing w:line="420" w:lineRule="exact"/>
        <w:ind w:left="420" w:leftChars="200" w:firstLine="420" w:firstLineChars="200"/>
        <w:rPr>
          <w:szCs w:val="21"/>
        </w:rPr>
      </w:pPr>
      <w:r>
        <w:rPr>
          <w:rFonts w:hint="eastAsia"/>
          <w:szCs w:val="21"/>
        </w:rPr>
        <w:t>1.1.2.1  合同当事人:指发包人和（或）承包人。</w:t>
      </w:r>
    </w:p>
    <w:p>
      <w:pPr>
        <w:spacing w:line="420" w:lineRule="exact"/>
        <w:ind w:left="420" w:leftChars="200" w:firstLine="420" w:firstLineChars="200"/>
        <w:rPr>
          <w:szCs w:val="21"/>
        </w:rPr>
      </w:pPr>
      <w:r>
        <w:rPr>
          <w:rFonts w:hint="eastAsia"/>
          <w:szCs w:val="21"/>
        </w:rPr>
        <w:t>1.1.2.2  发包人：指专用合同条款中指明并与承包人在合同协议书中签字的当事人。</w:t>
      </w:r>
    </w:p>
    <w:p>
      <w:pPr>
        <w:spacing w:line="420" w:lineRule="exact"/>
        <w:ind w:left="420" w:leftChars="200" w:firstLine="420" w:firstLineChars="200"/>
        <w:rPr>
          <w:rFonts w:ascii="宋体" w:hAnsi="宋体"/>
          <w:szCs w:val="21"/>
        </w:rPr>
      </w:pPr>
      <w:r>
        <w:rPr>
          <w:rFonts w:hint="eastAsia"/>
          <w:szCs w:val="21"/>
        </w:rPr>
        <w:t>1.1.2.3  承包人：指其投标已为发包人所接受，并与发包人签订了实施本合同公路养护工程合同协议书的当事人</w:t>
      </w:r>
      <w:r>
        <w:rPr>
          <w:rFonts w:hint="eastAsia" w:ascii="宋体" w:hAnsi="宋体"/>
          <w:szCs w:val="21"/>
        </w:rPr>
        <w:t>（承包人），以及取得该当事人（承包人）资格的合法继承人（承包人）。</w:t>
      </w:r>
    </w:p>
    <w:p>
      <w:pPr>
        <w:spacing w:line="420" w:lineRule="exact"/>
        <w:ind w:left="420" w:leftChars="200" w:firstLine="420" w:firstLineChars="200"/>
        <w:rPr>
          <w:szCs w:val="21"/>
        </w:rPr>
      </w:pPr>
      <w:r>
        <w:rPr>
          <w:rFonts w:hint="eastAsia"/>
          <w:szCs w:val="21"/>
        </w:rPr>
        <w:t>1.1.2.4  承包人项目经理：</w:t>
      </w:r>
      <w:r>
        <w:rPr>
          <w:rFonts w:hint="eastAsia" w:ascii="宋体" w:hAnsi="宋体"/>
          <w:szCs w:val="21"/>
        </w:rPr>
        <w:t>指由承包人书面委派常驻现场负责执行本合同和管理本合同公路</w:t>
      </w:r>
      <w:r>
        <w:rPr>
          <w:rFonts w:hint="eastAsia"/>
          <w:szCs w:val="21"/>
        </w:rPr>
        <w:t>养护工程的代表。</w:t>
      </w:r>
    </w:p>
    <w:p>
      <w:pPr>
        <w:spacing w:line="420" w:lineRule="exact"/>
        <w:ind w:left="420" w:leftChars="200" w:firstLine="420" w:firstLineChars="200"/>
        <w:rPr>
          <w:szCs w:val="21"/>
        </w:rPr>
      </w:pPr>
      <w:r>
        <w:rPr>
          <w:rFonts w:hint="eastAsia"/>
          <w:szCs w:val="21"/>
        </w:rPr>
        <w:t>1.1.2.5  分包人：指从承包人处分包合同中某一部分工程，并与其签订分包合同的分包人。</w:t>
      </w:r>
    </w:p>
    <w:p>
      <w:pPr>
        <w:spacing w:line="420" w:lineRule="exact"/>
        <w:ind w:left="420" w:leftChars="200" w:firstLine="420" w:firstLineChars="200"/>
        <w:rPr>
          <w:szCs w:val="21"/>
        </w:rPr>
      </w:pPr>
      <w:r>
        <w:rPr>
          <w:rFonts w:hint="eastAsia"/>
          <w:szCs w:val="21"/>
        </w:rPr>
        <w:t xml:space="preserve">1.1.2.6  </w:t>
      </w:r>
      <w:r>
        <w:rPr>
          <w:rFonts w:hint="eastAsia" w:ascii="宋体" w:hAnsi="宋体"/>
          <w:szCs w:val="21"/>
        </w:rPr>
        <w:t>监理人：指发包人为实施本合同委托的承担本合同工程监理工作的独立法人。</w:t>
      </w:r>
      <w:r>
        <w:rPr>
          <w:rFonts w:hint="eastAsia"/>
          <w:szCs w:val="21"/>
        </w:rPr>
        <w:t>必须是经工商注册并持有交通主管部门核发的资质证书或资信登记的专职监理企业，依照核定的监理业务范围，承担相应公路工程的监理业务；或由市公路管理部门或发包人组织的内部专业监理，并须将设置的项目监理组织机构、到岗人员及项目监理工作计划报市交通工程质监站，审批后方可开展工作。</w:t>
      </w:r>
    </w:p>
    <w:p>
      <w:pPr>
        <w:spacing w:line="420" w:lineRule="exact"/>
        <w:ind w:left="420" w:leftChars="200" w:firstLine="420" w:firstLineChars="200"/>
        <w:rPr>
          <w:szCs w:val="21"/>
        </w:rPr>
      </w:pPr>
      <w:r>
        <w:rPr>
          <w:rFonts w:hint="eastAsia"/>
          <w:szCs w:val="21"/>
        </w:rPr>
        <w:t>监理组织必须接受市交通工程质监站对其监理资格，监理质量控制体系及监理工作质量的监督检查。</w:t>
      </w:r>
    </w:p>
    <w:p>
      <w:pPr>
        <w:spacing w:line="420" w:lineRule="exact"/>
        <w:ind w:left="420" w:leftChars="200" w:firstLine="420" w:firstLineChars="200"/>
        <w:rPr>
          <w:szCs w:val="21"/>
        </w:rPr>
      </w:pPr>
      <w:r>
        <w:rPr>
          <w:rFonts w:hint="eastAsia"/>
          <w:szCs w:val="21"/>
        </w:rPr>
        <w:t>1.1.2.7  总监理工程师（总监）：指由监理人委派常驻施工场地对合同履行实施管理的全权负责人。</w:t>
      </w:r>
    </w:p>
    <w:p>
      <w:pPr>
        <w:spacing w:line="420" w:lineRule="exact"/>
        <w:ind w:left="420" w:leftChars="200" w:firstLine="420" w:firstLineChars="200"/>
        <w:rPr>
          <w:szCs w:val="21"/>
        </w:rPr>
      </w:pPr>
      <w:r>
        <w:rPr>
          <w:rFonts w:hint="eastAsia"/>
          <w:szCs w:val="21"/>
        </w:rPr>
        <w:t>1.1.2.8  承包人项目总工：指由承包人书面委派常驻现场负责执行、管理本合同公路养护工程的总工程师或技术总负责人。</w:t>
      </w:r>
    </w:p>
    <w:p>
      <w:pPr>
        <w:spacing w:line="420" w:lineRule="exact"/>
        <w:ind w:firstLine="420" w:firstLineChars="200"/>
        <w:rPr>
          <w:rFonts w:ascii="宋体" w:hAnsi="宋体"/>
          <w:szCs w:val="21"/>
        </w:rPr>
      </w:pPr>
      <w:r>
        <w:rPr>
          <w:rFonts w:hint="eastAsia"/>
          <w:szCs w:val="21"/>
        </w:rPr>
        <w:t xml:space="preserve">1.1.3  </w:t>
      </w:r>
      <w:r>
        <w:rPr>
          <w:rFonts w:hint="eastAsia" w:ascii="宋体" w:hAnsi="宋体"/>
          <w:szCs w:val="21"/>
        </w:rPr>
        <w:t>工程和设备</w:t>
      </w:r>
    </w:p>
    <w:p>
      <w:pPr>
        <w:spacing w:line="420" w:lineRule="exact"/>
        <w:ind w:left="420" w:leftChars="200" w:firstLine="420" w:firstLineChars="200"/>
        <w:rPr>
          <w:szCs w:val="21"/>
        </w:rPr>
      </w:pPr>
      <w:r>
        <w:rPr>
          <w:rFonts w:hint="eastAsia"/>
          <w:szCs w:val="21"/>
        </w:rPr>
        <w:t>1.1.3.1  小修保养工程（适用于小修保养工程）：是指保持公路及其附属设施的正常使用功能，进行经常性保养和修补其轻微损坏部分的作业。这些作业内容按公路养护工程考核进行质量考核、实行总价承包的工程；</w:t>
      </w:r>
    </w:p>
    <w:p>
      <w:pPr>
        <w:spacing w:line="420" w:lineRule="exact"/>
        <w:ind w:left="420" w:leftChars="200" w:firstLine="420" w:firstLineChars="200"/>
        <w:rPr>
          <w:szCs w:val="21"/>
        </w:rPr>
      </w:pPr>
      <w:r>
        <w:rPr>
          <w:rFonts w:hint="eastAsia"/>
          <w:szCs w:val="21"/>
        </w:rPr>
        <w:t>专项养护按《交通养护工程工程量清单计价规范》（DB33）工程细目计量单位、工程量计算规则、计价工程内容及计量规则，以单价计量支付的工程。</w:t>
      </w:r>
    </w:p>
    <w:p>
      <w:pPr>
        <w:spacing w:line="420" w:lineRule="exact"/>
        <w:ind w:left="420" w:leftChars="200" w:firstLine="420" w:firstLineChars="200"/>
        <w:rPr>
          <w:szCs w:val="21"/>
        </w:rPr>
      </w:pPr>
      <w:r>
        <w:rPr>
          <w:rFonts w:hint="eastAsia"/>
          <w:szCs w:val="21"/>
        </w:rPr>
        <w:t xml:space="preserve">1.1.3.1  </w:t>
      </w:r>
      <w:r>
        <w:rPr>
          <w:rFonts w:hint="eastAsia" w:ascii="宋体" w:hAnsi="宋体"/>
          <w:szCs w:val="21"/>
        </w:rPr>
        <w:t>中修工程</w:t>
      </w:r>
      <w:r>
        <w:rPr>
          <w:rFonts w:hint="eastAsia"/>
          <w:szCs w:val="21"/>
        </w:rPr>
        <w:t>（适用于大中修养护工程）</w:t>
      </w:r>
      <w:r>
        <w:rPr>
          <w:rFonts w:hint="eastAsia" w:ascii="宋体" w:hAnsi="宋体"/>
          <w:szCs w:val="21"/>
        </w:rPr>
        <w:t>：指</w:t>
      </w:r>
      <w:r>
        <w:rPr>
          <w:rFonts w:hint="eastAsia" w:hAnsi="宋体"/>
          <w:szCs w:val="21"/>
        </w:rPr>
        <w:t>对公路及其沿线设施的一般损坏部分进行定期的修理加固，以恢复公路原有技术状况的工程。</w:t>
      </w:r>
    </w:p>
    <w:p>
      <w:pPr>
        <w:spacing w:line="420" w:lineRule="exact"/>
        <w:ind w:left="420" w:leftChars="200" w:firstLine="420" w:firstLineChars="200"/>
        <w:rPr>
          <w:rFonts w:hAnsi="宋体"/>
          <w:szCs w:val="21"/>
        </w:rPr>
      </w:pPr>
      <w:r>
        <w:rPr>
          <w:rFonts w:hint="eastAsia" w:ascii="宋体" w:hAnsi="宋体"/>
          <w:szCs w:val="21"/>
        </w:rPr>
        <w:t>大修工程</w:t>
      </w:r>
      <w:r>
        <w:rPr>
          <w:rFonts w:hint="eastAsia" w:ascii="黑体" w:hAnsi="宋体" w:eastAsia="黑体"/>
          <w:szCs w:val="21"/>
        </w:rPr>
        <w:t>：</w:t>
      </w:r>
      <w:r>
        <w:rPr>
          <w:rFonts w:hint="eastAsia" w:hAnsi="宋体"/>
          <w:szCs w:val="21"/>
        </w:rPr>
        <w:t>指对公路及其沿线设施的较大损坏进行周期性的综合修理，以全面恢复到原技术标准，或在原技术等级范围内进行局部改善和个别增建，以逐步提高公路通行能力的工程项目。</w:t>
      </w:r>
    </w:p>
    <w:p>
      <w:pPr>
        <w:spacing w:line="420" w:lineRule="exact"/>
        <w:ind w:left="420" w:leftChars="200" w:firstLine="420" w:firstLineChars="200"/>
        <w:rPr>
          <w:szCs w:val="21"/>
        </w:rPr>
      </w:pPr>
      <w:r>
        <w:rPr>
          <w:rFonts w:hint="eastAsia"/>
          <w:szCs w:val="21"/>
        </w:rPr>
        <w:t>1.1.3.2  永久工程：指按合同约定建造并移交给发包人的工程，包括工程设备。</w:t>
      </w:r>
    </w:p>
    <w:p>
      <w:pPr>
        <w:spacing w:line="420" w:lineRule="exact"/>
        <w:ind w:left="420" w:leftChars="200" w:firstLine="420" w:firstLineChars="200"/>
        <w:rPr>
          <w:szCs w:val="21"/>
        </w:rPr>
      </w:pPr>
      <w:r>
        <w:rPr>
          <w:rFonts w:hint="eastAsia"/>
          <w:szCs w:val="21"/>
        </w:rPr>
        <w:t>1.1.3.3  临时工程：指为完成合同约定的永久工程所修建的各类临时性工程，不包括施工设备。</w:t>
      </w:r>
    </w:p>
    <w:p>
      <w:pPr>
        <w:spacing w:line="420" w:lineRule="exact"/>
        <w:ind w:left="420" w:leftChars="200" w:firstLine="420" w:firstLineChars="200"/>
        <w:rPr>
          <w:szCs w:val="21"/>
        </w:rPr>
      </w:pPr>
      <w:r>
        <w:rPr>
          <w:rFonts w:hint="eastAsia"/>
          <w:szCs w:val="21"/>
        </w:rPr>
        <w:t>1.1.3.4  单位工程：指在养护工程项目中，根据签订的合同，具有独立施工条件实行单价承包作业的工程。</w:t>
      </w:r>
    </w:p>
    <w:p>
      <w:pPr>
        <w:spacing w:line="420" w:lineRule="exact"/>
        <w:ind w:left="420" w:leftChars="200" w:firstLine="420" w:firstLineChars="200"/>
        <w:rPr>
          <w:szCs w:val="21"/>
        </w:rPr>
      </w:pPr>
      <w:r>
        <w:rPr>
          <w:rFonts w:hint="eastAsia"/>
          <w:szCs w:val="21"/>
        </w:rPr>
        <w:t>1.1.3.5  工程设备：指构成或计划构成永久工程一部分的机电设备、金属结构设备、仪器装置及其它类似的设备和装置。</w:t>
      </w:r>
    </w:p>
    <w:p>
      <w:pPr>
        <w:spacing w:line="420" w:lineRule="exact"/>
        <w:ind w:left="420" w:leftChars="200" w:firstLine="420" w:firstLineChars="200"/>
        <w:rPr>
          <w:szCs w:val="21"/>
        </w:rPr>
      </w:pPr>
      <w:r>
        <w:rPr>
          <w:rFonts w:hint="eastAsia"/>
          <w:szCs w:val="21"/>
        </w:rPr>
        <w:t>1.1.3.6  施工设备：指为完成合同约定的各项工作所需的设备、器具和其它物品，不包括临时工程和材料。</w:t>
      </w:r>
    </w:p>
    <w:p>
      <w:pPr>
        <w:spacing w:line="420" w:lineRule="exact"/>
        <w:ind w:left="420" w:leftChars="200" w:firstLine="420" w:firstLineChars="200"/>
        <w:rPr>
          <w:szCs w:val="21"/>
        </w:rPr>
      </w:pPr>
      <w:r>
        <w:rPr>
          <w:rFonts w:hint="eastAsia"/>
          <w:szCs w:val="21"/>
        </w:rPr>
        <w:t>1.1.3.7  临时设施：指为完成合同约定的各项工作所服务的临时性生产和生活设施。</w:t>
      </w:r>
    </w:p>
    <w:p>
      <w:pPr>
        <w:spacing w:line="420" w:lineRule="exact"/>
        <w:ind w:left="420" w:leftChars="200" w:firstLine="420" w:firstLineChars="200"/>
        <w:rPr>
          <w:szCs w:val="21"/>
        </w:rPr>
      </w:pPr>
      <w:r>
        <w:rPr>
          <w:rFonts w:hint="eastAsia"/>
          <w:szCs w:val="21"/>
        </w:rPr>
        <w:t>1.1.3.8  承包人设备：指承包人自带的施工设备。</w:t>
      </w:r>
    </w:p>
    <w:p>
      <w:pPr>
        <w:spacing w:line="420" w:lineRule="exact"/>
        <w:ind w:left="420" w:leftChars="200" w:firstLine="420" w:firstLineChars="200"/>
        <w:rPr>
          <w:szCs w:val="21"/>
        </w:rPr>
      </w:pPr>
      <w:r>
        <w:rPr>
          <w:rFonts w:hint="eastAsia"/>
          <w:szCs w:val="21"/>
        </w:rPr>
        <w:t>1.1.3.9  施工场地（或称工地、现场）：指用于合同工程施工的场所，以及在合同中指定作为施工场地组成部分的其它场所，包括永久占地和临时占地。</w:t>
      </w:r>
    </w:p>
    <w:p>
      <w:pPr>
        <w:spacing w:line="420" w:lineRule="exact"/>
        <w:ind w:left="420" w:leftChars="200" w:firstLine="420" w:firstLineChars="200"/>
        <w:rPr>
          <w:szCs w:val="21"/>
        </w:rPr>
      </w:pPr>
      <w:r>
        <w:rPr>
          <w:rFonts w:hint="eastAsia"/>
          <w:szCs w:val="21"/>
        </w:rPr>
        <w:t>1.1.3.10  永久占地：指专用合同条款中指明为实施合同工程需永久占用的土地。</w:t>
      </w:r>
    </w:p>
    <w:p>
      <w:pPr>
        <w:spacing w:line="420" w:lineRule="exact"/>
        <w:ind w:left="420" w:leftChars="200" w:firstLine="420" w:firstLineChars="200"/>
        <w:rPr>
          <w:szCs w:val="21"/>
        </w:rPr>
      </w:pPr>
      <w:r>
        <w:rPr>
          <w:rFonts w:hint="eastAsia"/>
          <w:szCs w:val="21"/>
        </w:rPr>
        <w:t>1.1.3.11  临时占地：指专用合同条款中指明为实施合同工程需临时占用的土地。</w:t>
      </w:r>
    </w:p>
    <w:p>
      <w:pPr>
        <w:spacing w:line="420" w:lineRule="exact"/>
        <w:ind w:left="420" w:leftChars="200" w:firstLine="420" w:firstLineChars="200"/>
        <w:rPr>
          <w:szCs w:val="21"/>
        </w:rPr>
      </w:pPr>
      <w:r>
        <w:rPr>
          <w:rFonts w:hint="eastAsia"/>
          <w:szCs w:val="21"/>
        </w:rPr>
        <w:t>1.1.3.12  分部工程：指在单位工程中，按结构部位、路段长度及施工特点或施工任务划分的若干个工程。</w:t>
      </w:r>
    </w:p>
    <w:p>
      <w:pPr>
        <w:spacing w:line="420" w:lineRule="exact"/>
        <w:ind w:left="420" w:leftChars="200" w:firstLine="420" w:firstLineChars="200"/>
        <w:rPr>
          <w:szCs w:val="21"/>
        </w:rPr>
      </w:pPr>
      <w:r>
        <w:rPr>
          <w:rFonts w:hint="eastAsia"/>
          <w:szCs w:val="21"/>
        </w:rPr>
        <w:t>1.1.3.13  分项工程：指在分部工程中，按不同的施工方法、材料、工序及路段长度等划分的若干个工程。</w:t>
      </w:r>
    </w:p>
    <w:p>
      <w:pPr>
        <w:spacing w:line="420" w:lineRule="exact"/>
        <w:ind w:firstLine="420" w:firstLineChars="200"/>
        <w:rPr>
          <w:szCs w:val="21"/>
        </w:rPr>
      </w:pPr>
      <w:r>
        <w:rPr>
          <w:rFonts w:hint="eastAsia"/>
          <w:szCs w:val="21"/>
        </w:rPr>
        <w:t xml:space="preserve">1.1.4  </w:t>
      </w:r>
      <w:r>
        <w:rPr>
          <w:rFonts w:hint="eastAsia" w:ascii="宋体" w:hAnsi="宋体"/>
          <w:szCs w:val="21"/>
        </w:rPr>
        <w:t>日期</w:t>
      </w:r>
    </w:p>
    <w:p>
      <w:pPr>
        <w:spacing w:line="420" w:lineRule="exact"/>
        <w:ind w:left="420" w:leftChars="200" w:firstLine="420" w:firstLineChars="200"/>
        <w:rPr>
          <w:szCs w:val="21"/>
        </w:rPr>
      </w:pPr>
      <w:r>
        <w:rPr>
          <w:rFonts w:hint="eastAsia"/>
          <w:szCs w:val="21"/>
        </w:rPr>
        <w:t>1.1.4.1  开工通知：指监理人按第11.1款通知承包人开工的函件。</w:t>
      </w:r>
    </w:p>
    <w:p>
      <w:pPr>
        <w:spacing w:line="420" w:lineRule="exact"/>
        <w:ind w:left="420" w:leftChars="200" w:firstLine="420" w:firstLineChars="200"/>
        <w:rPr>
          <w:szCs w:val="21"/>
        </w:rPr>
      </w:pPr>
      <w:r>
        <w:rPr>
          <w:rFonts w:hint="eastAsia"/>
          <w:szCs w:val="21"/>
        </w:rPr>
        <w:t>1.1.4.2  开工日期：指监理人按第11.1款发出的开工通知中写明的开工日期。</w:t>
      </w:r>
    </w:p>
    <w:p>
      <w:pPr>
        <w:spacing w:line="420" w:lineRule="exact"/>
        <w:ind w:left="420" w:leftChars="200" w:firstLine="420" w:firstLineChars="200"/>
        <w:rPr>
          <w:szCs w:val="21"/>
        </w:rPr>
      </w:pPr>
      <w:r>
        <w:rPr>
          <w:rFonts w:hint="eastAsia"/>
          <w:szCs w:val="21"/>
        </w:rPr>
        <w:t>1.1.4.3  工期：指承包人在投标函中承诺的完成合同工程所需的期限，包括按第11.3款、第11.4款和第11.6款约定所作的变更。</w:t>
      </w:r>
    </w:p>
    <w:p>
      <w:pPr>
        <w:spacing w:line="420" w:lineRule="exact"/>
        <w:ind w:left="420" w:leftChars="200" w:firstLine="420" w:firstLineChars="200"/>
        <w:rPr>
          <w:szCs w:val="21"/>
        </w:rPr>
      </w:pPr>
      <w:r>
        <w:rPr>
          <w:rFonts w:hint="eastAsia"/>
          <w:szCs w:val="21"/>
        </w:rPr>
        <w:t>1.1.4.4  竣工日期：指第1.1.4.3目约定工期届满时的日期。实际竣工日期以工程接收证书中写明的日期为准。</w:t>
      </w:r>
    </w:p>
    <w:p>
      <w:pPr>
        <w:spacing w:line="420" w:lineRule="exact"/>
        <w:ind w:left="420" w:leftChars="200" w:firstLine="420" w:firstLineChars="200"/>
        <w:rPr>
          <w:szCs w:val="21"/>
        </w:rPr>
      </w:pPr>
      <w:r>
        <w:rPr>
          <w:rFonts w:hint="eastAsia"/>
          <w:szCs w:val="21"/>
        </w:rPr>
        <w:t>1.1.4.5  缺陷责任期：指履行第19.2款约定的缺陷责任的期限，具体期限由专用合同条款约定，包括根据第19.3款约定所作的延长。</w:t>
      </w:r>
    </w:p>
    <w:p>
      <w:pPr>
        <w:spacing w:line="420" w:lineRule="exact"/>
        <w:ind w:left="420" w:leftChars="200" w:firstLine="420" w:firstLineChars="200"/>
        <w:rPr>
          <w:szCs w:val="21"/>
        </w:rPr>
      </w:pPr>
      <w:r>
        <w:rPr>
          <w:rFonts w:hint="eastAsia"/>
          <w:szCs w:val="21"/>
        </w:rPr>
        <w:t>1.1.4.6  基准日期：指投标截止时间前28天的日期。</w:t>
      </w:r>
    </w:p>
    <w:p>
      <w:pPr>
        <w:spacing w:line="420" w:lineRule="exact"/>
        <w:ind w:left="420" w:leftChars="200" w:firstLine="420" w:firstLineChars="200"/>
        <w:rPr>
          <w:szCs w:val="21"/>
        </w:rPr>
      </w:pPr>
      <w:r>
        <w:rPr>
          <w:rFonts w:hint="eastAsia"/>
          <w:szCs w:val="21"/>
        </w:rPr>
        <w:t>1.1.4.7  天：除特别指明外，指日历天。合同中按天计算时间的，开始当天不计入，从次日开始计算。期限最后一天的截止时间为当天24:00。</w:t>
      </w:r>
    </w:p>
    <w:p>
      <w:pPr>
        <w:spacing w:line="420" w:lineRule="exact"/>
        <w:ind w:firstLine="420" w:firstLineChars="200"/>
        <w:rPr>
          <w:szCs w:val="21"/>
        </w:rPr>
      </w:pPr>
      <w:r>
        <w:rPr>
          <w:rFonts w:hint="eastAsia"/>
          <w:szCs w:val="21"/>
        </w:rPr>
        <w:t xml:space="preserve">1.1.5  </w:t>
      </w:r>
      <w:r>
        <w:rPr>
          <w:rFonts w:hint="eastAsia" w:ascii="宋体" w:hAnsi="宋体"/>
          <w:szCs w:val="21"/>
        </w:rPr>
        <w:t>合同价格和费用</w:t>
      </w:r>
    </w:p>
    <w:p>
      <w:pPr>
        <w:spacing w:line="420" w:lineRule="exact"/>
        <w:ind w:left="420" w:leftChars="200" w:firstLine="420" w:firstLineChars="200"/>
        <w:rPr>
          <w:szCs w:val="21"/>
        </w:rPr>
      </w:pPr>
      <w:r>
        <w:rPr>
          <w:rFonts w:hint="eastAsia"/>
          <w:szCs w:val="21"/>
        </w:rPr>
        <w:t>1.1.5.1  签约合同价：指签定合同时合同协议书中写明的，包括了暂列金额、暂估价的合同总金额。</w:t>
      </w:r>
    </w:p>
    <w:p>
      <w:pPr>
        <w:spacing w:line="420" w:lineRule="exact"/>
        <w:ind w:left="420" w:leftChars="200" w:firstLine="420" w:firstLineChars="200"/>
        <w:rPr>
          <w:szCs w:val="21"/>
        </w:rPr>
      </w:pPr>
      <w:r>
        <w:rPr>
          <w:rFonts w:hint="eastAsia"/>
          <w:szCs w:val="21"/>
        </w:rPr>
        <w:t>1.1.5.2  合同价格：指承包人按合同约定完成了包括缺陷责任期内的全部承包工作后，发包人应付给承包人的金额，包括在履行合同过程中按合同约定进行的变更和调整。</w:t>
      </w:r>
    </w:p>
    <w:p>
      <w:pPr>
        <w:spacing w:line="420" w:lineRule="exact"/>
        <w:ind w:left="420" w:leftChars="200" w:firstLine="420" w:firstLineChars="200"/>
        <w:rPr>
          <w:szCs w:val="21"/>
        </w:rPr>
      </w:pPr>
      <w:r>
        <w:rPr>
          <w:rFonts w:hint="eastAsia"/>
          <w:szCs w:val="21"/>
        </w:rPr>
        <w:t>1.1.5.3  费用：指为履行合同所发生的或将要发生的所有合理开支，包括管理费和应分摊的其它费用，但不包括利润。</w:t>
      </w:r>
    </w:p>
    <w:p>
      <w:pPr>
        <w:spacing w:line="420" w:lineRule="exact"/>
        <w:ind w:left="420" w:leftChars="200" w:firstLine="420" w:firstLineChars="200"/>
        <w:rPr>
          <w:szCs w:val="21"/>
        </w:rPr>
      </w:pPr>
      <w:r>
        <w:rPr>
          <w:rFonts w:hint="eastAsia"/>
          <w:szCs w:val="21"/>
        </w:rPr>
        <w:t>1.1.5.4  暂列金额：指已标价工程量清单中所列的暂列金额，用于在签订协议书时尚未确定或不可预见变更的施工及其所需材料、工程设备、服务等的金额，包括以计日工方式支付的金额。</w:t>
      </w:r>
    </w:p>
    <w:p>
      <w:pPr>
        <w:spacing w:line="420" w:lineRule="exact"/>
        <w:ind w:left="420" w:leftChars="200" w:firstLine="420" w:firstLineChars="200"/>
        <w:rPr>
          <w:szCs w:val="21"/>
        </w:rPr>
      </w:pPr>
      <w:r>
        <w:rPr>
          <w:rFonts w:hint="eastAsia"/>
          <w:szCs w:val="21"/>
        </w:rPr>
        <w:t>1.1.5.5  暂估价：指发包人在工程量清单中给定的用于支付必然发生但暂时不能确定价格的材料、设备以及专业工程的金额。</w:t>
      </w:r>
    </w:p>
    <w:p>
      <w:pPr>
        <w:spacing w:line="420" w:lineRule="exact"/>
        <w:ind w:left="420" w:leftChars="200" w:firstLine="420" w:firstLineChars="200"/>
        <w:rPr>
          <w:szCs w:val="21"/>
        </w:rPr>
      </w:pPr>
      <w:r>
        <w:rPr>
          <w:rFonts w:hint="eastAsia"/>
          <w:szCs w:val="21"/>
        </w:rPr>
        <w:t>1.1.5.6  计日工：指对零星工作采取的一种计价方式，按合同中的计日工子目及其单价计价付款。</w:t>
      </w:r>
    </w:p>
    <w:p>
      <w:pPr>
        <w:spacing w:line="420" w:lineRule="exact"/>
        <w:ind w:left="420" w:leftChars="200" w:firstLine="420" w:firstLineChars="200"/>
        <w:rPr>
          <w:szCs w:val="21"/>
        </w:rPr>
      </w:pPr>
      <w:r>
        <w:rPr>
          <w:rFonts w:hint="eastAsia"/>
          <w:szCs w:val="21"/>
        </w:rPr>
        <w:t>1.1.5.7  质量保证金（或称保留金）：指按第17.4.1项约定用于保证在缺陷责任期内履行缺陷修复义务的金额。</w:t>
      </w:r>
    </w:p>
    <w:p>
      <w:pPr>
        <w:spacing w:line="420" w:lineRule="exact"/>
        <w:ind w:firstLine="420" w:firstLineChars="200"/>
        <w:rPr>
          <w:szCs w:val="21"/>
        </w:rPr>
      </w:pPr>
      <w:r>
        <w:rPr>
          <w:rFonts w:hint="eastAsia"/>
          <w:szCs w:val="21"/>
        </w:rPr>
        <w:t>1.1.6  其它</w:t>
      </w:r>
    </w:p>
    <w:p>
      <w:pPr>
        <w:spacing w:line="420" w:lineRule="exact"/>
        <w:ind w:left="420" w:leftChars="200" w:firstLine="420" w:firstLineChars="200"/>
        <w:rPr>
          <w:szCs w:val="21"/>
        </w:rPr>
      </w:pPr>
      <w:r>
        <w:rPr>
          <w:rFonts w:hint="eastAsia"/>
          <w:szCs w:val="21"/>
        </w:rPr>
        <w:t>1.1.6.1  书面形式：指合同文件、信函、电报、传真等可以有形地表现所载内容的形式。</w:t>
      </w:r>
    </w:p>
    <w:p>
      <w:pPr>
        <w:spacing w:line="420" w:lineRule="exact"/>
        <w:ind w:left="420" w:leftChars="200" w:firstLine="420" w:firstLineChars="200"/>
        <w:rPr>
          <w:szCs w:val="21"/>
        </w:rPr>
      </w:pPr>
      <w:r>
        <w:rPr>
          <w:rFonts w:hint="eastAsia"/>
          <w:szCs w:val="21"/>
        </w:rPr>
        <w:t>1.1.6.2  交工验收：</w:t>
      </w:r>
      <w:r>
        <w:rPr>
          <w:rFonts w:hint="eastAsia" w:ascii="宋体" w:hAnsi="宋体"/>
          <w:szCs w:val="21"/>
        </w:rPr>
        <w:t>指本工程已按合同规定实质上完工，并按合同规定完成了检测和检验，且按《浙江省公路大中修工程交（竣）工文件编制办法（试行）》（</w:t>
      </w:r>
      <w:r>
        <w:rPr>
          <w:rFonts w:ascii="宋体" w:hAnsi="宋体"/>
          <w:szCs w:val="21"/>
        </w:rPr>
        <w:t>省公路局 浙公路[</w:t>
      </w:r>
      <w:r>
        <w:rPr>
          <w:szCs w:val="21"/>
        </w:rPr>
        <w:t>2005]51</w:t>
      </w:r>
      <w:r>
        <w:rPr>
          <w:rFonts w:ascii="宋体" w:hAnsi="宋体"/>
          <w:szCs w:val="21"/>
        </w:rPr>
        <w:t>号</w:t>
      </w:r>
      <w:r>
        <w:rPr>
          <w:rFonts w:hint="eastAsia" w:ascii="宋体" w:hAnsi="宋体"/>
          <w:szCs w:val="21"/>
        </w:rPr>
        <w:t>）的规定，编制好竣工图表和施工资料后，承包人可向监理人提出交（竣）工验收和发给交工证书的申请，同时抄送发包人。如经交（竣）工验收认为质量合格，发包人应在验收工作完毕后14天内向承包人签发交工证书。通用合同条款中“竣</w:t>
      </w:r>
      <w:r>
        <w:rPr>
          <w:rFonts w:hint="eastAsia"/>
          <w:szCs w:val="21"/>
        </w:rPr>
        <w:t>工验收”一词具有相同含义。</w:t>
      </w:r>
    </w:p>
    <w:p>
      <w:pPr>
        <w:spacing w:line="420" w:lineRule="exact"/>
        <w:ind w:left="420" w:leftChars="200" w:firstLine="420" w:firstLineChars="200"/>
        <w:rPr>
          <w:szCs w:val="21"/>
        </w:rPr>
      </w:pPr>
      <w:r>
        <w:rPr>
          <w:rFonts w:hint="eastAsia"/>
          <w:szCs w:val="21"/>
        </w:rPr>
        <w:t>1.1.6.3  转包：指承包人违反法律和不履行合同规定的责任和义务，将中标工程全部委托或以专业分包的名义将中标工程肢解后全部委托给其它养护企业施工的行为。</w:t>
      </w:r>
    </w:p>
    <w:p>
      <w:pPr>
        <w:spacing w:line="420" w:lineRule="exact"/>
        <w:ind w:left="420" w:leftChars="200" w:firstLine="420" w:firstLineChars="200"/>
        <w:rPr>
          <w:szCs w:val="21"/>
        </w:rPr>
      </w:pPr>
      <w:r>
        <w:rPr>
          <w:rFonts w:hint="eastAsia"/>
          <w:szCs w:val="21"/>
        </w:rPr>
        <w:t>1.1.6.4  专业分包：指承包人与具有相应资质的施工企业签订专业分包合同，由分包人承担承包人委托的分部工程、分项工程或适合专业化队伍施工的其它工程，整体结算，并能独立控制工程质量、施工进度、材料采购、生产安全的施工行为。</w:t>
      </w:r>
    </w:p>
    <w:p>
      <w:pPr>
        <w:spacing w:line="420" w:lineRule="exact"/>
        <w:ind w:left="420" w:leftChars="200" w:firstLine="420" w:firstLineChars="200"/>
        <w:rPr>
          <w:szCs w:val="21"/>
        </w:rPr>
      </w:pPr>
      <w:r>
        <w:rPr>
          <w:rFonts w:hint="eastAsia"/>
          <w:szCs w:val="21"/>
        </w:rPr>
        <w:t>1.1.6.5  劳务分包：指承包人与具有劳务分包资质的劳务企业签订劳务分包合同，由劳务企业提供劳务人员及机具，由承包人统一组织施工，统一控制工程质量、施工进度、材料采购、生产安全的施工行为。</w:t>
      </w:r>
    </w:p>
    <w:p>
      <w:pPr>
        <w:spacing w:line="420" w:lineRule="exact"/>
        <w:ind w:left="420" w:leftChars="200" w:firstLine="420" w:firstLineChars="200"/>
        <w:rPr>
          <w:szCs w:val="21"/>
        </w:rPr>
      </w:pPr>
      <w:r>
        <w:rPr>
          <w:rFonts w:hint="eastAsia"/>
          <w:szCs w:val="21"/>
        </w:rPr>
        <w:t>1.1.6.6  雇用民工：指承包人与具有相应劳动能力的自然人签订劳动合同，由承包人统一组织管理，从事分项工程施工或配套工程施工的行为。</w:t>
      </w:r>
    </w:p>
    <w:p>
      <w:pPr>
        <w:spacing w:line="420" w:lineRule="exact"/>
        <w:ind w:left="420" w:leftChars="200" w:firstLine="420" w:firstLineChars="200"/>
        <w:rPr>
          <w:szCs w:val="21"/>
        </w:rPr>
      </w:pPr>
      <w:r>
        <w:rPr>
          <w:szCs w:val="21"/>
        </w:rPr>
        <w:t>1.1.6.</w:t>
      </w:r>
      <w:r>
        <w:rPr>
          <w:rFonts w:hint="eastAsia"/>
          <w:szCs w:val="21"/>
        </w:rPr>
        <w:t>7</w:t>
      </w:r>
      <w:r>
        <w:rPr>
          <w:rFonts w:hint="eastAsia" w:hAnsi="宋体"/>
          <w:szCs w:val="21"/>
        </w:rPr>
        <w:t>进度付款</w:t>
      </w:r>
      <w:r>
        <w:rPr>
          <w:rFonts w:hAnsi="宋体"/>
          <w:szCs w:val="21"/>
        </w:rPr>
        <w:t>证书</w:t>
      </w:r>
      <w:r>
        <w:rPr>
          <w:rFonts w:hint="eastAsia"/>
          <w:szCs w:val="21"/>
        </w:rPr>
        <w:t>：</w:t>
      </w:r>
      <w:r>
        <w:rPr>
          <w:rFonts w:hAnsi="宋体"/>
          <w:szCs w:val="21"/>
        </w:rPr>
        <w:t>指在最后支付证书之外的、由监理</w:t>
      </w:r>
      <w:r>
        <w:rPr>
          <w:rFonts w:hint="eastAsia" w:hAnsi="宋体"/>
          <w:szCs w:val="21"/>
        </w:rPr>
        <w:t>人</w:t>
      </w:r>
      <w:r>
        <w:rPr>
          <w:rFonts w:hAnsi="宋体"/>
          <w:szCs w:val="21"/>
        </w:rPr>
        <w:t>（或</w:t>
      </w:r>
      <w:r>
        <w:rPr>
          <w:rFonts w:hint="eastAsia" w:hAnsi="宋体"/>
          <w:szCs w:val="21"/>
        </w:rPr>
        <w:t>发包人</w:t>
      </w:r>
      <w:r>
        <w:rPr>
          <w:rFonts w:hAnsi="宋体"/>
          <w:szCs w:val="21"/>
        </w:rPr>
        <w:t>）签发的任何支付证书。</w:t>
      </w:r>
    </w:p>
    <w:p>
      <w:pPr>
        <w:pStyle w:val="27"/>
        <w:spacing w:beforeLines="50" w:afterLines="50" w:line="420" w:lineRule="exact"/>
        <w:rPr>
          <w:b/>
          <w:sz w:val="21"/>
          <w:szCs w:val="21"/>
        </w:rPr>
      </w:pPr>
      <w:bookmarkStart w:id="2183" w:name="_Toc283794164"/>
      <w:bookmarkStart w:id="2184" w:name="_Toc282779476"/>
      <w:bookmarkStart w:id="2185" w:name="_Toc19638"/>
      <w:bookmarkStart w:id="2186" w:name="_Toc287853316"/>
      <w:bookmarkStart w:id="2187" w:name="_Toc282787413"/>
      <w:bookmarkStart w:id="2188" w:name="_Toc1259"/>
      <w:bookmarkStart w:id="2189" w:name="_Toc12467"/>
      <w:bookmarkStart w:id="2190" w:name="_Toc22283"/>
      <w:bookmarkStart w:id="2191" w:name="_Toc14345"/>
      <w:bookmarkStart w:id="2192" w:name="_Toc18654"/>
      <w:bookmarkStart w:id="2193" w:name="_Toc28365"/>
      <w:bookmarkStart w:id="2194" w:name="_Toc22320"/>
      <w:bookmarkStart w:id="2195" w:name="_Toc28477"/>
      <w:bookmarkStart w:id="2196" w:name="_Toc282778967"/>
      <w:bookmarkStart w:id="2197" w:name="_Toc288546616"/>
      <w:bookmarkStart w:id="2198" w:name="_Toc392"/>
      <w:bookmarkStart w:id="2199" w:name="_Toc288491492"/>
      <w:bookmarkStart w:id="2200" w:name="_Toc22189"/>
      <w:r>
        <w:rPr>
          <w:rFonts w:hint="eastAsia"/>
          <w:b/>
          <w:sz w:val="21"/>
          <w:szCs w:val="21"/>
        </w:rPr>
        <w:t xml:space="preserve">1.2  </w:t>
      </w:r>
      <w:r>
        <w:rPr>
          <w:rFonts w:hint="eastAsia"/>
          <w:sz w:val="21"/>
          <w:szCs w:val="21"/>
        </w:rPr>
        <w:t>语言文字</w:t>
      </w:r>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p>
    <w:p>
      <w:pPr>
        <w:spacing w:line="420" w:lineRule="exact"/>
        <w:ind w:firstLine="420" w:firstLineChars="200"/>
        <w:rPr>
          <w:szCs w:val="21"/>
        </w:rPr>
      </w:pPr>
      <w:r>
        <w:rPr>
          <w:rFonts w:hint="eastAsia"/>
          <w:szCs w:val="21"/>
        </w:rPr>
        <w:t>除专用术语外，合同使用的语言文字为中文。必要时专用术语应附有中文注释。</w:t>
      </w:r>
    </w:p>
    <w:p>
      <w:pPr>
        <w:pStyle w:val="27"/>
        <w:spacing w:beforeLines="50" w:afterLines="50" w:line="420" w:lineRule="exact"/>
        <w:rPr>
          <w:sz w:val="21"/>
          <w:szCs w:val="21"/>
        </w:rPr>
      </w:pPr>
      <w:bookmarkStart w:id="2201" w:name="_Toc283794165"/>
      <w:bookmarkStart w:id="2202" w:name="_Toc18131"/>
      <w:bookmarkStart w:id="2203" w:name="_Toc282778968"/>
      <w:bookmarkStart w:id="2204" w:name="_Toc7585"/>
      <w:bookmarkStart w:id="2205" w:name="_Toc282787414"/>
      <w:bookmarkStart w:id="2206" w:name="_Toc288546617"/>
      <w:bookmarkStart w:id="2207" w:name="_Toc152045614"/>
      <w:bookmarkStart w:id="2208" w:name="_Toc288491493"/>
      <w:bookmarkStart w:id="2209" w:name="_Toc237923793"/>
      <w:bookmarkStart w:id="2210" w:name="_Toc179632632"/>
      <w:bookmarkStart w:id="2211" w:name="_Toc287853317"/>
      <w:bookmarkStart w:id="2212" w:name="_Toc18391"/>
      <w:bookmarkStart w:id="2213" w:name="_Toc24984"/>
      <w:bookmarkStart w:id="2214" w:name="_Toc8518"/>
      <w:bookmarkStart w:id="2215" w:name="_Toc25926"/>
      <w:bookmarkStart w:id="2216" w:name="_Toc19006"/>
      <w:bookmarkStart w:id="2217" w:name="_Toc282779477"/>
      <w:bookmarkStart w:id="2218" w:name="_Toc152042392"/>
      <w:bookmarkStart w:id="2219" w:name="_Toc28654"/>
      <w:bookmarkStart w:id="2220" w:name="_Toc7499"/>
      <w:bookmarkStart w:id="2221" w:name="_Toc14286"/>
      <w:bookmarkStart w:id="2222" w:name="_Toc21469"/>
      <w:bookmarkStart w:id="2223" w:name="_Toc144974582"/>
      <w:r>
        <w:rPr>
          <w:rFonts w:hint="eastAsia"/>
          <w:b/>
          <w:sz w:val="21"/>
          <w:szCs w:val="21"/>
        </w:rPr>
        <w:t xml:space="preserve">1.3  </w:t>
      </w:r>
      <w:r>
        <w:rPr>
          <w:rFonts w:hint="eastAsia"/>
          <w:sz w:val="21"/>
          <w:szCs w:val="21"/>
        </w:rPr>
        <w:t>法律</w:t>
      </w:r>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p>
    <w:p>
      <w:pPr>
        <w:spacing w:line="420" w:lineRule="exact"/>
        <w:ind w:firstLine="420" w:firstLineChars="200"/>
        <w:rPr>
          <w:szCs w:val="21"/>
        </w:rPr>
      </w:pPr>
      <w:r>
        <w:rPr>
          <w:rFonts w:hint="eastAsia"/>
          <w:szCs w:val="21"/>
        </w:rPr>
        <w:t>适用于合同的法律包括中华人民共和国法律、行政法规、部门规章，以及工程所在地的地方法规、自治条例、单行条例和地方政府规章。</w:t>
      </w:r>
    </w:p>
    <w:p>
      <w:pPr>
        <w:pStyle w:val="27"/>
        <w:spacing w:beforeLines="50" w:afterLines="50" w:line="420" w:lineRule="exact"/>
        <w:rPr>
          <w:sz w:val="21"/>
          <w:szCs w:val="21"/>
        </w:rPr>
      </w:pPr>
      <w:bookmarkStart w:id="2224" w:name="_Toc13296"/>
      <w:bookmarkStart w:id="2225" w:name="_Toc152042393"/>
      <w:bookmarkStart w:id="2226" w:name="_Toc24821"/>
      <w:bookmarkStart w:id="2227" w:name="_Toc282778969"/>
      <w:bookmarkStart w:id="2228" w:name="_Toc13291"/>
      <w:bookmarkStart w:id="2229" w:name="_Toc32398"/>
      <w:bookmarkStart w:id="2230" w:name="_Toc28177"/>
      <w:bookmarkStart w:id="2231" w:name="_Toc179632633"/>
      <w:bookmarkStart w:id="2232" w:name="_Toc152045615"/>
      <w:bookmarkStart w:id="2233" w:name="_Toc288491494"/>
      <w:bookmarkStart w:id="2234" w:name="_Toc2414"/>
      <w:bookmarkStart w:id="2235" w:name="_Toc288546618"/>
      <w:bookmarkStart w:id="2236" w:name="_Toc27687"/>
      <w:bookmarkStart w:id="2237" w:name="_Toc12577"/>
      <w:bookmarkStart w:id="2238" w:name="_Toc15442"/>
      <w:bookmarkStart w:id="2239" w:name="_Toc237923794"/>
      <w:bookmarkStart w:id="2240" w:name="_Toc282787415"/>
      <w:bookmarkStart w:id="2241" w:name="_Toc6703"/>
      <w:bookmarkStart w:id="2242" w:name="_Toc144974583"/>
      <w:bookmarkStart w:id="2243" w:name="_Toc282779478"/>
      <w:bookmarkStart w:id="2244" w:name="_Toc10959"/>
      <w:bookmarkStart w:id="2245" w:name="_Toc283794166"/>
      <w:bookmarkStart w:id="2246" w:name="_Toc287853318"/>
      <w:r>
        <w:rPr>
          <w:rFonts w:hint="eastAsia"/>
          <w:b/>
          <w:sz w:val="21"/>
          <w:szCs w:val="21"/>
        </w:rPr>
        <w:t>1.4</w:t>
      </w:r>
      <w:r>
        <w:rPr>
          <w:rFonts w:hint="eastAsia"/>
          <w:sz w:val="21"/>
          <w:szCs w:val="21"/>
        </w:rPr>
        <w:t xml:space="preserve">  合同文件的优先顺序</w:t>
      </w:r>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p>
    <w:p>
      <w:pPr>
        <w:spacing w:line="420" w:lineRule="exact"/>
        <w:ind w:firstLine="420" w:firstLineChars="200"/>
        <w:rPr>
          <w:szCs w:val="21"/>
        </w:rPr>
      </w:pPr>
      <w:bookmarkStart w:id="2247" w:name="_Toc152042394"/>
      <w:bookmarkStart w:id="2248" w:name="_Toc237923795"/>
      <w:bookmarkStart w:id="2249" w:name="_Toc152045616"/>
      <w:bookmarkStart w:id="2250" w:name="_Toc144974584"/>
      <w:bookmarkStart w:id="2251" w:name="_Toc179632634"/>
      <w:r>
        <w:rPr>
          <w:rFonts w:hint="eastAsia"/>
          <w:szCs w:val="21"/>
        </w:rPr>
        <w:t>组成合同的各项文件应互相解释，互为说明。除项目专用合同条款另有约定外，解释合同文件的优先顺序如下：</w:t>
      </w:r>
    </w:p>
    <w:p>
      <w:pPr>
        <w:spacing w:line="420" w:lineRule="exact"/>
        <w:ind w:firstLine="420" w:firstLineChars="200"/>
        <w:rPr>
          <w:szCs w:val="21"/>
        </w:rPr>
      </w:pPr>
      <w:r>
        <w:rPr>
          <w:rFonts w:hint="eastAsia"/>
          <w:szCs w:val="21"/>
        </w:rPr>
        <w:t>（1）合同协议书及各种合同附件（含廉政合同和安全生产合同，评标期间和合同谈判过程中的澄清文件和补充资料）；</w:t>
      </w:r>
    </w:p>
    <w:p>
      <w:pPr>
        <w:spacing w:line="420" w:lineRule="exact"/>
        <w:ind w:firstLine="420" w:firstLineChars="200"/>
        <w:rPr>
          <w:szCs w:val="21"/>
        </w:rPr>
      </w:pPr>
      <w:r>
        <w:rPr>
          <w:rFonts w:hint="eastAsia"/>
          <w:szCs w:val="21"/>
        </w:rPr>
        <w:t>（2）中标通知书；</w:t>
      </w:r>
    </w:p>
    <w:p>
      <w:pPr>
        <w:spacing w:line="420" w:lineRule="exact"/>
        <w:ind w:firstLine="420" w:firstLineChars="200"/>
        <w:rPr>
          <w:szCs w:val="21"/>
        </w:rPr>
      </w:pPr>
      <w:r>
        <w:rPr>
          <w:rFonts w:hint="eastAsia"/>
          <w:szCs w:val="21"/>
        </w:rPr>
        <w:t>（3）投标函及投标函附录；</w:t>
      </w:r>
    </w:p>
    <w:p>
      <w:pPr>
        <w:spacing w:line="420" w:lineRule="exact"/>
        <w:ind w:firstLine="420" w:firstLineChars="200"/>
        <w:rPr>
          <w:szCs w:val="21"/>
        </w:rPr>
      </w:pPr>
      <w:r>
        <w:rPr>
          <w:rFonts w:hint="eastAsia"/>
          <w:szCs w:val="21"/>
        </w:rPr>
        <w:t>（4）项目专用合同条款；</w:t>
      </w:r>
    </w:p>
    <w:p>
      <w:pPr>
        <w:spacing w:line="420" w:lineRule="exact"/>
        <w:ind w:firstLine="420" w:firstLineChars="200"/>
        <w:rPr>
          <w:szCs w:val="21"/>
        </w:rPr>
      </w:pPr>
      <w:r>
        <w:rPr>
          <w:rFonts w:hint="eastAsia"/>
          <w:szCs w:val="21"/>
        </w:rPr>
        <w:t>（5）公路养护工程专用合同条款；</w:t>
      </w:r>
    </w:p>
    <w:p>
      <w:pPr>
        <w:spacing w:line="420" w:lineRule="exact"/>
        <w:ind w:firstLine="420" w:firstLineChars="200"/>
        <w:rPr>
          <w:szCs w:val="21"/>
        </w:rPr>
      </w:pPr>
      <w:r>
        <w:rPr>
          <w:rFonts w:hint="eastAsia"/>
          <w:szCs w:val="21"/>
        </w:rPr>
        <w:t>（6）通用合同条款；</w:t>
      </w:r>
    </w:p>
    <w:p>
      <w:pPr>
        <w:spacing w:line="420" w:lineRule="exact"/>
        <w:ind w:firstLine="420" w:firstLineChars="200"/>
        <w:rPr>
          <w:szCs w:val="21"/>
        </w:rPr>
      </w:pPr>
      <w:r>
        <w:rPr>
          <w:rFonts w:hint="eastAsia"/>
          <w:szCs w:val="21"/>
        </w:rPr>
        <w:t>（7）技术规范；</w:t>
      </w:r>
    </w:p>
    <w:p>
      <w:pPr>
        <w:spacing w:line="420" w:lineRule="exact"/>
        <w:ind w:firstLine="420" w:firstLineChars="200"/>
        <w:rPr>
          <w:szCs w:val="21"/>
        </w:rPr>
      </w:pPr>
      <w:r>
        <w:rPr>
          <w:rFonts w:hint="eastAsia"/>
          <w:szCs w:val="21"/>
        </w:rPr>
        <w:t>（8）图纸（含招标文件补遗书中与此有关部分）；</w:t>
      </w:r>
    </w:p>
    <w:p>
      <w:pPr>
        <w:spacing w:line="420" w:lineRule="exact"/>
        <w:ind w:firstLine="420" w:firstLineChars="200"/>
        <w:rPr>
          <w:szCs w:val="21"/>
        </w:rPr>
      </w:pPr>
      <w:r>
        <w:rPr>
          <w:rFonts w:hint="eastAsia"/>
          <w:szCs w:val="21"/>
        </w:rPr>
        <w:t>（9）已标价工程量清单；</w:t>
      </w:r>
    </w:p>
    <w:p>
      <w:pPr>
        <w:spacing w:line="420" w:lineRule="exact"/>
        <w:ind w:firstLine="420" w:firstLineChars="200"/>
        <w:rPr>
          <w:szCs w:val="21"/>
        </w:rPr>
      </w:pPr>
      <w:r>
        <w:rPr>
          <w:rFonts w:hint="eastAsia"/>
          <w:szCs w:val="21"/>
        </w:rPr>
        <w:t>（10）承包人有关人员、设备投入、财务能力的承诺及投标文件中的养护工程作业方案；</w:t>
      </w:r>
    </w:p>
    <w:p>
      <w:pPr>
        <w:spacing w:line="420" w:lineRule="exact"/>
        <w:ind w:firstLine="420" w:firstLineChars="200"/>
        <w:rPr>
          <w:szCs w:val="21"/>
        </w:rPr>
      </w:pPr>
      <w:r>
        <w:rPr>
          <w:rFonts w:hint="eastAsia"/>
          <w:szCs w:val="21"/>
        </w:rPr>
        <w:t>（11）其它合同文件。</w:t>
      </w:r>
    </w:p>
    <w:p>
      <w:pPr>
        <w:pStyle w:val="27"/>
        <w:spacing w:beforeLines="50" w:afterLines="50" w:line="420" w:lineRule="exact"/>
        <w:rPr>
          <w:sz w:val="21"/>
          <w:szCs w:val="21"/>
        </w:rPr>
      </w:pPr>
      <w:bookmarkStart w:id="2252" w:name="_Toc26286"/>
      <w:bookmarkStart w:id="2253" w:name="_Toc282787416"/>
      <w:bookmarkStart w:id="2254" w:name="_Toc288491495"/>
      <w:bookmarkStart w:id="2255" w:name="_Toc3885"/>
      <w:bookmarkStart w:id="2256" w:name="_Toc287853319"/>
      <w:bookmarkStart w:id="2257" w:name="_Toc12666"/>
      <w:bookmarkStart w:id="2258" w:name="_Toc282778970"/>
      <w:bookmarkStart w:id="2259" w:name="_Toc10711"/>
      <w:bookmarkStart w:id="2260" w:name="_Toc31782"/>
      <w:bookmarkStart w:id="2261" w:name="_Toc9699"/>
      <w:bookmarkStart w:id="2262" w:name="_Toc7110"/>
      <w:bookmarkStart w:id="2263" w:name="_Toc283794167"/>
      <w:bookmarkStart w:id="2264" w:name="_Toc30861"/>
      <w:bookmarkStart w:id="2265" w:name="_Toc282779479"/>
      <w:bookmarkStart w:id="2266" w:name="_Toc288546619"/>
      <w:bookmarkStart w:id="2267" w:name="_Toc32638"/>
      <w:bookmarkStart w:id="2268" w:name="_Toc19008"/>
      <w:bookmarkStart w:id="2269" w:name="_Toc30420"/>
      <w:r>
        <w:rPr>
          <w:rFonts w:hint="eastAsia"/>
          <w:b/>
          <w:sz w:val="21"/>
          <w:szCs w:val="21"/>
        </w:rPr>
        <w:t>1.5</w:t>
      </w:r>
      <w:r>
        <w:rPr>
          <w:rFonts w:hint="eastAsia"/>
          <w:sz w:val="21"/>
          <w:szCs w:val="21"/>
        </w:rPr>
        <w:t xml:space="preserve">  合同协议书</w:t>
      </w:r>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p>
    <w:p>
      <w:pPr>
        <w:spacing w:line="420" w:lineRule="exact"/>
        <w:ind w:firstLine="420" w:firstLineChars="200"/>
        <w:rPr>
          <w:szCs w:val="21"/>
        </w:rPr>
      </w:pPr>
      <w:r>
        <w:rPr>
          <w:rFonts w:hint="eastAsia"/>
          <w:szCs w:val="21"/>
        </w:rPr>
        <w:t>承包人按中标通知书规定的时间与发包人签订合同协议书。除法律另有规定或合同另有约定外，发包人和承包人的法定代表人或其委托代理人在合同协议书上签字并盖单位章后，合同生效。</w:t>
      </w:r>
    </w:p>
    <w:p>
      <w:pPr>
        <w:pStyle w:val="27"/>
        <w:spacing w:beforeLines="50" w:afterLines="50" w:line="420" w:lineRule="exact"/>
        <w:rPr>
          <w:sz w:val="21"/>
          <w:szCs w:val="21"/>
        </w:rPr>
      </w:pPr>
      <w:bookmarkStart w:id="2270" w:name="_Toc144974585"/>
      <w:bookmarkStart w:id="2271" w:name="_Toc4855"/>
      <w:bookmarkStart w:id="2272" w:name="_Toc15542"/>
      <w:bookmarkStart w:id="2273" w:name="_Toc288491496"/>
      <w:bookmarkStart w:id="2274" w:name="_Toc282787417"/>
      <w:bookmarkStart w:id="2275" w:name="_Toc283794168"/>
      <w:bookmarkStart w:id="2276" w:name="_Toc152042395"/>
      <w:bookmarkStart w:id="2277" w:name="_Toc282778971"/>
      <w:bookmarkStart w:id="2278" w:name="_Toc4080"/>
      <w:bookmarkStart w:id="2279" w:name="_Toc152045617"/>
      <w:bookmarkStart w:id="2280" w:name="_Toc31861"/>
      <w:bookmarkStart w:id="2281" w:name="_Toc179632635"/>
      <w:bookmarkStart w:id="2282" w:name="_Toc9181"/>
      <w:bookmarkStart w:id="2283" w:name="_Toc18717"/>
      <w:bookmarkStart w:id="2284" w:name="_Toc4848"/>
      <w:bookmarkStart w:id="2285" w:name="_Toc20344"/>
      <w:bookmarkStart w:id="2286" w:name="_Toc282779480"/>
      <w:bookmarkStart w:id="2287" w:name="_Toc4015"/>
      <w:bookmarkStart w:id="2288" w:name="_Toc28551"/>
      <w:bookmarkStart w:id="2289" w:name="_Toc29999"/>
      <w:bookmarkStart w:id="2290" w:name="_Toc288546620"/>
      <w:bookmarkStart w:id="2291" w:name="_Toc237923796"/>
      <w:bookmarkStart w:id="2292" w:name="_Toc287853320"/>
      <w:r>
        <w:rPr>
          <w:rFonts w:hint="eastAsia"/>
          <w:b/>
          <w:sz w:val="21"/>
          <w:szCs w:val="21"/>
        </w:rPr>
        <w:t>1.6</w:t>
      </w:r>
      <w:r>
        <w:rPr>
          <w:rFonts w:hint="eastAsia"/>
          <w:sz w:val="21"/>
          <w:szCs w:val="21"/>
        </w:rPr>
        <w:t xml:space="preserve">  图纸和承包人文件</w:t>
      </w:r>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p>
    <w:p>
      <w:pPr>
        <w:spacing w:line="420" w:lineRule="exact"/>
        <w:ind w:firstLine="420" w:firstLineChars="200"/>
        <w:rPr>
          <w:szCs w:val="21"/>
        </w:rPr>
      </w:pPr>
      <w:r>
        <w:rPr>
          <w:rFonts w:hint="eastAsia"/>
          <w:szCs w:val="21"/>
        </w:rPr>
        <w:t xml:space="preserve">1.6.1 </w:t>
      </w:r>
      <w:r>
        <w:rPr>
          <w:rFonts w:hint="eastAsia" w:ascii="宋体" w:hAnsi="宋体"/>
          <w:szCs w:val="21"/>
        </w:rPr>
        <w:t xml:space="preserve"> 图纸的提供</w:t>
      </w:r>
    </w:p>
    <w:p>
      <w:pPr>
        <w:spacing w:line="420" w:lineRule="exact"/>
        <w:ind w:firstLine="420" w:firstLineChars="200"/>
        <w:rPr>
          <w:rFonts w:hAnsi="宋体"/>
          <w:szCs w:val="21"/>
        </w:rPr>
      </w:pPr>
      <w:r>
        <w:rPr>
          <w:rFonts w:hAnsi="宋体"/>
          <w:szCs w:val="21"/>
        </w:rPr>
        <w:t>监理人应在发出中标通知书之后</w:t>
      </w:r>
      <w:r>
        <w:rPr>
          <w:szCs w:val="21"/>
        </w:rPr>
        <w:t>14</w:t>
      </w:r>
      <w:r>
        <w:rPr>
          <w:rFonts w:hAnsi="宋体"/>
          <w:szCs w:val="21"/>
        </w:rPr>
        <w:t>天内，向承包人免费提供有关技术资料（</w:t>
      </w:r>
      <w:r>
        <w:rPr>
          <w:rFonts w:hint="eastAsia"/>
          <w:szCs w:val="21"/>
        </w:rPr>
        <w:t>养护技术规范、</w:t>
      </w:r>
      <w:r>
        <w:rPr>
          <w:rFonts w:hAnsi="宋体"/>
          <w:szCs w:val="21"/>
        </w:rPr>
        <w:t>道路及构筑物现况、公路养护质量检查记录及次、差路率情况</w:t>
      </w:r>
      <w:r>
        <w:rPr>
          <w:rFonts w:hint="eastAsia" w:hAnsi="宋体"/>
          <w:szCs w:val="21"/>
        </w:rPr>
        <w:t>、</w:t>
      </w:r>
      <w:r>
        <w:rPr>
          <w:rFonts w:hAnsi="宋体"/>
          <w:szCs w:val="21"/>
        </w:rPr>
        <w:t>）或由发包人委托的设计单位设计的正确实施和完成及其缺陷修复所需的补充图纸</w:t>
      </w:r>
      <w:r>
        <w:rPr>
          <w:szCs w:val="21"/>
        </w:rPr>
        <w:t>2</w:t>
      </w:r>
      <w:r>
        <w:rPr>
          <w:rFonts w:hAnsi="宋体"/>
          <w:szCs w:val="21"/>
        </w:rPr>
        <w:t>份，并向承包人作技术交底。承包人需要更多份数时，应自费复制。</w:t>
      </w:r>
    </w:p>
    <w:p>
      <w:pPr>
        <w:spacing w:line="420" w:lineRule="exact"/>
        <w:ind w:firstLine="420" w:firstLineChars="200"/>
        <w:rPr>
          <w:szCs w:val="21"/>
        </w:rPr>
      </w:pPr>
      <w:r>
        <w:rPr>
          <w:rFonts w:hint="eastAsia"/>
          <w:szCs w:val="21"/>
        </w:rPr>
        <w:t>上述与本合同相关技术资料，未经发包人同意承包人不得提供给与本工程施工无关的第三方。养护承包期结束，在发给缺陷责任证书时，承包人应将发包人提供的养护技术规范、养护技术资料和所有图纸以及承包人在养护承包期内积累的所有养护记录和资料（</w:t>
      </w:r>
      <w:r>
        <w:rPr>
          <w:rFonts w:hint="eastAsia" w:ascii="宋体" w:hAnsi="宋体"/>
          <w:szCs w:val="21"/>
        </w:rPr>
        <w:t>包括台帐</w:t>
      </w:r>
      <w:r>
        <w:rPr>
          <w:rFonts w:hint="eastAsia"/>
          <w:szCs w:val="21"/>
        </w:rPr>
        <w:t>）全部交还给发包人。</w:t>
      </w:r>
    </w:p>
    <w:p>
      <w:pPr>
        <w:spacing w:line="420" w:lineRule="exact"/>
        <w:ind w:firstLine="420" w:firstLineChars="200"/>
        <w:rPr>
          <w:szCs w:val="21"/>
        </w:rPr>
      </w:pPr>
      <w:r>
        <w:rPr>
          <w:rFonts w:hint="eastAsia"/>
          <w:szCs w:val="21"/>
        </w:rPr>
        <w:t>由于发包人未按时提供图纸和</w:t>
      </w:r>
      <w:r>
        <w:rPr>
          <w:rFonts w:hAnsi="宋体"/>
          <w:szCs w:val="21"/>
        </w:rPr>
        <w:t>有关技术资料</w:t>
      </w:r>
      <w:r>
        <w:rPr>
          <w:rFonts w:hint="eastAsia" w:hAnsi="宋体"/>
          <w:szCs w:val="21"/>
        </w:rPr>
        <w:t>而</w:t>
      </w:r>
      <w:r>
        <w:rPr>
          <w:rFonts w:hint="eastAsia"/>
          <w:szCs w:val="21"/>
        </w:rPr>
        <w:t>造成工期延误的，按第11.3款的约定办理。</w:t>
      </w:r>
    </w:p>
    <w:p>
      <w:pPr>
        <w:spacing w:line="420" w:lineRule="exact"/>
        <w:ind w:firstLine="420" w:firstLineChars="200"/>
        <w:rPr>
          <w:szCs w:val="21"/>
        </w:rPr>
      </w:pPr>
      <w:r>
        <w:rPr>
          <w:rFonts w:hint="eastAsia"/>
          <w:szCs w:val="21"/>
        </w:rPr>
        <w:t xml:space="preserve">1.6.2  </w:t>
      </w:r>
      <w:r>
        <w:rPr>
          <w:rFonts w:hint="eastAsia" w:ascii="宋体" w:hAnsi="宋体"/>
          <w:szCs w:val="21"/>
        </w:rPr>
        <w:t>承包人提供的文件</w:t>
      </w:r>
    </w:p>
    <w:p>
      <w:pPr>
        <w:spacing w:line="420" w:lineRule="exact"/>
        <w:ind w:firstLine="420" w:firstLineChars="200"/>
        <w:rPr>
          <w:szCs w:val="21"/>
        </w:rPr>
      </w:pPr>
      <w:r>
        <w:rPr>
          <w:rFonts w:hint="eastAsia"/>
          <w:szCs w:val="21"/>
        </w:rPr>
        <w:t>按专用合同条款约定由承包人提供的文件，包括部分工程的大样图、加工图等，承包人应按约定的数量和期限报送监理人。监理人应在专用合同条款约定的期限内批复。</w:t>
      </w:r>
    </w:p>
    <w:p>
      <w:pPr>
        <w:spacing w:line="420" w:lineRule="exact"/>
        <w:ind w:firstLine="420" w:firstLineChars="200"/>
        <w:rPr>
          <w:rFonts w:ascii="宋体" w:hAnsi="宋体"/>
          <w:szCs w:val="21"/>
        </w:rPr>
      </w:pPr>
      <w:r>
        <w:rPr>
          <w:rFonts w:hint="eastAsia"/>
          <w:szCs w:val="21"/>
        </w:rPr>
        <w:t xml:space="preserve">1.6.3  </w:t>
      </w:r>
      <w:r>
        <w:rPr>
          <w:rFonts w:hint="eastAsia" w:ascii="宋体" w:hAnsi="宋体"/>
          <w:szCs w:val="21"/>
        </w:rPr>
        <w:t>图纸的修改</w:t>
      </w:r>
    </w:p>
    <w:p>
      <w:pPr>
        <w:spacing w:line="420" w:lineRule="exact"/>
        <w:ind w:firstLine="420" w:firstLineChars="200"/>
        <w:rPr>
          <w:szCs w:val="21"/>
        </w:rPr>
      </w:pPr>
      <w:r>
        <w:rPr>
          <w:rFonts w:hint="eastAsia"/>
          <w:szCs w:val="21"/>
        </w:rPr>
        <w:t>图纸需要修改和补充的，应由监理人取得发包人同意后，在该工程或工程相应部位施工前的合理期限内签发图纸修改图给承包人，具体签发期限在专用合同条款中约定。承包人应按修改后的图纸施工。</w:t>
      </w:r>
    </w:p>
    <w:p>
      <w:pPr>
        <w:spacing w:line="420" w:lineRule="exact"/>
        <w:ind w:firstLine="420" w:firstLineChars="200"/>
        <w:rPr>
          <w:rFonts w:ascii="宋体" w:hAnsi="宋体"/>
          <w:szCs w:val="21"/>
        </w:rPr>
      </w:pPr>
      <w:r>
        <w:rPr>
          <w:rFonts w:hint="eastAsia"/>
          <w:szCs w:val="21"/>
        </w:rPr>
        <w:t xml:space="preserve">1.6.4  </w:t>
      </w:r>
      <w:r>
        <w:rPr>
          <w:rFonts w:hint="eastAsia" w:ascii="宋体" w:hAnsi="宋体"/>
          <w:szCs w:val="21"/>
        </w:rPr>
        <w:t>图纸的错误</w:t>
      </w:r>
    </w:p>
    <w:p>
      <w:pPr>
        <w:spacing w:line="420" w:lineRule="exact"/>
        <w:ind w:firstLine="420" w:firstLineChars="200"/>
        <w:rPr>
          <w:szCs w:val="21"/>
        </w:rPr>
      </w:pPr>
      <w:r>
        <w:rPr>
          <w:rFonts w:hint="eastAsia"/>
          <w:szCs w:val="21"/>
        </w:rPr>
        <w:t>承包人发现发包人提供的图纸存在明显错误或疏忽，应及时通知监理人。</w:t>
      </w:r>
    </w:p>
    <w:p>
      <w:pPr>
        <w:spacing w:line="420" w:lineRule="exact"/>
        <w:ind w:firstLine="420" w:firstLineChars="200"/>
        <w:rPr>
          <w:szCs w:val="21"/>
        </w:rPr>
      </w:pPr>
      <w:r>
        <w:rPr>
          <w:rFonts w:hint="eastAsia"/>
          <w:szCs w:val="21"/>
        </w:rPr>
        <w:t xml:space="preserve">1.6.5  </w:t>
      </w:r>
      <w:r>
        <w:rPr>
          <w:rFonts w:hint="eastAsia" w:ascii="宋体" w:hAnsi="宋体"/>
          <w:szCs w:val="21"/>
        </w:rPr>
        <w:t>图纸和承包人文件的保管</w:t>
      </w:r>
    </w:p>
    <w:p>
      <w:pPr>
        <w:spacing w:line="420" w:lineRule="exact"/>
        <w:ind w:left="120" w:leftChars="57" w:firstLine="315" w:firstLineChars="150"/>
        <w:rPr>
          <w:szCs w:val="21"/>
        </w:rPr>
      </w:pPr>
      <w:r>
        <w:rPr>
          <w:rFonts w:hint="eastAsia"/>
          <w:szCs w:val="21"/>
        </w:rPr>
        <w:t>监理人和承包人均应在施工场地各保存一套完整的包含第1.6.1项、第1.6.2项、第1.6.3项约定内容的图纸和承包人文件。</w:t>
      </w:r>
    </w:p>
    <w:p>
      <w:pPr>
        <w:pStyle w:val="27"/>
        <w:spacing w:beforeLines="50" w:afterLines="50" w:line="420" w:lineRule="exact"/>
        <w:rPr>
          <w:sz w:val="21"/>
          <w:szCs w:val="21"/>
        </w:rPr>
      </w:pPr>
      <w:bookmarkStart w:id="2293" w:name="_Toc152042396"/>
      <w:bookmarkStart w:id="2294" w:name="_Toc1937"/>
      <w:bookmarkStart w:id="2295" w:name="_Toc152045618"/>
      <w:bookmarkStart w:id="2296" w:name="_Toc179632636"/>
      <w:bookmarkStart w:id="2297" w:name="_Toc6274"/>
      <w:bookmarkStart w:id="2298" w:name="_Toc282787418"/>
      <w:bookmarkStart w:id="2299" w:name="_Toc10907"/>
      <w:bookmarkStart w:id="2300" w:name="_Toc237923797"/>
      <w:bookmarkStart w:id="2301" w:name="_Toc282779481"/>
      <w:bookmarkStart w:id="2302" w:name="_Toc16636"/>
      <w:bookmarkStart w:id="2303" w:name="_Toc23799"/>
      <w:bookmarkStart w:id="2304" w:name="_Toc288491497"/>
      <w:bookmarkStart w:id="2305" w:name="_Toc31550"/>
      <w:bookmarkStart w:id="2306" w:name="_Toc5188"/>
      <w:bookmarkStart w:id="2307" w:name="_Toc9679"/>
      <w:bookmarkStart w:id="2308" w:name="_Toc19998"/>
      <w:bookmarkStart w:id="2309" w:name="_Toc288546621"/>
      <w:bookmarkStart w:id="2310" w:name="_Toc283794169"/>
      <w:bookmarkStart w:id="2311" w:name="_Toc144974586"/>
      <w:bookmarkStart w:id="2312" w:name="_Toc282778972"/>
      <w:bookmarkStart w:id="2313" w:name="_Toc287853321"/>
      <w:bookmarkStart w:id="2314" w:name="_Toc9198"/>
      <w:bookmarkStart w:id="2315" w:name="_Toc1911"/>
      <w:r>
        <w:rPr>
          <w:rFonts w:hint="eastAsia"/>
          <w:b/>
          <w:sz w:val="21"/>
          <w:szCs w:val="21"/>
        </w:rPr>
        <w:t>1.7</w:t>
      </w:r>
      <w:r>
        <w:rPr>
          <w:rFonts w:hint="eastAsia"/>
          <w:sz w:val="21"/>
          <w:szCs w:val="21"/>
        </w:rPr>
        <w:t xml:space="preserve">  联络</w:t>
      </w:r>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p>
    <w:p>
      <w:pPr>
        <w:spacing w:line="420" w:lineRule="exact"/>
        <w:ind w:firstLine="420" w:firstLineChars="200"/>
        <w:rPr>
          <w:szCs w:val="21"/>
        </w:rPr>
      </w:pPr>
      <w:r>
        <w:rPr>
          <w:rFonts w:hint="eastAsia"/>
          <w:szCs w:val="21"/>
        </w:rPr>
        <w:t>1.7.1  与合同有关的通知、批准、证明、证书、指示、要求、请求、同意、意见、确定和决定等，均应采用书面形式。</w:t>
      </w:r>
    </w:p>
    <w:p>
      <w:pPr>
        <w:spacing w:line="420" w:lineRule="exact"/>
        <w:ind w:firstLine="420" w:firstLineChars="200"/>
        <w:rPr>
          <w:szCs w:val="21"/>
        </w:rPr>
      </w:pPr>
      <w:r>
        <w:rPr>
          <w:rFonts w:hint="eastAsia"/>
          <w:szCs w:val="21"/>
        </w:rPr>
        <w:t>1.7.2  第1.7.1项中的通知、批准、证明、证书、指示、要求、请求、同意、意见、确定和决定等来往函件，均应在合同约定的期限内送达指定地点和接收人，并办理签收手续。</w:t>
      </w:r>
    </w:p>
    <w:p>
      <w:pPr>
        <w:pStyle w:val="27"/>
        <w:spacing w:beforeLines="50" w:afterLines="50" w:line="420" w:lineRule="exact"/>
        <w:rPr>
          <w:sz w:val="21"/>
          <w:szCs w:val="21"/>
        </w:rPr>
      </w:pPr>
      <w:bookmarkStart w:id="2316" w:name="_Toc288546622"/>
      <w:bookmarkStart w:id="2317" w:name="_Toc282779482"/>
      <w:bookmarkStart w:id="2318" w:name="_Toc4781"/>
      <w:bookmarkStart w:id="2319" w:name="_Toc282778973"/>
      <w:bookmarkStart w:id="2320" w:name="_Toc26312"/>
      <w:bookmarkStart w:id="2321" w:name="_Toc152045619"/>
      <w:bookmarkStart w:id="2322" w:name="_Toc29903"/>
      <w:bookmarkStart w:id="2323" w:name="_Toc179632637"/>
      <w:bookmarkStart w:id="2324" w:name="_Toc288491498"/>
      <w:bookmarkStart w:id="2325" w:name="_Toc152042397"/>
      <w:bookmarkStart w:id="2326" w:name="_Toc4654"/>
      <w:bookmarkStart w:id="2327" w:name="_Toc27521"/>
      <w:bookmarkStart w:id="2328" w:name="_Toc282787419"/>
      <w:bookmarkStart w:id="2329" w:name="_Toc23260"/>
      <w:bookmarkStart w:id="2330" w:name="_Toc287853322"/>
      <w:bookmarkStart w:id="2331" w:name="_Toc283794170"/>
      <w:bookmarkStart w:id="2332" w:name="_Toc32134"/>
      <w:bookmarkStart w:id="2333" w:name="_Toc144974587"/>
      <w:bookmarkStart w:id="2334" w:name="_Toc1929"/>
      <w:bookmarkStart w:id="2335" w:name="_Toc237923798"/>
      <w:bookmarkStart w:id="2336" w:name="_Toc19372"/>
      <w:bookmarkStart w:id="2337" w:name="_Toc18181"/>
      <w:bookmarkStart w:id="2338" w:name="_Toc18734"/>
      <w:r>
        <w:rPr>
          <w:rFonts w:hint="eastAsia"/>
          <w:b/>
          <w:sz w:val="21"/>
          <w:szCs w:val="21"/>
        </w:rPr>
        <w:t>1.8</w:t>
      </w:r>
      <w:r>
        <w:rPr>
          <w:rFonts w:hint="eastAsia"/>
          <w:sz w:val="21"/>
          <w:szCs w:val="21"/>
        </w:rPr>
        <w:t xml:space="preserve">  转让</w:t>
      </w:r>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p>
    <w:p>
      <w:pPr>
        <w:spacing w:line="420" w:lineRule="exact"/>
        <w:ind w:firstLine="420" w:firstLineChars="200"/>
        <w:rPr>
          <w:szCs w:val="21"/>
        </w:rPr>
      </w:pPr>
      <w:r>
        <w:rPr>
          <w:rFonts w:hint="eastAsia"/>
          <w:szCs w:val="21"/>
        </w:rPr>
        <w:t>除合同另有约定外，未经对方当事人同意，一方当事人不得将合同权利全部或部分转让给第三人，也不得全部或部分转移合同义务。</w:t>
      </w:r>
    </w:p>
    <w:p>
      <w:pPr>
        <w:pStyle w:val="27"/>
        <w:spacing w:beforeLines="50" w:afterLines="50" w:line="420" w:lineRule="exact"/>
        <w:rPr>
          <w:sz w:val="21"/>
          <w:szCs w:val="21"/>
        </w:rPr>
      </w:pPr>
      <w:bookmarkStart w:id="2339" w:name="_Toc152042398"/>
      <w:bookmarkStart w:id="2340" w:name="_Toc287853323"/>
      <w:bookmarkStart w:id="2341" w:name="_Toc28432"/>
      <w:bookmarkStart w:id="2342" w:name="_Toc975"/>
      <w:bookmarkStart w:id="2343" w:name="_Toc179632638"/>
      <w:bookmarkStart w:id="2344" w:name="_Toc283794171"/>
      <w:bookmarkStart w:id="2345" w:name="_Toc4469"/>
      <w:bookmarkStart w:id="2346" w:name="_Toc11443"/>
      <w:bookmarkStart w:id="2347" w:name="_Toc13692"/>
      <w:bookmarkStart w:id="2348" w:name="_Toc282787420"/>
      <w:bookmarkStart w:id="2349" w:name="_Toc25130"/>
      <w:bookmarkStart w:id="2350" w:name="_Toc3935"/>
      <w:bookmarkStart w:id="2351" w:name="_Toc282779483"/>
      <w:bookmarkStart w:id="2352" w:name="_Toc28064"/>
      <w:bookmarkStart w:id="2353" w:name="_Toc16230"/>
      <w:bookmarkStart w:id="2354" w:name="_Toc144974588"/>
      <w:bookmarkStart w:id="2355" w:name="_Toc282778974"/>
      <w:bookmarkStart w:id="2356" w:name="_Toc237923799"/>
      <w:bookmarkStart w:id="2357" w:name="_Toc25748"/>
      <w:bookmarkStart w:id="2358" w:name="_Toc288491499"/>
      <w:bookmarkStart w:id="2359" w:name="_Toc6989"/>
      <w:bookmarkStart w:id="2360" w:name="_Toc288546623"/>
      <w:bookmarkStart w:id="2361" w:name="_Toc152045620"/>
      <w:r>
        <w:rPr>
          <w:rFonts w:hint="eastAsia"/>
          <w:b/>
          <w:sz w:val="21"/>
          <w:szCs w:val="21"/>
        </w:rPr>
        <w:t>1.9</w:t>
      </w:r>
      <w:r>
        <w:rPr>
          <w:rFonts w:hint="eastAsia"/>
          <w:sz w:val="21"/>
          <w:szCs w:val="21"/>
        </w:rPr>
        <w:t xml:space="preserve">  严禁贿赂</w:t>
      </w:r>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p>
    <w:p>
      <w:pPr>
        <w:spacing w:line="420" w:lineRule="exact"/>
        <w:ind w:firstLine="420" w:firstLineChars="200"/>
        <w:rPr>
          <w:szCs w:val="21"/>
        </w:rPr>
      </w:pPr>
      <w:r>
        <w:rPr>
          <w:rFonts w:hint="eastAsia"/>
          <w:szCs w:val="21"/>
        </w:rPr>
        <w:t>合同双方当事人不得以贿赂或变相贿赂的方式，谋取不当利益或损害对方权益。因贿赂造成对方损失的，行为人应赔偿损失，并承担相应的法律责任。</w:t>
      </w:r>
    </w:p>
    <w:p>
      <w:pPr>
        <w:spacing w:line="420" w:lineRule="exact"/>
        <w:ind w:firstLine="420" w:firstLineChars="200"/>
        <w:rPr>
          <w:szCs w:val="21"/>
        </w:rPr>
      </w:pPr>
      <w:r>
        <w:rPr>
          <w:rFonts w:hint="eastAsia"/>
          <w:szCs w:val="21"/>
        </w:rPr>
        <w:t>在合同执行过程中，发包人和承包人应严格履行《廉政合同》约定的双方在廉政建设方面的权利和义务以及应承担的违约责任。承包人如果用行贿、送礼或其它不正当手段企图影响或已经影响了发包人或监理人的行为和（或）欲获得或已获得超出合同规定以外的额外费用，则发包人应按有关法纪严肃处理当事人，且承包人应对其上述行为造成的工程损害、发包人的经济损失等承担一切责任，并予赔偿。情节严重者，发包人有权终止承包人在本合同项下的承包。</w:t>
      </w:r>
    </w:p>
    <w:p>
      <w:pPr>
        <w:pStyle w:val="27"/>
        <w:spacing w:beforeLines="50" w:afterLines="50" w:line="420" w:lineRule="exact"/>
        <w:rPr>
          <w:sz w:val="21"/>
          <w:szCs w:val="21"/>
        </w:rPr>
      </w:pPr>
      <w:bookmarkStart w:id="2362" w:name="_Toc283794172"/>
      <w:bookmarkStart w:id="2363" w:name="_Toc288491500"/>
      <w:bookmarkStart w:id="2364" w:name="_Toc282778975"/>
      <w:bookmarkStart w:id="2365" w:name="_Toc282787421"/>
      <w:bookmarkStart w:id="2366" w:name="_Toc3380"/>
      <w:bookmarkStart w:id="2367" w:name="_Toc237923800"/>
      <w:bookmarkStart w:id="2368" w:name="_Toc10107"/>
      <w:bookmarkStart w:id="2369" w:name="_Toc152042399"/>
      <w:bookmarkStart w:id="2370" w:name="_Toc152045621"/>
      <w:bookmarkStart w:id="2371" w:name="_Toc17246"/>
      <w:bookmarkStart w:id="2372" w:name="_Toc29121"/>
      <w:bookmarkStart w:id="2373" w:name="_Toc144974589"/>
      <w:bookmarkStart w:id="2374" w:name="_Toc287853324"/>
      <w:bookmarkStart w:id="2375" w:name="_Toc10247"/>
      <w:bookmarkStart w:id="2376" w:name="_Toc29034"/>
      <w:bookmarkStart w:id="2377" w:name="_Toc9360"/>
      <w:bookmarkStart w:id="2378" w:name="_Toc14913"/>
      <w:bookmarkStart w:id="2379" w:name="_Toc12530"/>
      <w:bookmarkStart w:id="2380" w:name="_Toc179632639"/>
      <w:bookmarkStart w:id="2381" w:name="_Toc16204"/>
      <w:bookmarkStart w:id="2382" w:name="_Toc282779484"/>
      <w:bookmarkStart w:id="2383" w:name="_Toc288546624"/>
      <w:bookmarkStart w:id="2384" w:name="_Toc14567"/>
      <w:r>
        <w:rPr>
          <w:rFonts w:hint="eastAsia"/>
          <w:b/>
          <w:sz w:val="21"/>
          <w:szCs w:val="21"/>
        </w:rPr>
        <w:t>1.10</w:t>
      </w:r>
      <w:r>
        <w:rPr>
          <w:rFonts w:hint="eastAsia"/>
          <w:sz w:val="21"/>
          <w:szCs w:val="21"/>
        </w:rPr>
        <w:t xml:space="preserve">  化石、文物</w:t>
      </w:r>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p>
    <w:p>
      <w:pPr>
        <w:spacing w:line="420" w:lineRule="exact"/>
        <w:ind w:firstLine="420" w:firstLineChars="200"/>
        <w:rPr>
          <w:szCs w:val="21"/>
        </w:rPr>
      </w:pPr>
      <w:r>
        <w:rPr>
          <w:rFonts w:hint="eastAsia"/>
          <w:szCs w:val="21"/>
        </w:rPr>
        <w:t>1.10.1  在施工场地发掘的所有文物、古迹以及具有地质研究或考古价值的其它遗迹、化石、钱币或物品属于国家所有。一旦发现上述文物，承包人应采取有效合理的保护措施，防止任何人员移动或损坏上述物品，并立即报告当地文物行政部门，同时通知监理人。发包人、监理人和承包人应按文物行政部门要求采取妥善保护措施，由此导致费用增加和（或）工期延误由发包人承担。</w:t>
      </w:r>
    </w:p>
    <w:p>
      <w:pPr>
        <w:spacing w:line="420" w:lineRule="exact"/>
        <w:ind w:firstLine="420" w:firstLineChars="200"/>
        <w:rPr>
          <w:szCs w:val="21"/>
        </w:rPr>
      </w:pPr>
      <w:r>
        <w:rPr>
          <w:rFonts w:hint="eastAsia"/>
          <w:szCs w:val="21"/>
        </w:rPr>
        <w:t>1.10.2  承包人发现文物后不及时报告或隐瞒不报，致使文物丢失或损坏的，应赔偿损失，并承担相应的法律责任。</w:t>
      </w:r>
    </w:p>
    <w:p>
      <w:pPr>
        <w:pStyle w:val="27"/>
        <w:spacing w:beforeLines="50" w:afterLines="50" w:line="420" w:lineRule="exact"/>
        <w:rPr>
          <w:sz w:val="21"/>
          <w:szCs w:val="21"/>
        </w:rPr>
      </w:pPr>
      <w:bookmarkStart w:id="2385" w:name="_Toc1251"/>
      <w:bookmarkStart w:id="2386" w:name="_Toc10188"/>
      <w:bookmarkStart w:id="2387" w:name="_Toc12105"/>
      <w:bookmarkStart w:id="2388" w:name="_Toc282779485"/>
      <w:bookmarkStart w:id="2389" w:name="_Toc282787422"/>
      <w:bookmarkStart w:id="2390" w:name="_Toc287853325"/>
      <w:bookmarkStart w:id="2391" w:name="_Toc282778976"/>
      <w:bookmarkStart w:id="2392" w:name="_Toc8344"/>
      <w:bookmarkStart w:id="2393" w:name="_Toc14157"/>
      <w:bookmarkStart w:id="2394" w:name="_Toc288491501"/>
      <w:bookmarkStart w:id="2395" w:name="_Toc4251"/>
      <w:bookmarkStart w:id="2396" w:name="_Toc152045622"/>
      <w:bookmarkStart w:id="2397" w:name="_Toc179632640"/>
      <w:bookmarkStart w:id="2398" w:name="_Toc31906"/>
      <w:bookmarkStart w:id="2399" w:name="_Toc283794173"/>
      <w:bookmarkStart w:id="2400" w:name="_Toc14608"/>
      <w:bookmarkStart w:id="2401" w:name="_Toc237923801"/>
      <w:bookmarkStart w:id="2402" w:name="_Toc7064"/>
      <w:bookmarkStart w:id="2403" w:name="_Toc288546625"/>
      <w:bookmarkStart w:id="2404" w:name="_Toc144974590"/>
      <w:bookmarkStart w:id="2405" w:name="_Toc152042400"/>
      <w:bookmarkStart w:id="2406" w:name="_Toc7713"/>
      <w:bookmarkStart w:id="2407" w:name="_Toc15236"/>
      <w:r>
        <w:rPr>
          <w:rFonts w:hint="eastAsia"/>
          <w:b/>
          <w:sz w:val="21"/>
          <w:szCs w:val="21"/>
        </w:rPr>
        <w:t>1.11</w:t>
      </w:r>
      <w:r>
        <w:rPr>
          <w:rFonts w:hint="eastAsia"/>
          <w:sz w:val="21"/>
          <w:szCs w:val="21"/>
        </w:rPr>
        <w:t xml:space="preserve">  专利技术</w:t>
      </w:r>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p>
    <w:p>
      <w:pPr>
        <w:spacing w:line="420" w:lineRule="exact"/>
        <w:ind w:firstLine="420" w:firstLineChars="200"/>
        <w:rPr>
          <w:szCs w:val="21"/>
        </w:rPr>
      </w:pPr>
      <w:r>
        <w:rPr>
          <w:rFonts w:hint="eastAsia"/>
          <w:szCs w:val="21"/>
        </w:rPr>
        <w:t>1.11.1  承包人在使用任何材料、承包人设备、工程设备或采用施工工艺时，因侵犯专利权或其它知识产权所引起的责任，由承包人承担，但由于遵照发包人提供的设计或技术标准和要求引起的除外。</w:t>
      </w:r>
    </w:p>
    <w:p>
      <w:pPr>
        <w:spacing w:line="420" w:lineRule="exact"/>
        <w:ind w:firstLine="420" w:firstLineChars="200"/>
        <w:rPr>
          <w:szCs w:val="21"/>
        </w:rPr>
      </w:pPr>
      <w:r>
        <w:rPr>
          <w:rFonts w:hint="eastAsia"/>
          <w:szCs w:val="21"/>
        </w:rPr>
        <w:t>1.11.2  承包人在投标文件中采用专利技术的，专利技术的使用费包含在投标报价内。</w:t>
      </w:r>
    </w:p>
    <w:p>
      <w:pPr>
        <w:spacing w:line="420" w:lineRule="exact"/>
        <w:ind w:firstLine="420" w:firstLineChars="200"/>
        <w:rPr>
          <w:szCs w:val="21"/>
        </w:rPr>
      </w:pPr>
      <w:r>
        <w:rPr>
          <w:rFonts w:hint="eastAsia"/>
          <w:szCs w:val="21"/>
        </w:rPr>
        <w:t>1.11.3  承包人的技术秘密和声明需要保密的资料和信息，发包人和监理人不得为合同以外的目的泄露给他人。</w:t>
      </w:r>
    </w:p>
    <w:p>
      <w:pPr>
        <w:pStyle w:val="27"/>
        <w:spacing w:beforeLines="50" w:afterLines="50" w:line="420" w:lineRule="exact"/>
        <w:rPr>
          <w:sz w:val="21"/>
          <w:szCs w:val="21"/>
        </w:rPr>
      </w:pPr>
      <w:bookmarkStart w:id="2408" w:name="_Toc7842"/>
      <w:bookmarkStart w:id="2409" w:name="_Toc237923802"/>
      <w:bookmarkStart w:id="2410" w:name="_Toc152045623"/>
      <w:bookmarkStart w:id="2411" w:name="_Toc10779"/>
      <w:bookmarkStart w:id="2412" w:name="_Toc283794174"/>
      <w:bookmarkStart w:id="2413" w:name="_Toc288491502"/>
      <w:bookmarkStart w:id="2414" w:name="_Toc282778977"/>
      <w:bookmarkStart w:id="2415" w:name="_Toc7113"/>
      <w:bookmarkStart w:id="2416" w:name="_Toc144974591"/>
      <w:bookmarkStart w:id="2417" w:name="_Toc5855"/>
      <w:bookmarkStart w:id="2418" w:name="_Toc13430"/>
      <w:bookmarkStart w:id="2419" w:name="_Toc282787423"/>
      <w:bookmarkStart w:id="2420" w:name="_Toc2614"/>
      <w:bookmarkStart w:id="2421" w:name="_Toc179632641"/>
      <w:bookmarkStart w:id="2422" w:name="_Toc152042401"/>
      <w:bookmarkStart w:id="2423" w:name="_Toc28421"/>
      <w:bookmarkStart w:id="2424" w:name="_Toc23839"/>
      <w:bookmarkStart w:id="2425" w:name="_Toc15495"/>
      <w:bookmarkStart w:id="2426" w:name="_Toc32016"/>
      <w:bookmarkStart w:id="2427" w:name="_Toc287853326"/>
      <w:bookmarkStart w:id="2428" w:name="_Toc282779486"/>
      <w:bookmarkStart w:id="2429" w:name="_Toc18164"/>
      <w:bookmarkStart w:id="2430" w:name="_Toc288546626"/>
      <w:r>
        <w:rPr>
          <w:rFonts w:hint="eastAsia"/>
          <w:b/>
          <w:sz w:val="21"/>
          <w:szCs w:val="21"/>
        </w:rPr>
        <w:t>1.12</w:t>
      </w:r>
      <w:r>
        <w:rPr>
          <w:rFonts w:hint="eastAsia"/>
          <w:sz w:val="21"/>
          <w:szCs w:val="21"/>
        </w:rPr>
        <w:t xml:space="preserve">  图纸和文件的保密</w:t>
      </w:r>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p>
    <w:p>
      <w:pPr>
        <w:spacing w:line="420" w:lineRule="exact"/>
        <w:ind w:firstLine="420" w:firstLineChars="200"/>
        <w:rPr>
          <w:szCs w:val="21"/>
        </w:rPr>
      </w:pPr>
      <w:r>
        <w:rPr>
          <w:rFonts w:hint="eastAsia"/>
          <w:szCs w:val="21"/>
        </w:rPr>
        <w:t>1.12.1  发包人提供的图纸和文件，未经发包人同意，承包人不得为合同以外的目的泄露给他人或公开发表与引用。</w:t>
      </w:r>
    </w:p>
    <w:p>
      <w:pPr>
        <w:spacing w:line="420" w:lineRule="exact"/>
        <w:ind w:firstLine="420" w:firstLineChars="200"/>
        <w:rPr>
          <w:szCs w:val="21"/>
        </w:rPr>
      </w:pPr>
      <w:r>
        <w:rPr>
          <w:rFonts w:hint="eastAsia"/>
          <w:szCs w:val="21"/>
        </w:rPr>
        <w:t>1.12.2  承包人提供的文件，未经承包人同意，发包人和监理人不得为合同以外的目的泄露给他人或公开发表与引用。</w:t>
      </w:r>
    </w:p>
    <w:p>
      <w:pPr>
        <w:pStyle w:val="28"/>
        <w:spacing w:beforeLines="50" w:afterLines="50" w:line="420" w:lineRule="exact"/>
        <w:rPr>
          <w:szCs w:val="28"/>
        </w:rPr>
      </w:pPr>
      <w:bookmarkStart w:id="2431" w:name="_Toc22751"/>
      <w:bookmarkStart w:id="2432" w:name="_Toc24902"/>
      <w:bookmarkStart w:id="2433" w:name="_Toc283794175"/>
      <w:bookmarkStart w:id="2434" w:name="_Toc282787424"/>
      <w:bookmarkStart w:id="2435" w:name="_Toc19576"/>
      <w:bookmarkStart w:id="2436" w:name="_Toc282778978"/>
      <w:bookmarkStart w:id="2437" w:name="_Toc6331"/>
      <w:bookmarkStart w:id="2438" w:name="_Toc152045624"/>
      <w:bookmarkStart w:id="2439" w:name="_Toc179632642"/>
      <w:bookmarkStart w:id="2440" w:name="_Toc287853327"/>
      <w:bookmarkStart w:id="2441" w:name="_Toc152042402"/>
      <w:bookmarkStart w:id="2442" w:name="_Toc17793"/>
      <w:bookmarkStart w:id="2443" w:name="_Toc31207"/>
      <w:bookmarkStart w:id="2444" w:name="_Toc288546627"/>
      <w:bookmarkStart w:id="2445" w:name="_Toc31248"/>
      <w:bookmarkStart w:id="2446" w:name="_Toc237923803"/>
      <w:bookmarkStart w:id="2447" w:name="_Toc17210"/>
      <w:bookmarkStart w:id="2448" w:name="_Toc32363"/>
      <w:bookmarkStart w:id="2449" w:name="_Toc2235"/>
      <w:bookmarkStart w:id="2450" w:name="_Toc29334"/>
      <w:bookmarkStart w:id="2451" w:name="_Toc288491503"/>
      <w:bookmarkStart w:id="2452" w:name="_Toc282779487"/>
      <w:bookmarkStart w:id="2453" w:name="_Toc144974592"/>
      <w:r>
        <w:rPr>
          <w:rFonts w:hint="eastAsia"/>
          <w:szCs w:val="28"/>
        </w:rPr>
        <w:t>2．发包人义务</w:t>
      </w:r>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p>
    <w:p>
      <w:pPr>
        <w:pStyle w:val="27"/>
        <w:spacing w:beforeLines="50" w:afterLines="50" w:line="420" w:lineRule="exact"/>
        <w:rPr>
          <w:sz w:val="21"/>
          <w:szCs w:val="21"/>
        </w:rPr>
      </w:pPr>
      <w:bookmarkStart w:id="2454" w:name="_Toc152042403"/>
      <w:bookmarkStart w:id="2455" w:name="_Toc237923804"/>
      <w:bookmarkStart w:id="2456" w:name="_Toc21369"/>
      <w:bookmarkStart w:id="2457" w:name="_Toc152045625"/>
      <w:bookmarkStart w:id="2458" w:name="_Toc11416"/>
      <w:bookmarkStart w:id="2459" w:name="_Toc10611"/>
      <w:bookmarkStart w:id="2460" w:name="_Toc282778979"/>
      <w:bookmarkStart w:id="2461" w:name="_Toc283794176"/>
      <w:bookmarkStart w:id="2462" w:name="_Toc10770"/>
      <w:bookmarkStart w:id="2463" w:name="_Toc27333"/>
      <w:bookmarkStart w:id="2464" w:name="_Toc288546628"/>
      <w:bookmarkStart w:id="2465" w:name="_Toc144974593"/>
      <w:bookmarkStart w:id="2466" w:name="_Toc18183"/>
      <w:bookmarkStart w:id="2467" w:name="_Toc30172"/>
      <w:bookmarkStart w:id="2468" w:name="_Toc20141"/>
      <w:bookmarkStart w:id="2469" w:name="_Toc179632643"/>
      <w:bookmarkStart w:id="2470" w:name="_Toc5421"/>
      <w:bookmarkStart w:id="2471" w:name="_Toc282779488"/>
      <w:bookmarkStart w:id="2472" w:name="_Toc287853328"/>
      <w:bookmarkStart w:id="2473" w:name="_Toc29688"/>
      <w:bookmarkStart w:id="2474" w:name="_Toc9593"/>
      <w:bookmarkStart w:id="2475" w:name="_Toc288491504"/>
      <w:bookmarkStart w:id="2476" w:name="_Toc282787425"/>
      <w:r>
        <w:rPr>
          <w:rFonts w:hint="eastAsia"/>
          <w:b/>
          <w:sz w:val="21"/>
          <w:szCs w:val="21"/>
        </w:rPr>
        <w:t>2.1</w:t>
      </w:r>
      <w:r>
        <w:rPr>
          <w:rFonts w:hint="eastAsia"/>
          <w:sz w:val="21"/>
          <w:szCs w:val="21"/>
        </w:rPr>
        <w:t xml:space="preserve">  遵守法律</w:t>
      </w:r>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p>
    <w:p>
      <w:pPr>
        <w:spacing w:line="420" w:lineRule="exact"/>
        <w:ind w:firstLine="420" w:firstLineChars="200"/>
        <w:rPr>
          <w:szCs w:val="21"/>
        </w:rPr>
      </w:pPr>
      <w:r>
        <w:rPr>
          <w:rFonts w:hint="eastAsia"/>
          <w:szCs w:val="21"/>
        </w:rPr>
        <w:t>发包人在履行合同过程中应遵守法律，并保证承包人免于承担因发包人违反法律而引起的任何责任。</w:t>
      </w:r>
    </w:p>
    <w:p>
      <w:pPr>
        <w:pStyle w:val="27"/>
        <w:spacing w:beforeLines="50" w:afterLines="50" w:line="420" w:lineRule="exact"/>
        <w:rPr>
          <w:sz w:val="21"/>
          <w:szCs w:val="21"/>
        </w:rPr>
      </w:pPr>
      <w:bookmarkStart w:id="2477" w:name="_Toc17778"/>
      <w:bookmarkStart w:id="2478" w:name="_Toc14643"/>
      <w:bookmarkStart w:id="2479" w:name="_Toc1063"/>
      <w:bookmarkStart w:id="2480" w:name="_Toc55"/>
      <w:bookmarkStart w:id="2481" w:name="_Toc25982"/>
      <w:bookmarkStart w:id="2482" w:name="_Toc282778980"/>
      <w:bookmarkStart w:id="2483" w:name="_Toc24959"/>
      <w:bookmarkStart w:id="2484" w:name="_Toc288546629"/>
      <w:bookmarkStart w:id="2485" w:name="_Toc152042404"/>
      <w:bookmarkStart w:id="2486" w:name="_Toc288491505"/>
      <w:bookmarkStart w:id="2487" w:name="_Toc14517"/>
      <w:bookmarkStart w:id="2488" w:name="_Toc282787426"/>
      <w:bookmarkStart w:id="2489" w:name="_Toc179632644"/>
      <w:bookmarkStart w:id="2490" w:name="_Toc283794177"/>
      <w:bookmarkStart w:id="2491" w:name="_Toc29728"/>
      <w:bookmarkStart w:id="2492" w:name="_Toc237923805"/>
      <w:bookmarkStart w:id="2493" w:name="_Toc15226"/>
      <w:bookmarkStart w:id="2494" w:name="_Toc144974594"/>
      <w:bookmarkStart w:id="2495" w:name="_Toc930"/>
      <w:bookmarkStart w:id="2496" w:name="_Toc282779489"/>
      <w:bookmarkStart w:id="2497" w:name="_Toc152045626"/>
      <w:bookmarkStart w:id="2498" w:name="_Toc287853329"/>
      <w:bookmarkStart w:id="2499" w:name="_Toc15795"/>
      <w:r>
        <w:rPr>
          <w:rFonts w:hint="eastAsia"/>
          <w:b/>
          <w:sz w:val="21"/>
          <w:szCs w:val="21"/>
        </w:rPr>
        <w:t>2.2</w:t>
      </w:r>
      <w:r>
        <w:rPr>
          <w:rFonts w:hint="eastAsia"/>
          <w:sz w:val="21"/>
          <w:szCs w:val="21"/>
        </w:rPr>
        <w:t xml:space="preserve">  发出开工通知</w:t>
      </w:r>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p>
    <w:p>
      <w:pPr>
        <w:spacing w:line="420" w:lineRule="exact"/>
        <w:ind w:firstLine="420" w:firstLineChars="200"/>
        <w:rPr>
          <w:szCs w:val="21"/>
        </w:rPr>
      </w:pPr>
      <w:r>
        <w:rPr>
          <w:rFonts w:hint="eastAsia"/>
          <w:szCs w:val="21"/>
        </w:rPr>
        <w:t>发包人应委托监理人按第11.1款的约定向承包人发出开工通知。</w:t>
      </w:r>
    </w:p>
    <w:p>
      <w:pPr>
        <w:pStyle w:val="27"/>
        <w:spacing w:beforeLines="50" w:afterLines="50" w:line="420" w:lineRule="exact"/>
        <w:rPr>
          <w:sz w:val="21"/>
          <w:szCs w:val="21"/>
        </w:rPr>
      </w:pPr>
      <w:bookmarkStart w:id="2500" w:name="_Toc27251"/>
      <w:bookmarkStart w:id="2501" w:name="_Toc152042405"/>
      <w:bookmarkStart w:id="2502" w:name="_Toc25467"/>
      <w:bookmarkStart w:id="2503" w:name="_Toc1317"/>
      <w:bookmarkStart w:id="2504" w:name="_Toc8824"/>
      <w:bookmarkStart w:id="2505" w:name="_Toc6792"/>
      <w:bookmarkStart w:id="2506" w:name="_Toc18161"/>
      <w:bookmarkStart w:id="2507" w:name="_Toc282787427"/>
      <w:bookmarkStart w:id="2508" w:name="_Toc288546630"/>
      <w:bookmarkStart w:id="2509" w:name="_Toc282779490"/>
      <w:bookmarkStart w:id="2510" w:name="_Toc288491506"/>
      <w:bookmarkStart w:id="2511" w:name="_Toc152045627"/>
      <w:bookmarkStart w:id="2512" w:name="_Toc1389"/>
      <w:bookmarkStart w:id="2513" w:name="_Toc144974595"/>
      <w:bookmarkStart w:id="2514" w:name="_Toc287853330"/>
      <w:bookmarkStart w:id="2515" w:name="_Toc282778981"/>
      <w:bookmarkStart w:id="2516" w:name="_Toc283794178"/>
      <w:bookmarkStart w:id="2517" w:name="_Toc179632645"/>
      <w:bookmarkStart w:id="2518" w:name="_Toc29769"/>
      <w:bookmarkStart w:id="2519" w:name="_Toc237923806"/>
      <w:bookmarkStart w:id="2520" w:name="_Toc9762"/>
      <w:bookmarkStart w:id="2521" w:name="_Toc1514"/>
      <w:bookmarkStart w:id="2522" w:name="_Toc14468"/>
      <w:r>
        <w:rPr>
          <w:rFonts w:hint="eastAsia"/>
          <w:b/>
          <w:sz w:val="21"/>
          <w:szCs w:val="21"/>
        </w:rPr>
        <w:t>2.3</w:t>
      </w:r>
      <w:r>
        <w:rPr>
          <w:rFonts w:hint="eastAsia"/>
          <w:sz w:val="21"/>
          <w:szCs w:val="21"/>
        </w:rPr>
        <w:t xml:space="preserve">  提供施工场地</w:t>
      </w:r>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p>
    <w:p>
      <w:pPr>
        <w:spacing w:line="420" w:lineRule="exact"/>
        <w:ind w:firstLine="420" w:firstLineChars="200"/>
        <w:rPr>
          <w:szCs w:val="21"/>
        </w:rPr>
      </w:pPr>
      <w:r>
        <w:rPr>
          <w:rFonts w:hint="eastAsia"/>
          <w:szCs w:val="21"/>
        </w:rPr>
        <w:t>发包人应按专用合同条款约定向承包人提供施工场地，以及施工场地内地下管线和地下设施等有关资料，并保证资料的真实、准确、完整。</w:t>
      </w:r>
    </w:p>
    <w:p>
      <w:pPr>
        <w:spacing w:line="420" w:lineRule="exact"/>
        <w:ind w:firstLine="420" w:firstLineChars="200"/>
        <w:rPr>
          <w:szCs w:val="21"/>
        </w:rPr>
      </w:pPr>
      <w:r>
        <w:rPr>
          <w:rFonts w:hint="eastAsia"/>
          <w:szCs w:val="21"/>
        </w:rPr>
        <w:t>发包人应协调承包人办理临时用地的租用。</w:t>
      </w:r>
    </w:p>
    <w:p>
      <w:pPr>
        <w:pStyle w:val="27"/>
        <w:spacing w:beforeLines="50" w:afterLines="50" w:line="420" w:lineRule="exact"/>
        <w:rPr>
          <w:sz w:val="21"/>
          <w:szCs w:val="21"/>
        </w:rPr>
      </w:pPr>
      <w:bookmarkStart w:id="2523" w:name="_Toc283794179"/>
      <w:bookmarkStart w:id="2524" w:name="_Toc282779491"/>
      <w:bookmarkStart w:id="2525" w:name="_Toc20338"/>
      <w:bookmarkStart w:id="2526" w:name="_Toc152042406"/>
      <w:bookmarkStart w:id="2527" w:name="_Toc282778982"/>
      <w:bookmarkStart w:id="2528" w:name="_Toc152045628"/>
      <w:bookmarkStart w:id="2529" w:name="_Toc3687"/>
      <w:bookmarkStart w:id="2530" w:name="_Toc10406"/>
      <w:bookmarkStart w:id="2531" w:name="_Toc288491507"/>
      <w:bookmarkStart w:id="2532" w:name="_Toc21286"/>
      <w:bookmarkStart w:id="2533" w:name="_Toc237923807"/>
      <w:bookmarkStart w:id="2534" w:name="_Toc287853331"/>
      <w:bookmarkStart w:id="2535" w:name="_Toc17725"/>
      <w:bookmarkStart w:id="2536" w:name="_Toc282787428"/>
      <w:bookmarkStart w:id="2537" w:name="_Toc29220"/>
      <w:bookmarkStart w:id="2538" w:name="_Toc144974596"/>
      <w:bookmarkStart w:id="2539" w:name="_Toc17580"/>
      <w:bookmarkStart w:id="2540" w:name="_Toc5990"/>
      <w:bookmarkStart w:id="2541" w:name="_Toc30247"/>
      <w:bookmarkStart w:id="2542" w:name="_Toc179632646"/>
      <w:bookmarkStart w:id="2543" w:name="_Toc9754"/>
      <w:bookmarkStart w:id="2544" w:name="_Toc527"/>
      <w:bookmarkStart w:id="2545" w:name="_Toc288546631"/>
      <w:r>
        <w:rPr>
          <w:rFonts w:hint="eastAsia"/>
          <w:b/>
          <w:sz w:val="21"/>
          <w:szCs w:val="21"/>
        </w:rPr>
        <w:t>2.4</w:t>
      </w:r>
      <w:r>
        <w:rPr>
          <w:rFonts w:hint="eastAsia"/>
          <w:sz w:val="21"/>
          <w:szCs w:val="21"/>
        </w:rPr>
        <w:t xml:space="preserve">  协助承包人办理证件和批件</w:t>
      </w:r>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p>
    <w:p>
      <w:pPr>
        <w:spacing w:line="420" w:lineRule="exact"/>
        <w:ind w:firstLine="420" w:firstLineChars="200"/>
        <w:rPr>
          <w:szCs w:val="21"/>
        </w:rPr>
      </w:pPr>
      <w:r>
        <w:rPr>
          <w:rFonts w:hint="eastAsia"/>
          <w:szCs w:val="21"/>
        </w:rPr>
        <w:t>发包人应协助承包人办理法律规定的有关施工证件和批件。</w:t>
      </w:r>
    </w:p>
    <w:p>
      <w:pPr>
        <w:pStyle w:val="27"/>
        <w:spacing w:beforeLines="50" w:afterLines="50" w:line="420" w:lineRule="exact"/>
        <w:rPr>
          <w:sz w:val="21"/>
          <w:szCs w:val="21"/>
        </w:rPr>
      </w:pPr>
      <w:bookmarkStart w:id="2546" w:name="_Toc282779492"/>
      <w:bookmarkStart w:id="2547" w:name="_Toc288546632"/>
      <w:bookmarkStart w:id="2548" w:name="_Toc5103"/>
      <w:bookmarkStart w:id="2549" w:name="_Toc29141"/>
      <w:bookmarkStart w:id="2550" w:name="_Toc152042407"/>
      <w:bookmarkStart w:id="2551" w:name="_Toc15534"/>
      <w:bookmarkStart w:id="2552" w:name="_Toc144974597"/>
      <w:bookmarkStart w:id="2553" w:name="_Toc17765"/>
      <w:bookmarkStart w:id="2554" w:name="_Toc287853332"/>
      <w:bookmarkStart w:id="2555" w:name="_Toc282778983"/>
      <w:bookmarkStart w:id="2556" w:name="_Toc4148"/>
      <w:bookmarkStart w:id="2557" w:name="_Toc29609"/>
      <w:bookmarkStart w:id="2558" w:name="_Toc12525"/>
      <w:bookmarkStart w:id="2559" w:name="_Toc1885"/>
      <w:bookmarkStart w:id="2560" w:name="_Toc282787429"/>
      <w:bookmarkStart w:id="2561" w:name="_Toc283794180"/>
      <w:bookmarkStart w:id="2562" w:name="_Toc15751"/>
      <w:bookmarkStart w:id="2563" w:name="_Toc5083"/>
      <w:bookmarkStart w:id="2564" w:name="_Toc237923808"/>
      <w:bookmarkStart w:id="2565" w:name="_Toc288491508"/>
      <w:bookmarkStart w:id="2566" w:name="_Toc152045629"/>
      <w:bookmarkStart w:id="2567" w:name="_Toc9917"/>
      <w:bookmarkStart w:id="2568" w:name="_Toc179632647"/>
      <w:r>
        <w:rPr>
          <w:rFonts w:hint="eastAsia"/>
          <w:b/>
          <w:sz w:val="21"/>
          <w:szCs w:val="21"/>
        </w:rPr>
        <w:t>2.5</w:t>
      </w:r>
      <w:r>
        <w:rPr>
          <w:rFonts w:hint="eastAsia"/>
          <w:sz w:val="21"/>
          <w:szCs w:val="21"/>
        </w:rPr>
        <w:t xml:space="preserve">  组织设计交底</w:t>
      </w:r>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p>
    <w:p>
      <w:pPr>
        <w:spacing w:line="420" w:lineRule="exact"/>
        <w:ind w:firstLine="420" w:firstLineChars="200"/>
        <w:rPr>
          <w:szCs w:val="21"/>
        </w:rPr>
      </w:pPr>
      <w:r>
        <w:rPr>
          <w:rFonts w:hint="eastAsia"/>
          <w:szCs w:val="21"/>
        </w:rPr>
        <w:t>发包人应根据合同进度计划，组织设计单位向承包人进行设计交底。</w:t>
      </w:r>
    </w:p>
    <w:p>
      <w:pPr>
        <w:pStyle w:val="27"/>
        <w:spacing w:beforeLines="50" w:afterLines="50" w:line="420" w:lineRule="exact"/>
        <w:rPr>
          <w:sz w:val="21"/>
          <w:szCs w:val="21"/>
        </w:rPr>
      </w:pPr>
      <w:bookmarkStart w:id="2569" w:name="_Toc282787430"/>
      <w:bookmarkStart w:id="2570" w:name="_Toc152042408"/>
      <w:bookmarkStart w:id="2571" w:name="_Toc179632648"/>
      <w:bookmarkStart w:id="2572" w:name="_Toc25939"/>
      <w:bookmarkStart w:id="2573" w:name="_Toc8991"/>
      <w:bookmarkStart w:id="2574" w:name="_Toc288491509"/>
      <w:bookmarkStart w:id="2575" w:name="_Toc144974598"/>
      <w:bookmarkStart w:id="2576" w:name="_Toc24524"/>
      <w:bookmarkStart w:id="2577" w:name="_Toc10231"/>
      <w:bookmarkStart w:id="2578" w:name="_Toc1345"/>
      <w:bookmarkStart w:id="2579" w:name="_Toc282779493"/>
      <w:bookmarkStart w:id="2580" w:name="_Toc282778984"/>
      <w:bookmarkStart w:id="2581" w:name="_Toc287853333"/>
      <w:bookmarkStart w:id="2582" w:name="_Toc283794181"/>
      <w:bookmarkStart w:id="2583" w:name="_Toc288546633"/>
      <w:bookmarkStart w:id="2584" w:name="_Toc3327"/>
      <w:bookmarkStart w:id="2585" w:name="_Toc23333"/>
      <w:bookmarkStart w:id="2586" w:name="_Toc152045630"/>
      <w:bookmarkStart w:id="2587" w:name="_Toc32659"/>
      <w:bookmarkStart w:id="2588" w:name="_Toc17826"/>
      <w:bookmarkStart w:id="2589" w:name="_Toc13721"/>
      <w:bookmarkStart w:id="2590" w:name="_Toc17596"/>
      <w:bookmarkStart w:id="2591" w:name="_Toc237923809"/>
      <w:r>
        <w:rPr>
          <w:rFonts w:hint="eastAsia"/>
          <w:b/>
          <w:sz w:val="21"/>
          <w:szCs w:val="21"/>
        </w:rPr>
        <w:t>2.6</w:t>
      </w:r>
      <w:r>
        <w:rPr>
          <w:rFonts w:hint="eastAsia"/>
          <w:sz w:val="21"/>
          <w:szCs w:val="21"/>
        </w:rPr>
        <w:t xml:space="preserve">  支付合同价款</w:t>
      </w:r>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p>
    <w:p>
      <w:pPr>
        <w:spacing w:line="420" w:lineRule="exact"/>
        <w:ind w:firstLine="420" w:firstLineChars="200"/>
        <w:rPr>
          <w:szCs w:val="21"/>
        </w:rPr>
      </w:pPr>
      <w:r>
        <w:rPr>
          <w:rFonts w:hint="eastAsia"/>
          <w:szCs w:val="21"/>
        </w:rPr>
        <w:t>发包人应按合同约定向承包人及时支付合同价款。</w:t>
      </w:r>
    </w:p>
    <w:p>
      <w:pPr>
        <w:pStyle w:val="27"/>
        <w:spacing w:beforeLines="50" w:afterLines="50" w:line="420" w:lineRule="exact"/>
        <w:rPr>
          <w:sz w:val="21"/>
          <w:szCs w:val="21"/>
        </w:rPr>
      </w:pPr>
      <w:bookmarkStart w:id="2592" w:name="_Toc144974599"/>
      <w:bookmarkStart w:id="2593" w:name="_Toc237923810"/>
      <w:bookmarkStart w:id="2594" w:name="_Toc152045631"/>
      <w:bookmarkStart w:id="2595" w:name="_Toc19407"/>
      <w:bookmarkStart w:id="2596" w:name="_Toc282778985"/>
      <w:bookmarkStart w:id="2597" w:name="_Toc283794182"/>
      <w:bookmarkStart w:id="2598" w:name="_Toc288546634"/>
      <w:bookmarkStart w:id="2599" w:name="_Toc282779494"/>
      <w:bookmarkStart w:id="2600" w:name="_Toc282787431"/>
      <w:bookmarkStart w:id="2601" w:name="_Toc288491510"/>
      <w:bookmarkStart w:id="2602" w:name="_Toc15385"/>
      <w:bookmarkStart w:id="2603" w:name="_Toc3792"/>
      <w:bookmarkStart w:id="2604" w:name="_Toc24005"/>
      <w:bookmarkStart w:id="2605" w:name="_Toc21604"/>
      <w:bookmarkStart w:id="2606" w:name="_Toc287853334"/>
      <w:bookmarkStart w:id="2607" w:name="_Toc10057"/>
      <w:bookmarkStart w:id="2608" w:name="_Toc19237"/>
      <w:bookmarkStart w:id="2609" w:name="_Toc152042409"/>
      <w:bookmarkStart w:id="2610" w:name="_Toc30181"/>
      <w:bookmarkStart w:id="2611" w:name="_Toc179632649"/>
      <w:bookmarkStart w:id="2612" w:name="_Toc32583"/>
      <w:bookmarkStart w:id="2613" w:name="_Toc7620"/>
      <w:bookmarkStart w:id="2614" w:name="_Toc20833"/>
      <w:r>
        <w:rPr>
          <w:rFonts w:hint="eastAsia"/>
          <w:b/>
          <w:sz w:val="21"/>
          <w:szCs w:val="21"/>
        </w:rPr>
        <w:t>2.7</w:t>
      </w:r>
      <w:r>
        <w:rPr>
          <w:rFonts w:hint="eastAsia"/>
          <w:sz w:val="21"/>
          <w:szCs w:val="21"/>
        </w:rPr>
        <w:t xml:space="preserve">  组织竣工验收</w:t>
      </w:r>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p>
    <w:p>
      <w:pPr>
        <w:spacing w:line="420" w:lineRule="exact"/>
        <w:ind w:firstLine="420" w:firstLineChars="200"/>
        <w:rPr>
          <w:szCs w:val="21"/>
        </w:rPr>
      </w:pPr>
      <w:r>
        <w:rPr>
          <w:rFonts w:hint="eastAsia"/>
          <w:szCs w:val="21"/>
        </w:rPr>
        <w:t>发包人应按合同约定及时组织竣工验收。</w:t>
      </w:r>
    </w:p>
    <w:p>
      <w:pPr>
        <w:pStyle w:val="27"/>
        <w:spacing w:beforeLines="50" w:afterLines="50" w:line="420" w:lineRule="exact"/>
        <w:rPr>
          <w:sz w:val="21"/>
          <w:szCs w:val="21"/>
        </w:rPr>
      </w:pPr>
      <w:bookmarkStart w:id="2615" w:name="_Toc282778986"/>
      <w:bookmarkStart w:id="2616" w:name="_Toc287853335"/>
      <w:bookmarkStart w:id="2617" w:name="_Toc152042410"/>
      <w:bookmarkStart w:id="2618" w:name="_Toc13886"/>
      <w:bookmarkStart w:id="2619" w:name="_Toc23503"/>
      <w:bookmarkStart w:id="2620" w:name="_Toc25928"/>
      <w:bookmarkStart w:id="2621" w:name="_Toc29570"/>
      <w:bookmarkStart w:id="2622" w:name="_Toc282779495"/>
      <w:bookmarkStart w:id="2623" w:name="_Toc179632650"/>
      <w:bookmarkStart w:id="2624" w:name="_Toc21975"/>
      <w:bookmarkStart w:id="2625" w:name="_Toc61"/>
      <w:bookmarkStart w:id="2626" w:name="_Toc288546635"/>
      <w:bookmarkStart w:id="2627" w:name="_Toc13998"/>
      <w:bookmarkStart w:id="2628" w:name="_Toc27986"/>
      <w:bookmarkStart w:id="2629" w:name="_Toc288491511"/>
      <w:bookmarkStart w:id="2630" w:name="_Toc283794183"/>
      <w:bookmarkStart w:id="2631" w:name="_Toc282787432"/>
      <w:bookmarkStart w:id="2632" w:name="_Toc152045632"/>
      <w:bookmarkStart w:id="2633" w:name="_Toc11216"/>
      <w:bookmarkStart w:id="2634" w:name="_Toc29129"/>
      <w:bookmarkStart w:id="2635" w:name="_Toc456"/>
      <w:bookmarkStart w:id="2636" w:name="_Toc144974600"/>
      <w:bookmarkStart w:id="2637" w:name="_Toc237923811"/>
      <w:r>
        <w:rPr>
          <w:rFonts w:hint="eastAsia"/>
          <w:b/>
          <w:sz w:val="21"/>
          <w:szCs w:val="21"/>
        </w:rPr>
        <w:t>2.8</w:t>
      </w:r>
      <w:r>
        <w:rPr>
          <w:rFonts w:hint="eastAsia"/>
          <w:sz w:val="21"/>
          <w:szCs w:val="21"/>
        </w:rPr>
        <w:t xml:space="preserve">  其它义务</w:t>
      </w:r>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p>
    <w:p>
      <w:pPr>
        <w:spacing w:line="420" w:lineRule="exact"/>
        <w:ind w:firstLine="420" w:firstLineChars="200"/>
        <w:rPr>
          <w:szCs w:val="21"/>
        </w:rPr>
      </w:pPr>
      <w:r>
        <w:rPr>
          <w:rFonts w:hint="eastAsia"/>
          <w:szCs w:val="21"/>
        </w:rPr>
        <w:t>发包人应履行合同约定的其它义务。</w:t>
      </w:r>
    </w:p>
    <w:p>
      <w:pPr>
        <w:pStyle w:val="28"/>
        <w:spacing w:beforeLines="50" w:afterLines="50" w:line="420" w:lineRule="exact"/>
        <w:rPr>
          <w:szCs w:val="28"/>
        </w:rPr>
      </w:pPr>
      <w:bookmarkStart w:id="2638" w:name="_Toc152045633"/>
      <w:bookmarkStart w:id="2639" w:name="_Toc283794184"/>
      <w:bookmarkStart w:id="2640" w:name="_Toc282787433"/>
      <w:bookmarkStart w:id="2641" w:name="_Toc8935"/>
      <w:bookmarkStart w:id="2642" w:name="_Toc282779496"/>
      <w:bookmarkStart w:id="2643" w:name="_Toc152042411"/>
      <w:bookmarkStart w:id="2644" w:name="_Toc288491512"/>
      <w:bookmarkStart w:id="2645" w:name="_Toc237923812"/>
      <w:bookmarkStart w:id="2646" w:name="_Toc144974601"/>
      <w:bookmarkStart w:id="2647" w:name="_Toc9268"/>
      <w:bookmarkStart w:id="2648" w:name="_Toc30101"/>
      <w:bookmarkStart w:id="2649" w:name="_Toc24431"/>
      <w:bookmarkStart w:id="2650" w:name="_Toc179632651"/>
      <w:bookmarkStart w:id="2651" w:name="_Toc16058"/>
      <w:bookmarkStart w:id="2652" w:name="_Toc16389"/>
      <w:bookmarkStart w:id="2653" w:name="_Toc14723"/>
      <w:bookmarkStart w:id="2654" w:name="_Toc282778987"/>
      <w:bookmarkStart w:id="2655" w:name="_Toc9005"/>
      <w:bookmarkStart w:id="2656" w:name="_Toc29184"/>
      <w:bookmarkStart w:id="2657" w:name="_Toc20675"/>
      <w:bookmarkStart w:id="2658" w:name="_Toc288546636"/>
      <w:bookmarkStart w:id="2659" w:name="_Toc154"/>
      <w:bookmarkStart w:id="2660" w:name="_Toc287853336"/>
      <w:r>
        <w:rPr>
          <w:rFonts w:hint="eastAsia"/>
          <w:szCs w:val="28"/>
        </w:rPr>
        <w:t>3．监理人</w:t>
      </w:r>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p>
    <w:p>
      <w:pPr>
        <w:pStyle w:val="27"/>
        <w:spacing w:beforeLines="50" w:afterLines="50" w:line="420" w:lineRule="exact"/>
        <w:rPr>
          <w:sz w:val="21"/>
          <w:szCs w:val="21"/>
        </w:rPr>
      </w:pPr>
      <w:bookmarkStart w:id="2661" w:name="_Toc26636"/>
      <w:bookmarkStart w:id="2662" w:name="_Toc237923813"/>
      <w:bookmarkStart w:id="2663" w:name="_Toc283794185"/>
      <w:bookmarkStart w:id="2664" w:name="_Toc10377"/>
      <w:bookmarkStart w:id="2665" w:name="_Toc288491513"/>
      <w:bookmarkStart w:id="2666" w:name="_Toc282778988"/>
      <w:bookmarkStart w:id="2667" w:name="_Toc288546637"/>
      <w:bookmarkStart w:id="2668" w:name="_Toc144974602"/>
      <w:bookmarkStart w:id="2669" w:name="_Toc3275"/>
      <w:bookmarkStart w:id="2670" w:name="_Toc6611"/>
      <w:bookmarkStart w:id="2671" w:name="_Toc20356"/>
      <w:bookmarkStart w:id="2672" w:name="_Toc152042412"/>
      <w:bookmarkStart w:id="2673" w:name="_Toc11722"/>
      <w:bookmarkStart w:id="2674" w:name="_Toc3364"/>
      <w:bookmarkStart w:id="2675" w:name="_Toc287853337"/>
      <w:bookmarkStart w:id="2676" w:name="_Toc179632652"/>
      <w:bookmarkStart w:id="2677" w:name="_Toc282787434"/>
      <w:bookmarkStart w:id="2678" w:name="_Toc14474"/>
      <w:bookmarkStart w:id="2679" w:name="_Toc152045634"/>
      <w:bookmarkStart w:id="2680" w:name="_Toc23886"/>
      <w:bookmarkStart w:id="2681" w:name="_Toc28146"/>
      <w:bookmarkStart w:id="2682" w:name="_Toc282779497"/>
      <w:bookmarkStart w:id="2683" w:name="_Toc1151"/>
      <w:r>
        <w:rPr>
          <w:rFonts w:hint="eastAsia"/>
          <w:b/>
          <w:sz w:val="21"/>
          <w:szCs w:val="21"/>
        </w:rPr>
        <w:t>3.1</w:t>
      </w:r>
      <w:r>
        <w:rPr>
          <w:rFonts w:hint="eastAsia"/>
          <w:sz w:val="21"/>
          <w:szCs w:val="21"/>
        </w:rPr>
        <w:t xml:space="preserve">  监理人的职责和权力</w:t>
      </w:r>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p>
    <w:p>
      <w:pPr>
        <w:spacing w:line="420" w:lineRule="exact"/>
        <w:ind w:firstLine="420" w:firstLineChars="200"/>
        <w:rPr>
          <w:szCs w:val="21"/>
        </w:rPr>
      </w:pPr>
      <w:r>
        <w:rPr>
          <w:rFonts w:hint="eastAsia"/>
          <w:szCs w:val="21"/>
        </w:rPr>
        <w:t>3.1.1  监理人受发包人委托，享有合同约定的权力。监理人在行使某项权力前需要经发包人事先批准而通用合同条款没有指明的，应在专用合同条款中指明。</w:t>
      </w:r>
    </w:p>
    <w:p>
      <w:pPr>
        <w:spacing w:line="420" w:lineRule="exact"/>
        <w:ind w:firstLine="420" w:firstLineChars="200"/>
        <w:rPr>
          <w:szCs w:val="21"/>
        </w:rPr>
      </w:pPr>
      <w:r>
        <w:rPr>
          <w:rFonts w:hint="eastAsia"/>
          <w:szCs w:val="21"/>
        </w:rPr>
        <w:t>监理人在行使下列权力前需要经发包人事先批准：</w:t>
      </w:r>
    </w:p>
    <w:p>
      <w:pPr>
        <w:spacing w:line="420" w:lineRule="exact"/>
        <w:ind w:firstLine="420" w:firstLineChars="200"/>
        <w:rPr>
          <w:szCs w:val="21"/>
        </w:rPr>
      </w:pPr>
      <w:r>
        <w:rPr>
          <w:rFonts w:hint="eastAsia"/>
          <w:szCs w:val="21"/>
        </w:rPr>
        <w:t>（1）根据第</w:t>
      </w:r>
      <w:r>
        <w:rPr>
          <w:szCs w:val="21"/>
        </w:rPr>
        <w:t>4.</w:t>
      </w:r>
      <w:r>
        <w:rPr>
          <w:rFonts w:hint="eastAsia"/>
          <w:szCs w:val="21"/>
        </w:rPr>
        <w:t>3款，同意分包本工程的某非主体部和非关键性工作；</w:t>
      </w:r>
    </w:p>
    <w:p>
      <w:pPr>
        <w:spacing w:line="420" w:lineRule="exact"/>
        <w:ind w:firstLine="420" w:firstLineChars="200"/>
        <w:rPr>
          <w:szCs w:val="21"/>
        </w:rPr>
      </w:pPr>
      <w:r>
        <w:rPr>
          <w:rFonts w:hint="eastAsia"/>
          <w:szCs w:val="21"/>
        </w:rPr>
        <w:t>（2）确定第4.11款下产生的费用增加额；</w:t>
      </w:r>
    </w:p>
    <w:p>
      <w:pPr>
        <w:spacing w:line="420" w:lineRule="exact"/>
        <w:ind w:firstLine="420" w:firstLineChars="200"/>
        <w:rPr>
          <w:szCs w:val="21"/>
        </w:rPr>
      </w:pPr>
      <w:r>
        <w:rPr>
          <w:rFonts w:hint="eastAsia"/>
          <w:szCs w:val="21"/>
        </w:rPr>
        <w:t>（3）根据第11.1款、第12.3款、第12.4款发布开工通知、暂停施工指示或复工通知；</w:t>
      </w:r>
    </w:p>
    <w:p>
      <w:pPr>
        <w:spacing w:line="420" w:lineRule="exact"/>
        <w:ind w:firstLine="420" w:firstLineChars="200"/>
        <w:rPr>
          <w:szCs w:val="21"/>
        </w:rPr>
      </w:pPr>
      <w:r>
        <w:rPr>
          <w:rFonts w:hint="eastAsia"/>
          <w:szCs w:val="21"/>
        </w:rPr>
        <w:t>（4）决定第11.3款、第11.4款下的工期延期；</w:t>
      </w:r>
    </w:p>
    <w:p>
      <w:pPr>
        <w:spacing w:line="420" w:lineRule="exact"/>
        <w:ind w:firstLine="420" w:firstLineChars="200"/>
        <w:rPr>
          <w:szCs w:val="21"/>
        </w:rPr>
      </w:pPr>
      <w:r>
        <w:rPr>
          <w:rFonts w:hint="eastAsia"/>
          <w:szCs w:val="21"/>
        </w:rPr>
        <w:t>（5）根据第15.3款发出的变更指令，其单项工程变更涉及的金额超过了该单项工程原合同价的5%或累计变更超过了原总合同价的3%；如在《监理服务合同》中另有规定者，从其规定，并就此通知承包人；</w:t>
      </w:r>
    </w:p>
    <w:p>
      <w:pPr>
        <w:spacing w:line="420" w:lineRule="exact"/>
        <w:ind w:firstLine="420" w:firstLineChars="200"/>
        <w:rPr>
          <w:szCs w:val="21"/>
        </w:rPr>
      </w:pPr>
      <w:r>
        <w:rPr>
          <w:rFonts w:hint="eastAsia"/>
          <w:szCs w:val="21"/>
        </w:rPr>
        <w:t>（6）根据第15.4款下变更工作的单价；</w:t>
      </w:r>
    </w:p>
    <w:p>
      <w:pPr>
        <w:spacing w:line="420" w:lineRule="exact"/>
        <w:ind w:firstLine="420" w:firstLineChars="200"/>
        <w:rPr>
          <w:szCs w:val="21"/>
        </w:rPr>
      </w:pPr>
      <w:r>
        <w:rPr>
          <w:rFonts w:hint="eastAsia"/>
          <w:szCs w:val="21"/>
        </w:rPr>
        <w:t>（7）按照第15.6款决定有关暂列金额的使用；</w:t>
      </w:r>
    </w:p>
    <w:p>
      <w:pPr>
        <w:spacing w:line="420" w:lineRule="exact"/>
        <w:ind w:firstLine="420" w:firstLineChars="200"/>
        <w:rPr>
          <w:szCs w:val="21"/>
        </w:rPr>
      </w:pPr>
      <w:r>
        <w:rPr>
          <w:rFonts w:hint="eastAsia"/>
          <w:szCs w:val="21"/>
        </w:rPr>
        <w:t>（8）确定第23.1款项下的索赔额；</w:t>
      </w:r>
    </w:p>
    <w:p>
      <w:pPr>
        <w:spacing w:line="420" w:lineRule="exact"/>
        <w:ind w:firstLine="420" w:firstLineChars="200"/>
        <w:rPr>
          <w:szCs w:val="21"/>
        </w:rPr>
      </w:pPr>
      <w:r>
        <w:rPr>
          <w:rFonts w:hint="eastAsia"/>
          <w:szCs w:val="21"/>
        </w:rPr>
        <w:t>如果发生紧急情况，监理人认为将造成人员伤亡，或危及本工程或邻近的财产需立即采取行动，监理人有权在未征得发包人的批准情况下发布处理紧急情况所必需的指令，承包人应予执行，由此造成的费用增加由监理人按第3.5款商定或确定。</w:t>
      </w:r>
    </w:p>
    <w:p>
      <w:pPr>
        <w:spacing w:line="420" w:lineRule="exact"/>
        <w:ind w:firstLine="420" w:firstLineChars="200"/>
        <w:rPr>
          <w:szCs w:val="21"/>
        </w:rPr>
      </w:pPr>
      <w:r>
        <w:rPr>
          <w:rFonts w:hint="eastAsia"/>
          <w:szCs w:val="21"/>
        </w:rPr>
        <w:t>3.1.2  监理人发出的任何指示应视为已得到发包人的批准，但监理人无权免除或变更合同约定的发包人和承包人的权利、义务和责任。</w:t>
      </w:r>
    </w:p>
    <w:p>
      <w:pPr>
        <w:spacing w:line="420" w:lineRule="exact"/>
        <w:ind w:firstLine="420" w:firstLineChars="200"/>
        <w:rPr>
          <w:szCs w:val="21"/>
        </w:rPr>
      </w:pPr>
      <w:r>
        <w:rPr>
          <w:rFonts w:hint="eastAsia"/>
          <w:szCs w:val="21"/>
        </w:rPr>
        <w:t>3.1.3  合同约定应由承包人承担的义务和责任，不因监理人对承包人提交文件的审查或批准，对工程、材料和设备的检查和检验，以及为实施监理作出的指示等职务行为而减轻或解除。</w:t>
      </w:r>
    </w:p>
    <w:p>
      <w:pPr>
        <w:pStyle w:val="27"/>
        <w:spacing w:beforeLines="50" w:afterLines="50" w:line="420" w:lineRule="exact"/>
        <w:rPr>
          <w:sz w:val="21"/>
          <w:szCs w:val="21"/>
        </w:rPr>
      </w:pPr>
      <w:bookmarkStart w:id="2684" w:name="_Toc288546638"/>
      <w:bookmarkStart w:id="2685" w:name="_Toc152042413"/>
      <w:bookmarkStart w:id="2686" w:name="_Toc5871"/>
      <w:bookmarkStart w:id="2687" w:name="_Toc288491514"/>
      <w:bookmarkStart w:id="2688" w:name="_Toc179632653"/>
      <w:bookmarkStart w:id="2689" w:name="_Toc27897"/>
      <w:bookmarkStart w:id="2690" w:name="_Toc282787435"/>
      <w:bookmarkStart w:id="2691" w:name="_Toc6741"/>
      <w:bookmarkStart w:id="2692" w:name="_Toc28650"/>
      <w:bookmarkStart w:id="2693" w:name="_Toc287853338"/>
      <w:bookmarkStart w:id="2694" w:name="_Toc237923814"/>
      <w:bookmarkStart w:id="2695" w:name="_Toc282779498"/>
      <w:bookmarkStart w:id="2696" w:name="_Toc23340"/>
      <w:bookmarkStart w:id="2697" w:name="_Toc9231"/>
      <w:bookmarkStart w:id="2698" w:name="_Toc10771"/>
      <w:bookmarkStart w:id="2699" w:name="_Toc13452"/>
      <w:bookmarkStart w:id="2700" w:name="_Toc144974603"/>
      <w:bookmarkStart w:id="2701" w:name="_Toc32213"/>
      <w:bookmarkStart w:id="2702" w:name="_Toc26628"/>
      <w:bookmarkStart w:id="2703" w:name="_Toc283794186"/>
      <w:bookmarkStart w:id="2704" w:name="_Toc282778989"/>
      <w:bookmarkStart w:id="2705" w:name="_Toc152045635"/>
      <w:bookmarkStart w:id="2706" w:name="_Toc12814"/>
      <w:r>
        <w:rPr>
          <w:rFonts w:hint="eastAsia"/>
          <w:b/>
          <w:sz w:val="21"/>
          <w:szCs w:val="21"/>
        </w:rPr>
        <w:t>3.2</w:t>
      </w:r>
      <w:r>
        <w:rPr>
          <w:rFonts w:hint="eastAsia"/>
          <w:sz w:val="21"/>
          <w:szCs w:val="21"/>
        </w:rPr>
        <w:t xml:space="preserve">  总监理工程师</w:t>
      </w:r>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p>
    <w:p>
      <w:pPr>
        <w:spacing w:line="420" w:lineRule="exact"/>
        <w:ind w:firstLine="420" w:firstLineChars="200"/>
        <w:rPr>
          <w:szCs w:val="21"/>
        </w:rPr>
      </w:pPr>
      <w:r>
        <w:rPr>
          <w:rFonts w:hint="eastAsia"/>
          <w:szCs w:val="21"/>
        </w:rPr>
        <w:t>发包人应在发出开工通知前将总监理工程师的任命通知承包人。总监理工程师更换时，应在调离14天前通知承包人。总监理工程师短期离开施工场地的，应委派代表代行其职责，并通知承包人。</w:t>
      </w:r>
    </w:p>
    <w:p>
      <w:pPr>
        <w:pStyle w:val="27"/>
        <w:spacing w:beforeLines="50" w:afterLines="50" w:line="420" w:lineRule="exact"/>
        <w:rPr>
          <w:sz w:val="21"/>
          <w:szCs w:val="21"/>
        </w:rPr>
      </w:pPr>
      <w:bookmarkStart w:id="2707" w:name="_Toc287853339"/>
      <w:bookmarkStart w:id="2708" w:name="_Toc282778990"/>
      <w:bookmarkStart w:id="2709" w:name="_Toc288546639"/>
      <w:bookmarkStart w:id="2710" w:name="_Toc1938"/>
      <w:bookmarkStart w:id="2711" w:name="_Toc25792"/>
      <w:bookmarkStart w:id="2712" w:name="_Toc28712"/>
      <w:bookmarkStart w:id="2713" w:name="_Toc237923815"/>
      <w:bookmarkStart w:id="2714" w:name="_Toc179632654"/>
      <w:bookmarkStart w:id="2715" w:name="_Toc282779499"/>
      <w:bookmarkStart w:id="2716" w:name="_Toc29831"/>
      <w:bookmarkStart w:id="2717" w:name="_Toc18417"/>
      <w:bookmarkStart w:id="2718" w:name="_Toc282787436"/>
      <w:bookmarkStart w:id="2719" w:name="_Toc31489"/>
      <w:bookmarkStart w:id="2720" w:name="_Toc288491515"/>
      <w:bookmarkStart w:id="2721" w:name="_Toc152042414"/>
      <w:bookmarkStart w:id="2722" w:name="_Toc15211"/>
      <w:bookmarkStart w:id="2723" w:name="_Toc2094"/>
      <w:bookmarkStart w:id="2724" w:name="_Toc31946"/>
      <w:bookmarkStart w:id="2725" w:name="_Toc8891"/>
      <w:bookmarkStart w:id="2726" w:name="_Toc283794187"/>
      <w:bookmarkStart w:id="2727" w:name="_Toc144974604"/>
      <w:bookmarkStart w:id="2728" w:name="_Toc152045636"/>
      <w:bookmarkStart w:id="2729" w:name="_Toc716"/>
      <w:r>
        <w:rPr>
          <w:rFonts w:hint="eastAsia"/>
          <w:b/>
          <w:sz w:val="21"/>
          <w:szCs w:val="21"/>
        </w:rPr>
        <w:t>3.3</w:t>
      </w:r>
      <w:r>
        <w:rPr>
          <w:rFonts w:hint="eastAsia"/>
          <w:sz w:val="21"/>
          <w:szCs w:val="21"/>
        </w:rPr>
        <w:t xml:space="preserve">  监理人员</w:t>
      </w:r>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p>
    <w:p>
      <w:pPr>
        <w:spacing w:line="420" w:lineRule="exact"/>
        <w:ind w:firstLine="420" w:firstLineChars="200"/>
        <w:rPr>
          <w:szCs w:val="21"/>
        </w:rPr>
      </w:pPr>
      <w:r>
        <w:rPr>
          <w:rFonts w:hint="eastAsia"/>
          <w:szCs w:val="21"/>
        </w:rPr>
        <w:t>3.3.1  总监理工程师可以授权其他监理人员负责执行其指派的一项或多项监理工作。总监理工程师应将被授权监理人员的姓名及其授权范围通知承包人。被授权的监理人员在授权范围内发出的指示视为已得到总监理工程师的同意，与总监理工程师发出的指示具有同等效力。总监理工程师撤销某项授权时，应将撤销授权的决定及时通知承包人。</w:t>
      </w:r>
    </w:p>
    <w:p>
      <w:pPr>
        <w:spacing w:line="420" w:lineRule="exact"/>
        <w:ind w:firstLine="420" w:firstLineChars="200"/>
        <w:rPr>
          <w:szCs w:val="21"/>
        </w:rPr>
      </w:pPr>
      <w:r>
        <w:rPr>
          <w:rFonts w:hint="eastAsia"/>
          <w:szCs w:val="21"/>
        </w:rPr>
        <w:t>3.3.2  监理人员对承包人的任何工作、工程或其采用的材料和工程设备未在约定的或合理的期限内提出否定意见的，视为已获批准，但不影响监理人在以后拒绝该项工作、工程、材料或工程设备的权利。</w:t>
      </w:r>
    </w:p>
    <w:p>
      <w:pPr>
        <w:spacing w:line="420" w:lineRule="exact"/>
        <w:ind w:firstLine="420" w:firstLineChars="200"/>
        <w:rPr>
          <w:szCs w:val="21"/>
        </w:rPr>
      </w:pPr>
      <w:r>
        <w:rPr>
          <w:rFonts w:hint="eastAsia"/>
          <w:szCs w:val="21"/>
        </w:rPr>
        <w:t>3.3.3  承包人对总监理工程师授权的监理人员发出的指示有疑问的，可向总监理工程师提出书面异议，总监理工程师应在48小时内对该指示予以确认、更改或撤销。</w:t>
      </w:r>
    </w:p>
    <w:p>
      <w:pPr>
        <w:spacing w:line="420" w:lineRule="exact"/>
        <w:ind w:firstLine="420" w:firstLineChars="200"/>
        <w:rPr>
          <w:szCs w:val="21"/>
        </w:rPr>
      </w:pPr>
      <w:r>
        <w:rPr>
          <w:rFonts w:hint="eastAsia"/>
          <w:szCs w:val="21"/>
        </w:rPr>
        <w:t>3.3.4  除专用合同条款另有约定外，总监理工程师不应将第3.5款约定应由总监理工程师作出确定的权力授权或委托给其他监理人员。</w:t>
      </w:r>
    </w:p>
    <w:p>
      <w:pPr>
        <w:pStyle w:val="27"/>
        <w:spacing w:beforeLines="50" w:afterLines="50" w:line="420" w:lineRule="exact"/>
        <w:rPr>
          <w:sz w:val="21"/>
          <w:szCs w:val="21"/>
        </w:rPr>
      </w:pPr>
      <w:bookmarkStart w:id="2730" w:name="_Toc27289"/>
      <w:bookmarkStart w:id="2731" w:name="_Toc288491516"/>
      <w:bookmarkStart w:id="2732" w:name="_Toc26287"/>
      <w:bookmarkStart w:id="2733" w:name="_Toc282779500"/>
      <w:bookmarkStart w:id="2734" w:name="_Toc282778991"/>
      <w:bookmarkStart w:id="2735" w:name="_Toc29504"/>
      <w:bookmarkStart w:id="2736" w:name="_Toc323"/>
      <w:bookmarkStart w:id="2737" w:name="_Toc287853340"/>
      <w:bookmarkStart w:id="2738" w:name="_Toc31091"/>
      <w:bookmarkStart w:id="2739" w:name="_Toc7355"/>
      <w:bookmarkStart w:id="2740" w:name="_Toc12318"/>
      <w:bookmarkStart w:id="2741" w:name="_Toc283794188"/>
      <w:bookmarkStart w:id="2742" w:name="_Toc152045637"/>
      <w:bookmarkStart w:id="2743" w:name="_Toc237923816"/>
      <w:bookmarkStart w:id="2744" w:name="_Toc288546640"/>
      <w:bookmarkStart w:id="2745" w:name="_Toc20563"/>
      <w:bookmarkStart w:id="2746" w:name="_Toc18870"/>
      <w:bookmarkStart w:id="2747" w:name="_Toc152042415"/>
      <w:bookmarkStart w:id="2748" w:name="_Toc282787437"/>
      <w:bookmarkStart w:id="2749" w:name="_Toc144974605"/>
      <w:bookmarkStart w:id="2750" w:name="_Toc17687"/>
      <w:bookmarkStart w:id="2751" w:name="_Toc3911"/>
      <w:bookmarkStart w:id="2752" w:name="_Toc179632655"/>
      <w:r>
        <w:rPr>
          <w:rFonts w:hint="eastAsia"/>
          <w:b/>
          <w:sz w:val="21"/>
          <w:szCs w:val="21"/>
        </w:rPr>
        <w:t>3.4</w:t>
      </w:r>
      <w:r>
        <w:rPr>
          <w:rFonts w:hint="eastAsia"/>
          <w:sz w:val="21"/>
          <w:szCs w:val="21"/>
        </w:rPr>
        <w:t xml:space="preserve">  监理人的指示</w:t>
      </w:r>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p>
    <w:p>
      <w:pPr>
        <w:spacing w:line="420" w:lineRule="exact"/>
        <w:ind w:firstLine="420" w:firstLineChars="200"/>
        <w:rPr>
          <w:szCs w:val="21"/>
        </w:rPr>
      </w:pPr>
      <w:r>
        <w:rPr>
          <w:rFonts w:hint="eastAsia"/>
          <w:szCs w:val="21"/>
        </w:rPr>
        <w:t>3.4.1  监理人应按第3.1款的约定向承包人发出指示，监理人的指示应盖有监理人授权的施工场地机构章，并由总监理工程师或总监理工程师按第3.3.1项约定授权的监理人员签字。</w:t>
      </w:r>
    </w:p>
    <w:p>
      <w:pPr>
        <w:spacing w:line="420" w:lineRule="exact"/>
        <w:ind w:firstLine="420" w:firstLineChars="200"/>
        <w:rPr>
          <w:szCs w:val="21"/>
        </w:rPr>
      </w:pPr>
      <w:r>
        <w:rPr>
          <w:rFonts w:hint="eastAsia"/>
          <w:szCs w:val="21"/>
        </w:rPr>
        <w:t>3.4.2  承包人收到监理人按第3.4.1项作出的指示后应遵照执行。指示构成变更的，应按第15条处理。</w:t>
      </w:r>
    </w:p>
    <w:p>
      <w:pPr>
        <w:spacing w:line="420" w:lineRule="exact"/>
        <w:ind w:firstLine="420" w:firstLineChars="200"/>
        <w:rPr>
          <w:szCs w:val="21"/>
        </w:rPr>
      </w:pPr>
      <w:r>
        <w:rPr>
          <w:rFonts w:hint="eastAsia"/>
          <w:szCs w:val="21"/>
        </w:rPr>
        <w:t>3.4.3  在紧急情况下，总监理工程师或被授权的监理人员可以当场签发临时书面指示，承包人应遵照执行。承包人应在收到上述临时书面指示后24小时内，向监理人发出书面确认函。监理人在收到书面确认函后24小时内未予答复的，该书面确认函应被视为监理人的正式指示。</w:t>
      </w:r>
    </w:p>
    <w:p>
      <w:pPr>
        <w:spacing w:line="420" w:lineRule="exact"/>
        <w:ind w:firstLine="420" w:firstLineChars="200"/>
        <w:rPr>
          <w:szCs w:val="21"/>
        </w:rPr>
      </w:pPr>
      <w:r>
        <w:rPr>
          <w:rFonts w:hint="eastAsia"/>
          <w:szCs w:val="21"/>
        </w:rPr>
        <w:t>3.4.4  除合同另有约定外，承包人只从总监理工程师或按第3.3.1项被授权的监理人员处取得指示。</w:t>
      </w:r>
    </w:p>
    <w:p>
      <w:pPr>
        <w:spacing w:line="420" w:lineRule="exact"/>
        <w:ind w:firstLine="420" w:firstLineChars="200"/>
        <w:rPr>
          <w:szCs w:val="21"/>
        </w:rPr>
      </w:pPr>
      <w:r>
        <w:rPr>
          <w:rFonts w:hint="eastAsia"/>
          <w:szCs w:val="21"/>
        </w:rPr>
        <w:t xml:space="preserve">3.4.5  由于监理人未能按合同约定发出指示、指示延误或指示错误而导致承包人费用增加和（或）工期延误的，由发包人承担赔偿责任。 </w:t>
      </w:r>
    </w:p>
    <w:p>
      <w:pPr>
        <w:pStyle w:val="27"/>
        <w:spacing w:beforeLines="50" w:afterLines="50" w:line="420" w:lineRule="exact"/>
        <w:rPr>
          <w:sz w:val="21"/>
          <w:szCs w:val="21"/>
        </w:rPr>
      </w:pPr>
      <w:bookmarkStart w:id="2753" w:name="_Toc152045638"/>
      <w:bookmarkStart w:id="2754" w:name="_Toc3917"/>
      <w:bookmarkStart w:id="2755" w:name="_Toc6251"/>
      <w:bookmarkStart w:id="2756" w:name="_Toc2402"/>
      <w:bookmarkStart w:id="2757" w:name="_Toc179632656"/>
      <w:bookmarkStart w:id="2758" w:name="_Toc23613"/>
      <w:bookmarkStart w:id="2759" w:name="_Toc288546641"/>
      <w:bookmarkStart w:id="2760" w:name="_Toc23721"/>
      <w:bookmarkStart w:id="2761" w:name="_Toc282778992"/>
      <w:bookmarkStart w:id="2762" w:name="_Toc292"/>
      <w:bookmarkStart w:id="2763" w:name="_Toc152042416"/>
      <w:bookmarkStart w:id="2764" w:name="_Toc144974606"/>
      <w:bookmarkStart w:id="2765" w:name="_Toc287853341"/>
      <w:bookmarkStart w:id="2766" w:name="_Toc9967"/>
      <w:bookmarkStart w:id="2767" w:name="_Toc20870"/>
      <w:bookmarkStart w:id="2768" w:name="_Toc19537"/>
      <w:bookmarkStart w:id="2769" w:name="_Toc282787438"/>
      <w:bookmarkStart w:id="2770" w:name="_Toc283794189"/>
      <w:bookmarkStart w:id="2771" w:name="_Toc2714"/>
      <w:bookmarkStart w:id="2772" w:name="_Toc288491517"/>
      <w:bookmarkStart w:id="2773" w:name="_Toc282779501"/>
      <w:bookmarkStart w:id="2774" w:name="_Toc16898"/>
      <w:bookmarkStart w:id="2775" w:name="_Toc237923817"/>
      <w:r>
        <w:rPr>
          <w:rFonts w:hint="eastAsia"/>
          <w:b/>
          <w:sz w:val="21"/>
          <w:szCs w:val="21"/>
        </w:rPr>
        <w:t>3.5</w:t>
      </w:r>
      <w:r>
        <w:rPr>
          <w:rFonts w:hint="eastAsia"/>
          <w:sz w:val="21"/>
          <w:szCs w:val="21"/>
        </w:rPr>
        <w:t xml:space="preserve">  商定或确定</w:t>
      </w:r>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p>
    <w:p>
      <w:pPr>
        <w:spacing w:line="420" w:lineRule="exact"/>
        <w:ind w:firstLine="420" w:firstLineChars="200"/>
        <w:rPr>
          <w:szCs w:val="21"/>
        </w:rPr>
      </w:pPr>
      <w:r>
        <w:rPr>
          <w:rFonts w:hint="eastAsia"/>
          <w:szCs w:val="21"/>
        </w:rPr>
        <w:t>3.5.1  合同约定总监理工程师应按照本款对任何事项进行商定或确定时，总监理工程师应与合同当事人协商，尽量达成一致。不能达成一致的，总监理工程师应认真研究后审慎确定。</w:t>
      </w:r>
    </w:p>
    <w:p>
      <w:pPr>
        <w:spacing w:line="420" w:lineRule="exact"/>
        <w:ind w:firstLine="420" w:firstLineChars="200"/>
        <w:rPr>
          <w:szCs w:val="21"/>
        </w:rPr>
      </w:pPr>
      <w:r>
        <w:rPr>
          <w:rFonts w:hint="eastAsia"/>
          <w:szCs w:val="21"/>
        </w:rPr>
        <w:t>如果这项商定或确定导致费用增加和（或）工期延长，或者涉及确定变更工程的价格，则总监理工程师在发出通知前，应征得发包人的同意。</w:t>
      </w:r>
    </w:p>
    <w:p>
      <w:pPr>
        <w:spacing w:line="420" w:lineRule="exact"/>
        <w:ind w:firstLine="420" w:firstLineChars="200"/>
        <w:rPr>
          <w:szCs w:val="21"/>
        </w:rPr>
      </w:pPr>
      <w:r>
        <w:rPr>
          <w:rFonts w:hint="eastAsia"/>
          <w:szCs w:val="21"/>
        </w:rPr>
        <w:t>3.5.2  总监理工程师应将商定或确定的事项通知合同当事人，并附详细依据。对总监理工程师的确定有异议的，构成争议，按照第24条的约定处理。在争议解决前，双方应暂按总监理工程师的确定执行，按照第24条的约定对总监理工程师的确定作出修改的，按修改后的结果执行。</w:t>
      </w:r>
    </w:p>
    <w:p>
      <w:pPr>
        <w:pStyle w:val="28"/>
        <w:spacing w:beforeLines="50" w:afterLines="50" w:line="420" w:lineRule="exact"/>
        <w:rPr>
          <w:szCs w:val="28"/>
        </w:rPr>
      </w:pPr>
      <w:bookmarkStart w:id="2776" w:name="_Toc282779502"/>
      <w:bookmarkStart w:id="2777" w:name="_Toc26563"/>
      <w:bookmarkStart w:id="2778" w:name="_Toc287853342"/>
      <w:bookmarkStart w:id="2779" w:name="_Toc3698"/>
      <w:bookmarkStart w:id="2780" w:name="_Toc288546642"/>
      <w:bookmarkStart w:id="2781" w:name="_Toc31893"/>
      <w:bookmarkStart w:id="2782" w:name="_Toc282778993"/>
      <w:bookmarkStart w:id="2783" w:name="_Toc3369"/>
      <w:bookmarkStart w:id="2784" w:name="_Toc23963"/>
      <w:bookmarkStart w:id="2785" w:name="_Toc10661"/>
      <w:bookmarkStart w:id="2786" w:name="_Toc283794190"/>
      <w:bookmarkStart w:id="2787" w:name="_Toc13222"/>
      <w:bookmarkStart w:id="2788" w:name="_Toc282787439"/>
      <w:bookmarkStart w:id="2789" w:name="_Toc17561"/>
      <w:bookmarkStart w:id="2790" w:name="_Toc152045639"/>
      <w:bookmarkStart w:id="2791" w:name="_Toc288491518"/>
      <w:bookmarkStart w:id="2792" w:name="_Toc152042417"/>
      <w:bookmarkStart w:id="2793" w:name="_Toc237923818"/>
      <w:bookmarkStart w:id="2794" w:name="_Toc179632657"/>
      <w:bookmarkStart w:id="2795" w:name="_Toc28964"/>
      <w:bookmarkStart w:id="2796" w:name="_Toc14447"/>
      <w:bookmarkStart w:id="2797" w:name="_Toc17102"/>
      <w:bookmarkStart w:id="2798" w:name="_Toc144974607"/>
      <w:r>
        <w:rPr>
          <w:rFonts w:hint="eastAsia"/>
          <w:szCs w:val="28"/>
        </w:rPr>
        <w:t>4．承包人</w:t>
      </w:r>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p>
    <w:p>
      <w:pPr>
        <w:pStyle w:val="27"/>
        <w:spacing w:beforeLines="50" w:afterLines="50" w:line="420" w:lineRule="exact"/>
        <w:rPr>
          <w:sz w:val="21"/>
          <w:szCs w:val="21"/>
        </w:rPr>
      </w:pPr>
      <w:bookmarkStart w:id="2799" w:name="_Toc7658"/>
      <w:bookmarkStart w:id="2800" w:name="_Toc282778994"/>
      <w:bookmarkStart w:id="2801" w:name="_Toc282787440"/>
      <w:bookmarkStart w:id="2802" w:name="_Toc12156"/>
      <w:bookmarkStart w:id="2803" w:name="_Toc282779503"/>
      <w:bookmarkStart w:id="2804" w:name="_Toc144974608"/>
      <w:bookmarkStart w:id="2805" w:name="_Toc13437"/>
      <w:bookmarkStart w:id="2806" w:name="_Toc152045640"/>
      <w:bookmarkStart w:id="2807" w:name="_Toc283794191"/>
      <w:bookmarkStart w:id="2808" w:name="_Toc11717"/>
      <w:bookmarkStart w:id="2809" w:name="_Toc18389"/>
      <w:bookmarkStart w:id="2810" w:name="_Toc288546643"/>
      <w:bookmarkStart w:id="2811" w:name="_Toc9038"/>
      <w:bookmarkStart w:id="2812" w:name="_Toc288491519"/>
      <w:bookmarkStart w:id="2813" w:name="_Toc16264"/>
      <w:bookmarkStart w:id="2814" w:name="_Toc287853343"/>
      <w:bookmarkStart w:id="2815" w:name="_Toc5036"/>
      <w:bookmarkStart w:id="2816" w:name="_Toc28577"/>
      <w:bookmarkStart w:id="2817" w:name="_Toc2773"/>
      <w:bookmarkStart w:id="2818" w:name="_Toc152042418"/>
      <w:bookmarkStart w:id="2819" w:name="_Toc27674"/>
      <w:bookmarkStart w:id="2820" w:name="_Toc237923819"/>
      <w:bookmarkStart w:id="2821" w:name="_Toc179632658"/>
      <w:r>
        <w:rPr>
          <w:rFonts w:hint="eastAsia"/>
          <w:b/>
          <w:sz w:val="21"/>
          <w:szCs w:val="21"/>
        </w:rPr>
        <w:t>4.1</w:t>
      </w:r>
      <w:r>
        <w:rPr>
          <w:rFonts w:hint="eastAsia"/>
          <w:sz w:val="21"/>
          <w:szCs w:val="21"/>
        </w:rPr>
        <w:t xml:space="preserve">  承包人的一般义务</w:t>
      </w:r>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p>
    <w:p>
      <w:pPr>
        <w:spacing w:line="420" w:lineRule="exact"/>
        <w:ind w:firstLine="420" w:firstLineChars="200"/>
        <w:rPr>
          <w:rFonts w:ascii="宋体" w:hAnsi="宋体"/>
          <w:szCs w:val="21"/>
        </w:rPr>
      </w:pPr>
      <w:r>
        <w:rPr>
          <w:rFonts w:hint="eastAsia"/>
          <w:szCs w:val="21"/>
        </w:rPr>
        <w:t xml:space="preserve">4.1.1  </w:t>
      </w:r>
      <w:r>
        <w:rPr>
          <w:rFonts w:hint="eastAsia" w:ascii="宋体" w:hAnsi="宋体"/>
          <w:szCs w:val="21"/>
        </w:rPr>
        <w:t>遵守法律</w:t>
      </w:r>
    </w:p>
    <w:p>
      <w:pPr>
        <w:spacing w:line="420" w:lineRule="exact"/>
        <w:ind w:firstLine="420" w:firstLineChars="200"/>
        <w:rPr>
          <w:szCs w:val="21"/>
        </w:rPr>
      </w:pPr>
      <w:r>
        <w:rPr>
          <w:rFonts w:hint="eastAsia"/>
          <w:szCs w:val="21"/>
        </w:rPr>
        <w:t>承包人在履行合同过程中应遵守法律，并保证发包人免于承担因承包人违反法律而引起的任何责任。</w:t>
      </w:r>
    </w:p>
    <w:p>
      <w:pPr>
        <w:spacing w:line="420" w:lineRule="exact"/>
        <w:ind w:firstLine="420" w:firstLineChars="200"/>
        <w:rPr>
          <w:rFonts w:ascii="宋体" w:hAnsi="宋体"/>
          <w:szCs w:val="21"/>
        </w:rPr>
      </w:pPr>
      <w:r>
        <w:rPr>
          <w:rFonts w:hint="eastAsia"/>
          <w:szCs w:val="21"/>
        </w:rPr>
        <w:t xml:space="preserve">4.1.2  </w:t>
      </w:r>
      <w:r>
        <w:rPr>
          <w:rFonts w:hint="eastAsia" w:ascii="宋体" w:hAnsi="宋体"/>
          <w:szCs w:val="21"/>
        </w:rPr>
        <w:t>依法纳税</w:t>
      </w:r>
    </w:p>
    <w:p>
      <w:pPr>
        <w:spacing w:line="420" w:lineRule="exact"/>
        <w:ind w:firstLine="420" w:firstLineChars="200"/>
        <w:rPr>
          <w:szCs w:val="21"/>
        </w:rPr>
      </w:pPr>
      <w:r>
        <w:rPr>
          <w:rFonts w:hint="eastAsia"/>
          <w:szCs w:val="21"/>
        </w:rPr>
        <w:t>承包人应按有关法律规定纳税，应缴纳的税金包括在合同价格内。</w:t>
      </w:r>
    </w:p>
    <w:p>
      <w:pPr>
        <w:spacing w:line="420" w:lineRule="exact"/>
        <w:ind w:firstLine="420" w:firstLineChars="200"/>
        <w:rPr>
          <w:rFonts w:ascii="宋体" w:hAnsi="宋体"/>
          <w:szCs w:val="21"/>
        </w:rPr>
      </w:pPr>
      <w:r>
        <w:rPr>
          <w:rFonts w:hint="eastAsia"/>
          <w:szCs w:val="21"/>
        </w:rPr>
        <w:t xml:space="preserve">4.1.3  </w:t>
      </w:r>
      <w:r>
        <w:rPr>
          <w:rFonts w:hint="eastAsia" w:ascii="宋体" w:hAnsi="宋体"/>
          <w:szCs w:val="21"/>
        </w:rPr>
        <w:t>完成各项承包工作</w:t>
      </w:r>
    </w:p>
    <w:p>
      <w:pPr>
        <w:spacing w:line="420" w:lineRule="exact"/>
        <w:ind w:firstLine="420" w:firstLineChars="200"/>
        <w:rPr>
          <w:szCs w:val="21"/>
        </w:rPr>
      </w:pPr>
      <w:r>
        <w:rPr>
          <w:rFonts w:hint="eastAsia"/>
          <w:szCs w:val="21"/>
        </w:rPr>
        <w:t>承包人应按合同约定以及监理人根据第3.4款作出的指示，实施、完成全部工程，并修补工程中的任何缺陷。除专用合同条款另有约定外，承包人应提供为完成合同工作所需的劳务、材料、施工设备、工程设备和其它物品，并按合同约定负责临时设施的设计、建造、运行、维护、管理和拆除。</w:t>
      </w:r>
    </w:p>
    <w:p>
      <w:pPr>
        <w:spacing w:line="420" w:lineRule="exact"/>
        <w:ind w:firstLine="420" w:firstLineChars="200"/>
        <w:rPr>
          <w:szCs w:val="21"/>
        </w:rPr>
      </w:pPr>
      <w:r>
        <w:rPr>
          <w:rFonts w:hint="eastAsia"/>
          <w:szCs w:val="21"/>
        </w:rPr>
        <w:t>承包人应负责做好合同规定的大中修养护工程作业方案，精心组织养护，加强养护质量控制，完成本合同公路大中修工程。为此，承包人应提供所需的全部监督管理、劳务、材料、设备、养护装备和其它物品。承包人应加强养护工程的质量控制，合同期内的公路养护质量指数MQI及其分项指标PQI、SCI、BCI、TCI等及次差路率指标R</w:t>
      </w:r>
      <w:r>
        <w:rPr>
          <w:szCs w:val="21"/>
        </w:rPr>
        <w:t>o</w:t>
      </w:r>
      <w:r>
        <w:rPr>
          <w:rFonts w:hint="eastAsia"/>
          <w:szCs w:val="21"/>
        </w:rPr>
        <w:t>P应符合技术规范第106节的规定要求，达到该要求是工程款支付的前提条件。</w:t>
      </w:r>
    </w:p>
    <w:p>
      <w:pPr>
        <w:spacing w:line="420" w:lineRule="exact"/>
        <w:ind w:firstLine="420" w:firstLineChars="200"/>
        <w:rPr>
          <w:szCs w:val="21"/>
        </w:rPr>
      </w:pPr>
      <w:r>
        <w:rPr>
          <w:rFonts w:hint="eastAsia"/>
          <w:szCs w:val="21"/>
        </w:rPr>
        <w:t xml:space="preserve">4.1.4  </w:t>
      </w:r>
      <w:r>
        <w:rPr>
          <w:rFonts w:hint="eastAsia" w:ascii="宋体" w:hAnsi="宋体"/>
          <w:szCs w:val="21"/>
        </w:rPr>
        <w:t>对施工作业和施工方法的完备性负责</w:t>
      </w:r>
    </w:p>
    <w:p>
      <w:pPr>
        <w:spacing w:line="420" w:lineRule="exact"/>
        <w:ind w:firstLine="420" w:firstLineChars="200"/>
        <w:rPr>
          <w:szCs w:val="21"/>
        </w:rPr>
      </w:pPr>
      <w:r>
        <w:rPr>
          <w:rFonts w:hint="eastAsia"/>
          <w:szCs w:val="21"/>
        </w:rPr>
        <w:t>承包人应按合同约定的工作内容和施工进度要求，编制养护工程作业方案和施工措施计划，并对所有施工作业和施工方法的完备性和安全可靠性负责。</w:t>
      </w:r>
    </w:p>
    <w:p>
      <w:pPr>
        <w:spacing w:line="420" w:lineRule="exact"/>
        <w:ind w:firstLine="420" w:firstLineChars="200"/>
        <w:rPr>
          <w:szCs w:val="21"/>
        </w:rPr>
      </w:pPr>
      <w:r>
        <w:rPr>
          <w:rFonts w:hint="eastAsia"/>
          <w:szCs w:val="21"/>
        </w:rPr>
        <w:t>承包人应对全部现场作业和施工方法的适用性、可靠性和安全性承担全部责任。承包人应根据发包人提供的原有公路技术状况，进行认真的核查，协助和配合发包人进行各项检查，发现病害及时查明原因，为消除病害，提交经补充修改后的养护作业方案。</w:t>
      </w:r>
    </w:p>
    <w:p>
      <w:pPr>
        <w:spacing w:line="420" w:lineRule="exact"/>
        <w:ind w:firstLine="420" w:firstLineChars="200"/>
        <w:rPr>
          <w:rFonts w:ascii="宋体" w:hAnsi="宋体"/>
          <w:szCs w:val="21"/>
        </w:rPr>
      </w:pPr>
      <w:r>
        <w:rPr>
          <w:rFonts w:hint="eastAsia"/>
          <w:szCs w:val="21"/>
        </w:rPr>
        <w:t xml:space="preserve">4.1.5  </w:t>
      </w:r>
      <w:r>
        <w:rPr>
          <w:rFonts w:hint="eastAsia" w:ascii="宋体" w:hAnsi="宋体"/>
          <w:szCs w:val="21"/>
        </w:rPr>
        <w:t>保证养护工程施工和人员的安全</w:t>
      </w:r>
    </w:p>
    <w:p>
      <w:pPr>
        <w:spacing w:line="420" w:lineRule="exact"/>
        <w:ind w:firstLine="420" w:firstLineChars="200"/>
        <w:rPr>
          <w:szCs w:val="21"/>
        </w:rPr>
      </w:pPr>
      <w:r>
        <w:rPr>
          <w:rFonts w:hint="eastAsia"/>
          <w:szCs w:val="21"/>
        </w:rPr>
        <w:t>承包人应按第9.2款约定采取施工安全措施，确保工程及其人员、材料、设备和设施的安全，防止因工程施工造成的人身伤害和财产损失。</w:t>
      </w:r>
    </w:p>
    <w:p>
      <w:pPr>
        <w:spacing w:line="420" w:lineRule="exact"/>
        <w:ind w:firstLine="420" w:firstLineChars="200"/>
        <w:rPr>
          <w:rFonts w:ascii="宋体" w:hAnsi="宋体"/>
          <w:szCs w:val="21"/>
        </w:rPr>
      </w:pPr>
      <w:r>
        <w:rPr>
          <w:rFonts w:hint="eastAsia" w:hAnsi="宋体"/>
          <w:szCs w:val="21"/>
        </w:rPr>
        <w:t>在实施和完成养护工程的整个过程中，承包人应该充分关注和保障所有在现场工作的人员安全，采取有效措施，使养护作业现场</w:t>
      </w:r>
      <w:r>
        <w:rPr>
          <w:rFonts w:hint="eastAsia" w:ascii="宋体" w:hAnsi="宋体"/>
          <w:szCs w:val="21"/>
        </w:rPr>
        <w:t>和本合同养护工程的实施保持有条不紊，以免人员的安全受到威胁：</w:t>
      </w:r>
    </w:p>
    <w:p>
      <w:pPr>
        <w:spacing w:line="420" w:lineRule="exact"/>
        <w:ind w:firstLine="420" w:firstLineChars="200"/>
        <w:rPr>
          <w:rFonts w:hAnsi="宋体"/>
          <w:szCs w:val="21"/>
        </w:rPr>
      </w:pPr>
      <w:r>
        <w:rPr>
          <w:rFonts w:hint="eastAsia" w:hAnsi="宋体"/>
          <w:szCs w:val="21"/>
        </w:rPr>
        <w:t>（1）按施工人员的</w:t>
      </w:r>
      <w:r>
        <w:rPr>
          <w:rFonts w:hAnsi="宋体"/>
          <w:szCs w:val="21"/>
        </w:rPr>
        <w:t>2</w:t>
      </w:r>
      <w:r>
        <w:rPr>
          <w:rFonts w:hint="eastAsia" w:hAnsi="宋体"/>
          <w:szCs w:val="21"/>
        </w:rPr>
        <w:t>～4</w:t>
      </w:r>
      <w:r>
        <w:rPr>
          <w:rFonts w:hAnsi="宋体"/>
          <w:szCs w:val="21"/>
        </w:rPr>
        <w:t>%</w:t>
      </w:r>
      <w:r>
        <w:rPr>
          <w:rFonts w:hint="eastAsia" w:hAnsi="宋体"/>
          <w:szCs w:val="21"/>
        </w:rPr>
        <w:t>配备专职安全员并有一名安全生产负责人，且不少于</w:t>
      </w:r>
      <w:r>
        <w:rPr>
          <w:rFonts w:hAnsi="宋体"/>
          <w:szCs w:val="21"/>
        </w:rPr>
        <w:t>1</w:t>
      </w:r>
      <w:r>
        <w:rPr>
          <w:rFonts w:hint="eastAsia" w:hAnsi="宋体"/>
          <w:szCs w:val="21"/>
        </w:rPr>
        <w:t>人，同时每个施工作业点必须有安全员；</w:t>
      </w:r>
    </w:p>
    <w:p>
      <w:pPr>
        <w:spacing w:line="420" w:lineRule="exact"/>
        <w:ind w:firstLine="420" w:firstLineChars="200"/>
        <w:rPr>
          <w:szCs w:val="21"/>
        </w:rPr>
      </w:pPr>
      <w:r>
        <w:rPr>
          <w:rFonts w:hint="eastAsia" w:ascii="ˎ̥" w:hAnsi="ˎ̥"/>
          <w:szCs w:val="21"/>
        </w:rPr>
        <w:t>（2）承包人</w:t>
      </w:r>
      <w:r>
        <w:rPr>
          <w:rFonts w:ascii="ˎ̥" w:hAnsi="ˎ̥"/>
          <w:szCs w:val="21"/>
        </w:rPr>
        <w:t>的垂直运输机械作业人员、施工船舶作业人员、爆破作业人员、安装拆卸工、起重信号工、电工、焊工等国家规定的特种作业人员，必须按照国家规定经过专门的安全作业培训，并取得特种作业操作资格证书后，方可上岗作业。</w:t>
      </w:r>
    </w:p>
    <w:p>
      <w:pPr>
        <w:spacing w:line="420" w:lineRule="exact"/>
        <w:ind w:firstLine="420" w:firstLineChars="200"/>
        <w:rPr>
          <w:szCs w:val="21"/>
        </w:rPr>
      </w:pPr>
      <w:r>
        <w:rPr>
          <w:rFonts w:hint="eastAsia" w:ascii="ˎ̥" w:hAnsi="ˎ̥"/>
          <w:szCs w:val="21"/>
        </w:rPr>
        <w:t>（3）承包人</w:t>
      </w:r>
      <w:r>
        <w:rPr>
          <w:rFonts w:ascii="ˎ̥" w:hAnsi="ˎ̥"/>
          <w:szCs w:val="21"/>
        </w:rPr>
        <w:t>应当在施工现场建立消防安全责任制度，</w:t>
      </w:r>
      <w:r>
        <w:rPr>
          <w:rFonts w:hint="eastAsia" w:hAnsi="宋体"/>
          <w:szCs w:val="21"/>
        </w:rPr>
        <w:t>对于易燃易爆的材料除应专门妥善保管之外，还应</w:t>
      </w:r>
      <w:r>
        <w:rPr>
          <w:rFonts w:ascii="ˎ̥" w:hAnsi="ˎ̥"/>
          <w:szCs w:val="21"/>
        </w:rPr>
        <w:t>确定消防安全责任人，制定用火、用电、使用易燃易爆材料等各项消防管理制度和操作规程，设置消防通道，配备相应的消防设施和灭火器材</w:t>
      </w:r>
      <w:r>
        <w:rPr>
          <w:rFonts w:hint="eastAsia" w:ascii="ˎ̥" w:hAnsi="ˎ̥"/>
          <w:szCs w:val="21"/>
        </w:rPr>
        <w:t>，</w:t>
      </w:r>
      <w:r>
        <w:rPr>
          <w:rFonts w:hint="eastAsia" w:hAnsi="宋体"/>
          <w:szCs w:val="21"/>
        </w:rPr>
        <w:t>所有施工人员都应熟悉消防设备的性能和使用方法</w:t>
      </w:r>
      <w:r>
        <w:rPr>
          <w:rFonts w:ascii="ˎ̥" w:hAnsi="ˎ̥"/>
          <w:szCs w:val="21"/>
        </w:rPr>
        <w:t>。</w:t>
      </w:r>
    </w:p>
    <w:p>
      <w:pPr>
        <w:spacing w:line="420" w:lineRule="exact"/>
        <w:ind w:firstLine="420" w:firstLineChars="200"/>
        <w:rPr>
          <w:szCs w:val="21"/>
        </w:rPr>
      </w:pPr>
      <w:r>
        <w:rPr>
          <w:rFonts w:hint="eastAsia" w:hAnsi="宋体"/>
          <w:szCs w:val="21"/>
        </w:rPr>
        <w:t>（4）所有施工机具设备和高空作业的设备均应定期检查，并有安全生产负责人的签字记录；</w:t>
      </w:r>
    </w:p>
    <w:p>
      <w:pPr>
        <w:spacing w:line="420" w:lineRule="exact"/>
        <w:ind w:firstLine="420" w:firstLineChars="200"/>
        <w:rPr>
          <w:szCs w:val="21"/>
        </w:rPr>
      </w:pPr>
      <w:r>
        <w:rPr>
          <w:rFonts w:hint="eastAsia" w:hAnsi="宋体"/>
          <w:szCs w:val="21"/>
        </w:rPr>
        <w:t>（5）根据大中修养护工程的性质和施工特点，严格执行《公路工程施工安全技术规程》（JTJ 076-95）和《公路养护作业安全规程》（JTG H30-2004）的具体规定；</w:t>
      </w:r>
    </w:p>
    <w:p>
      <w:pPr>
        <w:spacing w:line="420" w:lineRule="exact"/>
        <w:ind w:firstLine="420" w:firstLineChars="200"/>
        <w:rPr>
          <w:rFonts w:ascii="宋体" w:hAnsi="宋体"/>
          <w:szCs w:val="21"/>
        </w:rPr>
      </w:pPr>
      <w:r>
        <w:rPr>
          <w:rFonts w:hint="eastAsia"/>
          <w:szCs w:val="21"/>
        </w:rPr>
        <w:t xml:space="preserve">4.1.6 </w:t>
      </w:r>
      <w:r>
        <w:rPr>
          <w:rFonts w:hint="eastAsia" w:ascii="宋体" w:hAnsi="宋体"/>
          <w:szCs w:val="21"/>
        </w:rPr>
        <w:t xml:space="preserve"> 负责施工场地及其周边环境与生态的保护工作</w:t>
      </w:r>
    </w:p>
    <w:p>
      <w:pPr>
        <w:spacing w:line="420" w:lineRule="exact"/>
        <w:ind w:firstLine="420" w:firstLineChars="200"/>
        <w:rPr>
          <w:szCs w:val="21"/>
        </w:rPr>
      </w:pPr>
      <w:r>
        <w:rPr>
          <w:rFonts w:hint="eastAsia"/>
          <w:szCs w:val="21"/>
        </w:rPr>
        <w:t>承包人应按照第9.4款约定负责施工场地及其周边环境与生态的保护工作。</w:t>
      </w:r>
    </w:p>
    <w:p>
      <w:pPr>
        <w:spacing w:line="420" w:lineRule="exact"/>
        <w:ind w:firstLine="420" w:firstLineChars="200"/>
        <w:rPr>
          <w:szCs w:val="21"/>
        </w:rPr>
      </w:pPr>
      <w:r>
        <w:rPr>
          <w:rFonts w:hint="eastAsia"/>
          <w:szCs w:val="21"/>
        </w:rPr>
        <w:t xml:space="preserve">4.1.7  </w:t>
      </w:r>
      <w:r>
        <w:rPr>
          <w:rFonts w:hint="eastAsia" w:ascii="宋体" w:hAnsi="宋体"/>
          <w:szCs w:val="21"/>
        </w:rPr>
        <w:t>避免施工对公众与他人的利益造成损害</w:t>
      </w:r>
    </w:p>
    <w:p>
      <w:pPr>
        <w:spacing w:line="420" w:lineRule="exact"/>
        <w:ind w:firstLine="420" w:firstLineChars="200"/>
        <w:rPr>
          <w:szCs w:val="21"/>
        </w:rPr>
      </w:pPr>
      <w:r>
        <w:rPr>
          <w:rFonts w:hint="eastAsia"/>
          <w:szCs w:val="21"/>
        </w:rPr>
        <w:t>承包人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pPr>
        <w:spacing w:line="420" w:lineRule="exact"/>
        <w:ind w:firstLine="420" w:firstLineChars="200"/>
        <w:rPr>
          <w:szCs w:val="21"/>
        </w:rPr>
      </w:pPr>
      <w:r>
        <w:rPr>
          <w:rFonts w:hint="eastAsia"/>
          <w:szCs w:val="21"/>
        </w:rPr>
        <w:t>承包人在养护过程中必须采取一切措施，确保车辆正常运行，做到养护作业、车辆通行两不误。</w:t>
      </w:r>
    </w:p>
    <w:p>
      <w:pPr>
        <w:spacing w:line="420" w:lineRule="exact"/>
        <w:ind w:firstLine="420" w:firstLineChars="200"/>
        <w:rPr>
          <w:szCs w:val="21"/>
        </w:rPr>
      </w:pPr>
      <w:r>
        <w:rPr>
          <w:rFonts w:hint="eastAsia"/>
          <w:szCs w:val="21"/>
        </w:rPr>
        <w:t>实施养护作业路段应配备交通标志等设施，指定专人维持车辆通行秩序。如因承包人措施不力，导致阻车或事故频发而造成较大影响，引起索赔、赔偿或养护费用增加时，应由承包人承担一切责任和费用。</w:t>
      </w:r>
    </w:p>
    <w:p>
      <w:pPr>
        <w:spacing w:line="420" w:lineRule="exact"/>
        <w:ind w:firstLine="420" w:firstLineChars="200"/>
        <w:rPr>
          <w:szCs w:val="21"/>
        </w:rPr>
      </w:pPr>
      <w:r>
        <w:rPr>
          <w:rFonts w:hint="eastAsia"/>
          <w:szCs w:val="21"/>
        </w:rPr>
        <w:t xml:space="preserve">4.1.8 </w:t>
      </w:r>
      <w:r>
        <w:rPr>
          <w:rFonts w:hint="eastAsia" w:ascii="宋体" w:hAnsi="宋体"/>
          <w:szCs w:val="21"/>
        </w:rPr>
        <w:t xml:space="preserve"> 为他人提供方便</w:t>
      </w:r>
    </w:p>
    <w:p>
      <w:pPr>
        <w:spacing w:line="420" w:lineRule="exact"/>
        <w:ind w:firstLine="420" w:firstLineChars="200"/>
        <w:rPr>
          <w:szCs w:val="21"/>
        </w:rPr>
      </w:pPr>
      <w:r>
        <w:rPr>
          <w:rFonts w:hint="eastAsia"/>
          <w:szCs w:val="21"/>
        </w:rPr>
        <w:t>承包人应按监理人的指示为他人在施工场地或附近实施与工程有关的其它各项工作提供可能的条件。除合同另有约定外，提供有关条件的内容和可能发生的费用，由监理人按第3.5款商定或确定。</w:t>
      </w:r>
    </w:p>
    <w:p>
      <w:pPr>
        <w:spacing w:line="420" w:lineRule="exact"/>
        <w:ind w:firstLine="420" w:firstLineChars="200"/>
        <w:rPr>
          <w:rFonts w:hAnsi="宋体"/>
          <w:szCs w:val="21"/>
        </w:rPr>
      </w:pPr>
      <w:r>
        <w:rPr>
          <w:rFonts w:hint="eastAsia" w:hAnsi="宋体"/>
          <w:szCs w:val="21"/>
        </w:rPr>
        <w:t>为保护实施的养护工程免遭损坏，或为了现场附近和过往群众的方便与安全，在确有必要的时候和地方，或当监理人或有关主管部门要求时，应自费提供照明、警卫、护栏、警告标志等安全防护设施；</w:t>
      </w:r>
    </w:p>
    <w:p>
      <w:pPr>
        <w:spacing w:line="420" w:lineRule="exact"/>
        <w:ind w:firstLine="420" w:firstLineChars="200"/>
        <w:rPr>
          <w:rFonts w:ascii="宋体" w:hAnsi="宋体"/>
          <w:szCs w:val="21"/>
        </w:rPr>
      </w:pPr>
      <w:r>
        <w:rPr>
          <w:rFonts w:hint="eastAsia"/>
          <w:szCs w:val="21"/>
        </w:rPr>
        <w:t xml:space="preserve">4.1.9  </w:t>
      </w:r>
      <w:r>
        <w:rPr>
          <w:rFonts w:hint="eastAsia" w:ascii="宋体" w:hAnsi="宋体"/>
          <w:szCs w:val="21"/>
        </w:rPr>
        <w:t>工程的维护和照管</w:t>
      </w:r>
    </w:p>
    <w:p>
      <w:pPr>
        <w:spacing w:line="420" w:lineRule="exact"/>
        <w:ind w:firstLine="420" w:firstLineChars="200"/>
        <w:rPr>
          <w:szCs w:val="21"/>
        </w:rPr>
      </w:pPr>
      <w:r>
        <w:rPr>
          <w:rFonts w:hint="eastAsia"/>
          <w:szCs w:val="21"/>
        </w:rPr>
        <w:t>工程接收证书颁发前，承包人应负责照管和维护工程。工程接收证书颁发时尚有部分未竣工工程的，承包人还应负责该未竣工工程的照管和维护工作，直至竣工后移交给发包人为止。</w:t>
      </w:r>
    </w:p>
    <w:p>
      <w:pPr>
        <w:spacing w:line="420" w:lineRule="exact"/>
        <w:ind w:firstLine="420" w:firstLineChars="200"/>
        <w:rPr>
          <w:rFonts w:ascii="宋体" w:hAnsi="宋体"/>
          <w:szCs w:val="21"/>
        </w:rPr>
      </w:pPr>
      <w:r>
        <w:rPr>
          <w:rFonts w:hint="eastAsia"/>
          <w:szCs w:val="21"/>
        </w:rPr>
        <w:t xml:space="preserve">4.1.10  </w:t>
      </w:r>
      <w:r>
        <w:rPr>
          <w:rFonts w:hint="eastAsia" w:ascii="宋体" w:hAnsi="宋体"/>
          <w:szCs w:val="21"/>
        </w:rPr>
        <w:t>其它义务</w:t>
      </w:r>
    </w:p>
    <w:p>
      <w:pPr>
        <w:spacing w:line="420" w:lineRule="exact"/>
        <w:ind w:firstLine="420" w:firstLineChars="200"/>
        <w:rPr>
          <w:szCs w:val="21"/>
        </w:rPr>
      </w:pPr>
      <w:r>
        <w:rPr>
          <w:rFonts w:hint="eastAsia"/>
          <w:szCs w:val="21"/>
        </w:rPr>
        <w:t>承包人应履行合同约定的其它义务。</w:t>
      </w:r>
    </w:p>
    <w:p>
      <w:pPr>
        <w:spacing w:line="420" w:lineRule="exact"/>
        <w:ind w:firstLine="420" w:firstLineChars="200"/>
        <w:rPr>
          <w:szCs w:val="21"/>
        </w:rPr>
      </w:pPr>
      <w:r>
        <w:rPr>
          <w:rFonts w:hint="eastAsia"/>
          <w:szCs w:val="21"/>
        </w:rPr>
        <w:t>（1）除项目专用合同条款另有约定外，承包人应承担并支付为获得本合同工程所需的石料、砂、砾石、黏土或其它当地材料等所发生的料场使用费及其它开支或补偿费。</w:t>
      </w:r>
    </w:p>
    <w:p>
      <w:pPr>
        <w:spacing w:line="420" w:lineRule="exact"/>
        <w:ind w:firstLine="420" w:firstLineChars="200"/>
        <w:rPr>
          <w:szCs w:val="21"/>
        </w:rPr>
      </w:pPr>
      <w:r>
        <w:rPr>
          <w:rFonts w:hint="eastAsia"/>
          <w:szCs w:val="21"/>
        </w:rPr>
        <w:t>（2）承包人应严格遵守国家有关解决拖欠工程款和民工工资的法律、法规，及时支付工程中的材料、设备货款及民工工资等费用。</w:t>
      </w:r>
    </w:p>
    <w:p>
      <w:pPr>
        <w:spacing w:line="420" w:lineRule="exact"/>
        <w:ind w:firstLine="420" w:firstLineChars="200"/>
        <w:rPr>
          <w:szCs w:val="21"/>
        </w:rPr>
      </w:pPr>
      <w:r>
        <w:rPr>
          <w:rFonts w:hint="eastAsia"/>
          <w:szCs w:val="21"/>
        </w:rPr>
        <w:t>承包人应在本养护工程中严格执行浙江省劳动和社会保障厅、浙江省交通厅、中国人民银行杭州中心支行关于《浙江省交通建设领域农民工工资支付管理暂行办法》（</w:t>
      </w:r>
      <w:r>
        <w:rPr>
          <w:rFonts w:hAnsi="宋体"/>
          <w:szCs w:val="21"/>
        </w:rPr>
        <w:t>浙劳社监</w:t>
      </w:r>
      <w:r>
        <w:rPr>
          <w:szCs w:val="21"/>
        </w:rPr>
        <w:t>[2007]90</w:t>
      </w:r>
      <w:r>
        <w:rPr>
          <w:rFonts w:hAnsi="宋体"/>
          <w:szCs w:val="21"/>
        </w:rPr>
        <w:t>号</w:t>
      </w:r>
      <w:r>
        <w:rPr>
          <w:rFonts w:hint="eastAsia"/>
          <w:szCs w:val="21"/>
        </w:rPr>
        <w:t>），严格按照《劳动法》、《浙江省企业工资支付管理办法》和《最低工资规定》等有关规定支付农民工工资，不得拖欠或克扣，并接受项目所在地交通行政部门对执行情况的监督检查。</w:t>
      </w:r>
    </w:p>
    <w:p>
      <w:pPr>
        <w:spacing w:line="420" w:lineRule="exact"/>
        <w:ind w:firstLine="420" w:firstLineChars="200"/>
        <w:rPr>
          <w:szCs w:val="21"/>
        </w:rPr>
      </w:pPr>
      <w:r>
        <w:rPr>
          <w:rFonts w:hint="eastAsia"/>
          <w:szCs w:val="21"/>
        </w:rPr>
        <w:t>承包人的项目经理部是民工工资支付行为的主体，承包人的项目经理是民工工资支付的责任人。项目经理部要建立全体民工花名册和工资支付表，确保将工资直接发给民工本人，或委托银行发放民工工资，严禁发放给“包工头”或其它不具备用工主体资格的组织和个人。</w:t>
      </w:r>
    </w:p>
    <w:p>
      <w:pPr>
        <w:spacing w:line="420" w:lineRule="exact"/>
        <w:ind w:firstLine="420" w:firstLineChars="200"/>
        <w:rPr>
          <w:szCs w:val="21"/>
        </w:rPr>
      </w:pPr>
      <w:r>
        <w:rPr>
          <w:rFonts w:hint="eastAsia"/>
          <w:szCs w:val="21"/>
        </w:rPr>
        <w:t>工资支付表应如实记录支付单位、支付时间、支付对象、支付数额、支付对象的身份证号和签字等信息。民工花名册和工资支付表应报监理人备查。</w:t>
      </w:r>
    </w:p>
    <w:p>
      <w:pPr>
        <w:spacing w:line="420" w:lineRule="exact"/>
        <w:ind w:firstLine="420" w:firstLineChars="200"/>
        <w:rPr>
          <w:szCs w:val="21"/>
        </w:rPr>
      </w:pPr>
      <w:r>
        <w:rPr>
          <w:rFonts w:hint="eastAsia"/>
          <w:szCs w:val="21"/>
        </w:rPr>
        <w:t>（3）承包人在递交投标文件的同时，应按招标文件第8篇投标书附表5的格式填写一份《临时占地计划表》（临时用地范围包括承包人驻地的办公和生活用地、仓库与料场用地、预制场用地、借土场地及临时堆土场地、工地试验室用地、临时道路用地等）。中标后应在此表范围内按实际需要与先后次序，提出具体计划报监理人同意，并报发包人。租地费用列入工程量清单100章中由承包人报价。临时用地退还前，承包人应自费恢复到临时用地使用前的状况。如因承包人撤离后未按要求对临时用地进行恢复或虽进行了恢复但未达到使用标准的，将由发包人委托第三方进行恢复，所发生的费用将从应付给承包人的任何款项内扣除。超出《临时占地计划表》的临时用地由承包人自行办理并自付费用。</w:t>
      </w:r>
    </w:p>
    <w:p>
      <w:pPr>
        <w:spacing w:line="420" w:lineRule="exact"/>
        <w:ind w:firstLine="420" w:firstLineChars="200"/>
        <w:rPr>
          <w:szCs w:val="21"/>
        </w:rPr>
      </w:pPr>
      <w:r>
        <w:rPr>
          <w:rFonts w:hint="eastAsia"/>
          <w:szCs w:val="21"/>
        </w:rPr>
        <w:t>（4）承包人应履行项目专用合同条款约定的其它义务。</w:t>
      </w:r>
    </w:p>
    <w:p>
      <w:pPr>
        <w:pStyle w:val="27"/>
        <w:spacing w:beforeLines="50" w:afterLines="50" w:line="420" w:lineRule="exact"/>
        <w:rPr>
          <w:sz w:val="21"/>
          <w:szCs w:val="21"/>
        </w:rPr>
      </w:pPr>
      <w:bookmarkStart w:id="2822" w:name="_Toc288491520"/>
      <w:bookmarkStart w:id="2823" w:name="_Toc27139"/>
      <w:bookmarkStart w:id="2824" w:name="_Toc24818"/>
      <w:bookmarkStart w:id="2825" w:name="_Toc152042419"/>
      <w:bookmarkStart w:id="2826" w:name="_Toc144974609"/>
      <w:bookmarkStart w:id="2827" w:name="_Toc22096"/>
      <w:bookmarkStart w:id="2828" w:name="_Toc10245"/>
      <w:bookmarkStart w:id="2829" w:name="_Toc5296"/>
      <w:bookmarkStart w:id="2830" w:name="_Toc283794192"/>
      <w:bookmarkStart w:id="2831" w:name="_Toc287853344"/>
      <w:bookmarkStart w:id="2832" w:name="_Toc179632659"/>
      <w:bookmarkStart w:id="2833" w:name="_Toc20609"/>
      <w:bookmarkStart w:id="2834" w:name="_Toc283"/>
      <w:bookmarkStart w:id="2835" w:name="_Toc282787441"/>
      <w:bookmarkStart w:id="2836" w:name="_Toc152045641"/>
      <w:bookmarkStart w:id="2837" w:name="_Toc282778995"/>
      <w:bookmarkStart w:id="2838" w:name="_Toc288546644"/>
      <w:bookmarkStart w:id="2839" w:name="_Toc10810"/>
      <w:bookmarkStart w:id="2840" w:name="_Toc282779504"/>
      <w:bookmarkStart w:id="2841" w:name="_Toc20156"/>
      <w:bookmarkStart w:id="2842" w:name="_Toc14896"/>
      <w:bookmarkStart w:id="2843" w:name="_Toc18555"/>
      <w:bookmarkStart w:id="2844" w:name="_Toc237923820"/>
      <w:r>
        <w:rPr>
          <w:rFonts w:hint="eastAsia"/>
          <w:b/>
          <w:sz w:val="21"/>
          <w:szCs w:val="21"/>
        </w:rPr>
        <w:t xml:space="preserve">4.2  </w:t>
      </w:r>
      <w:r>
        <w:rPr>
          <w:rFonts w:hint="eastAsia"/>
          <w:sz w:val="21"/>
          <w:szCs w:val="21"/>
        </w:rPr>
        <w:t>履约担保</w:t>
      </w:r>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p>
    <w:p>
      <w:pPr>
        <w:spacing w:line="420" w:lineRule="exact"/>
        <w:ind w:firstLine="420" w:firstLineChars="200"/>
        <w:rPr>
          <w:szCs w:val="21"/>
        </w:rPr>
      </w:pPr>
      <w:r>
        <w:rPr>
          <w:rFonts w:hint="eastAsia"/>
          <w:szCs w:val="21"/>
        </w:rPr>
        <w:t>承包人应保证其履约担保在发包人颁发工程接收证书前一直有效。发包人应在工程接收证书颁发后28天内把履约担保退还给承包人。</w:t>
      </w:r>
    </w:p>
    <w:p>
      <w:pPr>
        <w:pStyle w:val="27"/>
        <w:spacing w:beforeLines="50" w:afterLines="50" w:line="420" w:lineRule="exact"/>
        <w:rPr>
          <w:sz w:val="21"/>
          <w:szCs w:val="21"/>
        </w:rPr>
      </w:pPr>
      <w:bookmarkStart w:id="2845" w:name="_Toc283794193"/>
      <w:bookmarkStart w:id="2846" w:name="_Toc288491521"/>
      <w:bookmarkStart w:id="2847" w:name="_Toc2586"/>
      <w:bookmarkStart w:id="2848" w:name="_Toc152042420"/>
      <w:bookmarkStart w:id="2849" w:name="_Toc237923821"/>
      <w:bookmarkStart w:id="2850" w:name="_Toc282778996"/>
      <w:bookmarkStart w:id="2851" w:name="_Toc287853345"/>
      <w:bookmarkStart w:id="2852" w:name="_Toc179632660"/>
      <w:bookmarkStart w:id="2853" w:name="_Toc2318"/>
      <w:bookmarkStart w:id="2854" w:name="_Toc17559"/>
      <w:bookmarkStart w:id="2855" w:name="_Toc144974610"/>
      <w:bookmarkStart w:id="2856" w:name="_Toc5499"/>
      <w:bookmarkStart w:id="2857" w:name="_Toc25284"/>
      <w:bookmarkStart w:id="2858" w:name="_Toc28661"/>
      <w:bookmarkStart w:id="2859" w:name="_Toc13746"/>
      <w:bookmarkStart w:id="2860" w:name="_Toc10718"/>
      <w:bookmarkStart w:id="2861" w:name="_Toc30886"/>
      <w:bookmarkStart w:id="2862" w:name="_Toc282779505"/>
      <w:bookmarkStart w:id="2863" w:name="_Toc288546645"/>
      <w:bookmarkStart w:id="2864" w:name="_Toc152045642"/>
      <w:bookmarkStart w:id="2865" w:name="_Toc18100"/>
      <w:bookmarkStart w:id="2866" w:name="_Toc282787442"/>
      <w:bookmarkStart w:id="2867" w:name="_Toc14175"/>
      <w:r>
        <w:rPr>
          <w:rFonts w:hint="eastAsia"/>
          <w:b/>
          <w:sz w:val="21"/>
          <w:szCs w:val="21"/>
        </w:rPr>
        <w:t>4.3</w:t>
      </w:r>
      <w:r>
        <w:rPr>
          <w:rFonts w:hint="eastAsia"/>
          <w:sz w:val="21"/>
          <w:szCs w:val="21"/>
        </w:rPr>
        <w:t xml:space="preserve">  分包</w:t>
      </w:r>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p>
    <w:p>
      <w:pPr>
        <w:spacing w:line="420" w:lineRule="exact"/>
        <w:ind w:firstLine="420" w:firstLineChars="200"/>
        <w:rPr>
          <w:szCs w:val="21"/>
        </w:rPr>
      </w:pPr>
      <w:r>
        <w:rPr>
          <w:rFonts w:hint="eastAsia"/>
          <w:szCs w:val="21"/>
        </w:rPr>
        <w:t>4.3.1  承包人不得将其承包的全部工程转包给第三人，或将其承包的全部工程肢解后以分包的名义转包给第三人。</w:t>
      </w:r>
    </w:p>
    <w:p>
      <w:pPr>
        <w:spacing w:line="420" w:lineRule="exact"/>
        <w:ind w:firstLine="420" w:firstLineChars="200"/>
        <w:rPr>
          <w:szCs w:val="21"/>
        </w:rPr>
      </w:pPr>
      <w:r>
        <w:rPr>
          <w:rFonts w:hint="eastAsia"/>
          <w:szCs w:val="21"/>
        </w:rPr>
        <w:t>4.3.2  承包人不得将工程主体、关键性工作分包给第三人。除专用合同条款另有约定外，未经发包人同意，承包人不得将工程的其它部分或工作分包给第三人。经发包人同意，承包人可将工程的其它部分或工作分包给第三人。分包包括专业分包和劳务分包。</w:t>
      </w:r>
    </w:p>
    <w:p>
      <w:pPr>
        <w:spacing w:line="420" w:lineRule="exact"/>
        <w:ind w:firstLine="420" w:firstLineChars="200"/>
        <w:rPr>
          <w:szCs w:val="21"/>
        </w:rPr>
      </w:pPr>
      <w:r>
        <w:rPr>
          <w:rFonts w:hint="eastAsia"/>
          <w:szCs w:val="21"/>
        </w:rPr>
        <w:t>4.3.3  在养护工程施工过程在中，承包人进行专业分包必须遵守以下规定：</w:t>
      </w:r>
    </w:p>
    <w:p>
      <w:pPr>
        <w:spacing w:line="420" w:lineRule="exact"/>
        <w:ind w:firstLine="420" w:firstLineChars="200"/>
        <w:rPr>
          <w:szCs w:val="21"/>
        </w:rPr>
      </w:pPr>
      <w:r>
        <w:rPr>
          <w:rFonts w:hint="eastAsia"/>
          <w:szCs w:val="21"/>
        </w:rPr>
        <w:t>（1）允许专业分包的工程范围仅限于分部工程或分项工程、适合专业化队伍施工的工程，专业分包的工程量累计不得超过总工程量的30%。</w:t>
      </w:r>
    </w:p>
    <w:p>
      <w:pPr>
        <w:spacing w:line="420" w:lineRule="exact"/>
        <w:ind w:firstLine="420" w:firstLineChars="200"/>
        <w:rPr>
          <w:szCs w:val="21"/>
        </w:rPr>
      </w:pPr>
      <w:r>
        <w:rPr>
          <w:rFonts w:hint="eastAsia"/>
          <w:szCs w:val="21"/>
        </w:rPr>
        <w:t>（2）专业分包人的资格能力（含安全生产能力）应与其分包工程的标准和规模相适应，具备相应的专业承包资质。</w:t>
      </w:r>
    </w:p>
    <w:p>
      <w:pPr>
        <w:spacing w:line="420" w:lineRule="exact"/>
        <w:ind w:firstLine="420" w:firstLineChars="200"/>
        <w:rPr>
          <w:szCs w:val="21"/>
        </w:rPr>
      </w:pPr>
      <w:r>
        <w:rPr>
          <w:rFonts w:hint="eastAsia"/>
          <w:szCs w:val="21"/>
        </w:rPr>
        <w:t>（3）专业分包工程不得再次分包。</w:t>
      </w:r>
    </w:p>
    <w:p>
      <w:pPr>
        <w:spacing w:line="420" w:lineRule="exact"/>
        <w:ind w:firstLine="420" w:firstLineChars="200"/>
        <w:rPr>
          <w:szCs w:val="21"/>
        </w:rPr>
      </w:pPr>
      <w:r>
        <w:rPr>
          <w:rFonts w:hint="eastAsia"/>
          <w:szCs w:val="21"/>
        </w:rPr>
        <w:t>（4）承包人和专业分包人应当依法签订专业分包合同，并按照合同履行约定的义务。专业分包合同必须明确约定工程款支付条款、结算方式以及保证按期支付的相应措施，确保工程款的支付。</w:t>
      </w:r>
    </w:p>
    <w:p>
      <w:pPr>
        <w:spacing w:line="420" w:lineRule="exact"/>
        <w:ind w:firstLine="420" w:firstLineChars="200"/>
        <w:rPr>
          <w:szCs w:val="21"/>
        </w:rPr>
      </w:pPr>
      <w:r>
        <w:rPr>
          <w:rFonts w:hint="eastAsia"/>
          <w:szCs w:val="21"/>
        </w:rPr>
        <w:t>（5）承包人对施工现场安全负总责，并对专业分包人的安全生产进行培训和管理。专业分包人应将其专业分包工程的养护工程作业方案和施工安全方案报承包人备案。专业分包人对分包施工现场安全负责，发现事故隐患，应及时处理。</w:t>
      </w:r>
    </w:p>
    <w:p>
      <w:pPr>
        <w:spacing w:line="420" w:lineRule="exact"/>
        <w:ind w:firstLine="420" w:firstLineChars="200"/>
        <w:rPr>
          <w:szCs w:val="21"/>
        </w:rPr>
      </w:pPr>
      <w:r>
        <w:rPr>
          <w:rFonts w:hint="eastAsia"/>
          <w:szCs w:val="21"/>
        </w:rPr>
        <w:t>（6）所有专业分包计划和专业分包合同须报监理人审批，并报发包人核备。监理人审批专业分包并不解除合同规定的承包人的任何责任或义务。</w:t>
      </w:r>
    </w:p>
    <w:p>
      <w:pPr>
        <w:spacing w:line="420" w:lineRule="exact"/>
        <w:ind w:firstLine="420" w:firstLineChars="200"/>
        <w:rPr>
          <w:szCs w:val="21"/>
        </w:rPr>
      </w:pPr>
      <w:r>
        <w:rPr>
          <w:rFonts w:hint="eastAsia"/>
          <w:szCs w:val="21"/>
        </w:rPr>
        <w:t>违反上述规定之一者属违规分包。</w:t>
      </w:r>
    </w:p>
    <w:p>
      <w:pPr>
        <w:spacing w:line="420" w:lineRule="exact"/>
        <w:ind w:firstLine="420" w:firstLineChars="200"/>
        <w:rPr>
          <w:szCs w:val="21"/>
        </w:rPr>
      </w:pPr>
      <w:r>
        <w:rPr>
          <w:rFonts w:hint="eastAsia"/>
          <w:szCs w:val="21"/>
        </w:rPr>
        <w:t>4.3.4  在养护工程施工过程中，承包人进行劳务分包必须遵守以下规定：</w:t>
      </w:r>
    </w:p>
    <w:p>
      <w:pPr>
        <w:spacing w:line="420" w:lineRule="exact"/>
        <w:ind w:firstLine="420" w:firstLineChars="200"/>
        <w:rPr>
          <w:szCs w:val="21"/>
        </w:rPr>
      </w:pPr>
      <w:r>
        <w:rPr>
          <w:rFonts w:hint="eastAsia"/>
          <w:szCs w:val="21"/>
        </w:rPr>
        <w:t>（1）劳务分包人应具有劳务分包资质。</w:t>
      </w:r>
    </w:p>
    <w:p>
      <w:pPr>
        <w:spacing w:line="420" w:lineRule="exact"/>
        <w:ind w:firstLine="420" w:firstLineChars="200"/>
        <w:rPr>
          <w:szCs w:val="21"/>
        </w:rPr>
      </w:pPr>
      <w:r>
        <w:rPr>
          <w:rFonts w:hint="eastAsia"/>
          <w:szCs w:val="21"/>
        </w:rPr>
        <w:t>（2）劳务分包应当依法签订劳务分包合同，劳务分包合同必须由承包人的法定代表人或其委托代理人与劳务分包人直接签订，不得与他人代签。承包人的项目经理部、项目经理、施工班组等不具备用工主体资格，不能与劳务分包人签订劳务分包合同。承包人应向发包人和监理人提交劳务分包合同副本并报项目所在地劳动保障部门备案。</w:t>
      </w:r>
    </w:p>
    <w:p>
      <w:pPr>
        <w:spacing w:line="420" w:lineRule="exact"/>
        <w:ind w:firstLine="420" w:firstLineChars="200"/>
        <w:rPr>
          <w:szCs w:val="21"/>
        </w:rPr>
      </w:pPr>
      <w:r>
        <w:rPr>
          <w:rFonts w:hint="eastAsia"/>
          <w:szCs w:val="21"/>
        </w:rPr>
        <w:t>（3）承包人雇用的劳务作业应加入到承包人的施工班组统一管理。有关施工质量、施工安全、施工进度、环境保护、技术方案、试验检测、材料保管与供应、机械设备等都必须由承包人管理与调配，不得以包代管。</w:t>
      </w:r>
    </w:p>
    <w:p>
      <w:pPr>
        <w:spacing w:line="420" w:lineRule="exact"/>
        <w:ind w:firstLine="420" w:firstLineChars="200"/>
        <w:rPr>
          <w:szCs w:val="21"/>
        </w:rPr>
      </w:pPr>
      <w:r>
        <w:rPr>
          <w:rFonts w:hint="eastAsia"/>
          <w:szCs w:val="21"/>
        </w:rPr>
        <w:t>（4）承包人应当对劳务分包人员进行安全培训和管理，劳务分包人不得将其分包的劳务作业再次分包。</w:t>
      </w:r>
    </w:p>
    <w:p>
      <w:pPr>
        <w:spacing w:line="420" w:lineRule="exact"/>
        <w:ind w:firstLine="420" w:firstLineChars="200"/>
        <w:rPr>
          <w:szCs w:val="21"/>
        </w:rPr>
      </w:pPr>
      <w:r>
        <w:rPr>
          <w:rFonts w:hint="eastAsia"/>
          <w:szCs w:val="21"/>
        </w:rPr>
        <w:t>违反上述规定之一者属违规分包。</w:t>
      </w:r>
    </w:p>
    <w:p>
      <w:pPr>
        <w:spacing w:line="420" w:lineRule="exact"/>
        <w:ind w:firstLine="420" w:firstLineChars="200"/>
        <w:rPr>
          <w:szCs w:val="21"/>
        </w:rPr>
      </w:pPr>
      <w:r>
        <w:rPr>
          <w:rFonts w:hint="eastAsia"/>
          <w:szCs w:val="21"/>
        </w:rPr>
        <w:t>4.3.5  承包人应与分包人就分包工程向发包人承担连带责任。</w:t>
      </w:r>
    </w:p>
    <w:p>
      <w:pPr>
        <w:spacing w:line="420" w:lineRule="exact"/>
        <w:ind w:firstLine="420" w:firstLineChars="200"/>
        <w:rPr>
          <w:szCs w:val="21"/>
        </w:rPr>
      </w:pPr>
      <w:r>
        <w:rPr>
          <w:rFonts w:hint="eastAsia"/>
          <w:szCs w:val="21"/>
        </w:rPr>
        <w:t>4.3.6  发包人对承包人与分包人之间的法律与经济纠纷不承担任何责任和义务。</w:t>
      </w:r>
    </w:p>
    <w:p>
      <w:pPr>
        <w:pStyle w:val="27"/>
        <w:spacing w:beforeLines="50" w:afterLines="50" w:line="420" w:lineRule="exact"/>
        <w:rPr>
          <w:sz w:val="21"/>
          <w:szCs w:val="21"/>
        </w:rPr>
      </w:pPr>
      <w:bookmarkStart w:id="2868" w:name="_Toc288546647"/>
      <w:bookmarkStart w:id="2869" w:name="_Toc26777"/>
      <w:bookmarkStart w:id="2870" w:name="_Toc287853347"/>
      <w:bookmarkStart w:id="2871" w:name="_Toc283794195"/>
      <w:bookmarkStart w:id="2872" w:name="_Toc3002"/>
      <w:bookmarkStart w:id="2873" w:name="_Toc26238"/>
      <w:bookmarkStart w:id="2874" w:name="_Toc23596"/>
      <w:bookmarkStart w:id="2875" w:name="_Toc179632662"/>
      <w:bookmarkStart w:id="2876" w:name="_Toc144974612"/>
      <w:bookmarkStart w:id="2877" w:name="_Toc282779507"/>
      <w:bookmarkStart w:id="2878" w:name="_Toc18819"/>
      <w:bookmarkStart w:id="2879" w:name="_Toc237923823"/>
      <w:bookmarkStart w:id="2880" w:name="_Toc282778998"/>
      <w:bookmarkStart w:id="2881" w:name="_Toc152042422"/>
      <w:bookmarkStart w:id="2882" w:name="_Toc20736"/>
      <w:bookmarkStart w:id="2883" w:name="_Toc282787444"/>
      <w:bookmarkStart w:id="2884" w:name="_Toc152045644"/>
      <w:bookmarkStart w:id="2885" w:name="_Toc288491523"/>
      <w:bookmarkStart w:id="2886" w:name="_Toc6589"/>
      <w:bookmarkStart w:id="2887" w:name="_Toc28019"/>
      <w:bookmarkStart w:id="2888" w:name="_Toc22112"/>
      <w:bookmarkStart w:id="2889" w:name="_Toc18598"/>
      <w:bookmarkStart w:id="2890" w:name="_Toc5251"/>
      <w:r>
        <w:rPr>
          <w:rFonts w:hint="eastAsia"/>
          <w:b/>
          <w:sz w:val="21"/>
          <w:szCs w:val="21"/>
        </w:rPr>
        <w:t>4.5</w:t>
      </w:r>
      <w:r>
        <w:rPr>
          <w:rFonts w:hint="eastAsia"/>
          <w:sz w:val="21"/>
          <w:szCs w:val="21"/>
        </w:rPr>
        <w:t xml:space="preserve">  承包人项目经理</w:t>
      </w:r>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p>
    <w:p>
      <w:pPr>
        <w:spacing w:line="420" w:lineRule="exact"/>
        <w:ind w:firstLine="420" w:firstLineChars="200"/>
        <w:rPr>
          <w:szCs w:val="21"/>
        </w:rPr>
      </w:pPr>
      <w:r>
        <w:rPr>
          <w:rFonts w:hint="eastAsia"/>
          <w:szCs w:val="21"/>
        </w:rPr>
        <w:t>4.5.1  承包人应按合同约定指派项目经理，并在约定的期限内到职。承包人更换项目经理应事先征得发包人同意，并应在更换14天前通知发包人和监理人。承包人项目经理短期离开施工场地，应事先征得监理人同意，并委派代表代行其职责。</w:t>
      </w:r>
    </w:p>
    <w:p>
      <w:pPr>
        <w:spacing w:line="420" w:lineRule="exact"/>
        <w:ind w:firstLine="420" w:firstLineChars="200"/>
        <w:rPr>
          <w:szCs w:val="21"/>
        </w:rPr>
      </w:pPr>
      <w:r>
        <w:rPr>
          <w:rFonts w:hint="eastAsia"/>
          <w:szCs w:val="21"/>
        </w:rPr>
        <w:t>4.5.2  承包人项目经理应按合同约定以及监理人按第3.4款作出的指示，负责组织合同工程的实施。在情况紧急且无法与监理人取得联系时，可采取保证工程和人员生命财产安全的紧急措施，并在采取措施后24小时内向监理人提交书面报告。</w:t>
      </w:r>
    </w:p>
    <w:p>
      <w:pPr>
        <w:spacing w:line="420" w:lineRule="exact"/>
        <w:ind w:firstLine="420" w:firstLineChars="200"/>
        <w:rPr>
          <w:szCs w:val="21"/>
        </w:rPr>
      </w:pPr>
      <w:r>
        <w:rPr>
          <w:rFonts w:hint="eastAsia"/>
          <w:szCs w:val="21"/>
        </w:rPr>
        <w:t>4.5.3  承包人为履行合同发出的一切函件均应盖有承包人授权的施工场地管理机构章，并由承包人项目经理或其授权代表签字。</w:t>
      </w:r>
    </w:p>
    <w:p>
      <w:pPr>
        <w:spacing w:line="420" w:lineRule="exact"/>
        <w:ind w:firstLine="420" w:firstLineChars="200"/>
        <w:rPr>
          <w:szCs w:val="21"/>
        </w:rPr>
      </w:pPr>
      <w:r>
        <w:rPr>
          <w:rFonts w:hint="eastAsia"/>
          <w:szCs w:val="21"/>
        </w:rPr>
        <w:t>4.5.4  承包人项目经理可以授权其下属人员履行其某项职责，但事先应将这些人员的姓名和授权范围通知监理人。</w:t>
      </w:r>
    </w:p>
    <w:p>
      <w:pPr>
        <w:pStyle w:val="27"/>
        <w:spacing w:beforeLines="50" w:afterLines="50" w:line="420" w:lineRule="exact"/>
        <w:rPr>
          <w:sz w:val="21"/>
          <w:szCs w:val="21"/>
        </w:rPr>
      </w:pPr>
      <w:bookmarkStart w:id="2891" w:name="_Toc179632663"/>
      <w:bookmarkStart w:id="2892" w:name="_Toc11238"/>
      <w:bookmarkStart w:id="2893" w:name="_Toc282787445"/>
      <w:bookmarkStart w:id="2894" w:name="_Toc288546648"/>
      <w:bookmarkStart w:id="2895" w:name="_Toc21077"/>
      <w:bookmarkStart w:id="2896" w:name="_Toc4312"/>
      <w:bookmarkStart w:id="2897" w:name="_Toc8124"/>
      <w:bookmarkStart w:id="2898" w:name="_Toc17651"/>
      <w:bookmarkStart w:id="2899" w:name="_Toc28030"/>
      <w:bookmarkStart w:id="2900" w:name="_Toc288491524"/>
      <w:bookmarkStart w:id="2901" w:name="_Toc10305"/>
      <w:bookmarkStart w:id="2902" w:name="_Toc237923824"/>
      <w:bookmarkStart w:id="2903" w:name="_Toc282779508"/>
      <w:bookmarkStart w:id="2904" w:name="_Toc19068"/>
      <w:bookmarkStart w:id="2905" w:name="_Toc282778999"/>
      <w:bookmarkStart w:id="2906" w:name="_Toc152042423"/>
      <w:bookmarkStart w:id="2907" w:name="_Toc283794196"/>
      <w:bookmarkStart w:id="2908" w:name="_Toc152045645"/>
      <w:bookmarkStart w:id="2909" w:name="_Toc144974613"/>
      <w:bookmarkStart w:id="2910" w:name="_Toc31275"/>
      <w:bookmarkStart w:id="2911" w:name="_Toc20453"/>
      <w:bookmarkStart w:id="2912" w:name="_Toc287853348"/>
      <w:bookmarkStart w:id="2913" w:name="_Toc5"/>
      <w:r>
        <w:rPr>
          <w:rFonts w:hint="eastAsia"/>
          <w:b/>
          <w:sz w:val="21"/>
          <w:szCs w:val="21"/>
        </w:rPr>
        <w:t>4.6</w:t>
      </w:r>
      <w:r>
        <w:rPr>
          <w:rFonts w:hint="eastAsia"/>
          <w:sz w:val="21"/>
          <w:szCs w:val="21"/>
        </w:rPr>
        <w:t xml:space="preserve">  承包人人员的管理</w:t>
      </w:r>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p>
    <w:p>
      <w:pPr>
        <w:spacing w:line="420" w:lineRule="exact"/>
        <w:ind w:firstLine="420" w:firstLineChars="200"/>
        <w:rPr>
          <w:szCs w:val="21"/>
        </w:rPr>
      </w:pPr>
      <w:r>
        <w:rPr>
          <w:rFonts w:hint="eastAsia"/>
          <w:szCs w:val="21"/>
        </w:rPr>
        <w:t>4.6.1  承包人应在接到开工通知后28天内，向监理人提交承包人在施工场地的管理机构以及人员安排的报告，其内容应包括管理机构的设置、各主要岗位的技术和管理人员名单及其资格，以及各工种技术工人的安排状况。承包人应向监理人提交施工场地人员变动情况的报告。</w:t>
      </w:r>
    </w:p>
    <w:p>
      <w:pPr>
        <w:spacing w:line="420" w:lineRule="exact"/>
        <w:ind w:firstLine="420" w:firstLineChars="200"/>
        <w:rPr>
          <w:szCs w:val="21"/>
        </w:rPr>
      </w:pPr>
      <w:r>
        <w:rPr>
          <w:rFonts w:hint="eastAsia"/>
          <w:szCs w:val="21"/>
        </w:rPr>
        <w:t>4.6.2  为完成合同约定的各项工作，承包人应向施工场地派遣或雇佣足够数量的下列人员：</w:t>
      </w:r>
    </w:p>
    <w:p>
      <w:pPr>
        <w:spacing w:line="420" w:lineRule="exact"/>
        <w:ind w:firstLine="718" w:firstLineChars="342"/>
        <w:rPr>
          <w:szCs w:val="21"/>
        </w:rPr>
      </w:pPr>
      <w:r>
        <w:rPr>
          <w:rFonts w:hint="eastAsia"/>
          <w:szCs w:val="21"/>
        </w:rPr>
        <w:t>（1）具有相应资格的专业技工和合格的普工；</w:t>
      </w:r>
    </w:p>
    <w:p>
      <w:pPr>
        <w:spacing w:line="420" w:lineRule="exact"/>
        <w:ind w:firstLine="718" w:firstLineChars="342"/>
        <w:rPr>
          <w:szCs w:val="21"/>
        </w:rPr>
      </w:pPr>
      <w:r>
        <w:rPr>
          <w:rFonts w:hint="eastAsia"/>
          <w:szCs w:val="21"/>
        </w:rPr>
        <w:t>（2）具有相应施工经验的技术人员；</w:t>
      </w:r>
    </w:p>
    <w:p>
      <w:pPr>
        <w:spacing w:line="420" w:lineRule="exact"/>
        <w:ind w:firstLine="718" w:firstLineChars="342"/>
        <w:rPr>
          <w:szCs w:val="21"/>
        </w:rPr>
      </w:pPr>
      <w:r>
        <w:rPr>
          <w:rFonts w:hint="eastAsia"/>
          <w:szCs w:val="21"/>
        </w:rPr>
        <w:t>（3）具有相应岗位资格的各级管理人员。</w:t>
      </w:r>
    </w:p>
    <w:p>
      <w:pPr>
        <w:spacing w:line="420" w:lineRule="exact"/>
        <w:ind w:firstLine="420" w:firstLineChars="200"/>
        <w:rPr>
          <w:szCs w:val="21"/>
        </w:rPr>
      </w:pPr>
      <w:r>
        <w:rPr>
          <w:rFonts w:hint="eastAsia"/>
          <w:szCs w:val="21"/>
        </w:rPr>
        <w:t>4.6.3  承包人安排在施工场地的主要管理人员和技术骨干应与承包人承诺的名单一致，并保持相对稳定。未经监理人批准，上述人员不应无故不到位或被替换；若确认无法到位或需替换，需经监理人审核并报发包人批准后，用同等资质和经历的人员替换。</w:t>
      </w:r>
    </w:p>
    <w:p>
      <w:pPr>
        <w:spacing w:line="420" w:lineRule="exact"/>
        <w:ind w:firstLine="420" w:firstLineChars="200"/>
        <w:rPr>
          <w:szCs w:val="21"/>
        </w:rPr>
      </w:pPr>
      <w:r>
        <w:rPr>
          <w:rFonts w:hint="eastAsia"/>
          <w:szCs w:val="21"/>
        </w:rPr>
        <w:t>4.6.4  特殊岗位的工作人员均应持有相应的资格证明，监理人有权随时检查。监理人认为有必要时，可进行现场考核。</w:t>
      </w:r>
    </w:p>
    <w:p>
      <w:pPr>
        <w:spacing w:line="420" w:lineRule="exact"/>
        <w:ind w:firstLine="420" w:firstLineChars="200"/>
        <w:rPr>
          <w:szCs w:val="21"/>
        </w:rPr>
      </w:pPr>
      <w:r>
        <w:rPr>
          <w:rFonts w:hint="eastAsia"/>
          <w:szCs w:val="21"/>
        </w:rPr>
        <w:t>4.6.5  尽管承包人已按承诺派遣了上述各类人员，但若这些人员仍不能满足合同进度计划和（或）质量要求时，监理人有权要求承包人继续增派或雇用这类人员，并书面通知承包人和抄送发包人。承包人在接到上述通知后应立即执行监理人的上述指示，不得无故拖延。由此增加的费用和（或）工期延误由承包人承担。</w:t>
      </w:r>
    </w:p>
    <w:p>
      <w:pPr>
        <w:pStyle w:val="27"/>
        <w:spacing w:beforeLines="50" w:afterLines="50" w:line="420" w:lineRule="exact"/>
        <w:rPr>
          <w:sz w:val="21"/>
          <w:szCs w:val="21"/>
        </w:rPr>
      </w:pPr>
      <w:bookmarkStart w:id="2914" w:name="_Toc30828"/>
      <w:bookmarkStart w:id="2915" w:name="_Toc179632664"/>
      <w:bookmarkStart w:id="2916" w:name="_Toc1815"/>
      <w:bookmarkStart w:id="2917" w:name="_Toc288546649"/>
      <w:bookmarkStart w:id="2918" w:name="_Toc13810"/>
      <w:bookmarkStart w:id="2919" w:name="_Toc2936"/>
      <w:bookmarkStart w:id="2920" w:name="_Toc152045646"/>
      <w:bookmarkStart w:id="2921" w:name="_Toc18205"/>
      <w:bookmarkStart w:id="2922" w:name="_Toc4813"/>
      <w:bookmarkStart w:id="2923" w:name="_Toc282779509"/>
      <w:bookmarkStart w:id="2924" w:name="_Toc28950"/>
      <w:bookmarkStart w:id="2925" w:name="_Toc1137"/>
      <w:bookmarkStart w:id="2926" w:name="_Toc283794197"/>
      <w:bookmarkStart w:id="2927" w:name="_Toc288491525"/>
      <w:bookmarkStart w:id="2928" w:name="_Toc29070"/>
      <w:bookmarkStart w:id="2929" w:name="_Toc671"/>
      <w:bookmarkStart w:id="2930" w:name="_Toc282787446"/>
      <w:bookmarkStart w:id="2931" w:name="_Toc23319"/>
      <w:bookmarkStart w:id="2932" w:name="_Toc237923825"/>
      <w:bookmarkStart w:id="2933" w:name="_Toc152042424"/>
      <w:bookmarkStart w:id="2934" w:name="_Toc287853349"/>
      <w:bookmarkStart w:id="2935" w:name="_Toc144974614"/>
      <w:bookmarkStart w:id="2936" w:name="_Toc282779000"/>
      <w:r>
        <w:rPr>
          <w:rFonts w:hint="eastAsia"/>
          <w:b/>
          <w:sz w:val="21"/>
          <w:szCs w:val="21"/>
        </w:rPr>
        <w:t>4.7</w:t>
      </w:r>
      <w:r>
        <w:rPr>
          <w:rFonts w:hint="eastAsia"/>
          <w:sz w:val="21"/>
          <w:szCs w:val="21"/>
        </w:rPr>
        <w:t xml:space="preserve">  撤换承包人项目经理和其他人员</w:t>
      </w:r>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p>
    <w:p>
      <w:pPr>
        <w:spacing w:line="420" w:lineRule="exact"/>
        <w:ind w:firstLine="420" w:firstLineChars="200"/>
        <w:rPr>
          <w:szCs w:val="21"/>
        </w:rPr>
      </w:pPr>
      <w:r>
        <w:rPr>
          <w:rFonts w:hint="eastAsia"/>
          <w:szCs w:val="21"/>
        </w:rPr>
        <w:t>承包人应对其项目经理和其他人员进行有效管理。监理人要求撤换不能胜任本职工作、行为不端或玩忽职守的承包人项目经理和其他人员的，承包人应予以撤换，同时委派经发包人与监理人同意的新的项目经理和其他人员。</w:t>
      </w:r>
    </w:p>
    <w:p>
      <w:pPr>
        <w:pStyle w:val="27"/>
        <w:spacing w:beforeLines="50" w:afterLines="50" w:line="420" w:lineRule="exact"/>
        <w:rPr>
          <w:sz w:val="21"/>
          <w:szCs w:val="21"/>
        </w:rPr>
      </w:pPr>
      <w:bookmarkStart w:id="2937" w:name="_Toc152042425"/>
      <w:bookmarkStart w:id="2938" w:name="_Toc152045647"/>
      <w:bookmarkStart w:id="2939" w:name="_Toc144974615"/>
      <w:bookmarkStart w:id="2940" w:name="_Toc282779001"/>
      <w:bookmarkStart w:id="2941" w:name="_Toc28480"/>
      <w:bookmarkStart w:id="2942" w:name="_Toc19685"/>
      <w:bookmarkStart w:id="2943" w:name="_Toc283794198"/>
      <w:bookmarkStart w:id="2944" w:name="_Toc287853350"/>
      <w:bookmarkStart w:id="2945" w:name="_Toc32148"/>
      <w:bookmarkStart w:id="2946" w:name="_Toc14565"/>
      <w:bookmarkStart w:id="2947" w:name="_Toc3239"/>
      <w:bookmarkStart w:id="2948" w:name="_Toc5874"/>
      <w:bookmarkStart w:id="2949" w:name="_Toc20888"/>
      <w:bookmarkStart w:id="2950" w:name="_Toc4640"/>
      <w:bookmarkStart w:id="2951" w:name="_Toc282779510"/>
      <w:bookmarkStart w:id="2952" w:name="_Toc282787447"/>
      <w:bookmarkStart w:id="2953" w:name="_Toc288546650"/>
      <w:bookmarkStart w:id="2954" w:name="_Toc27163"/>
      <w:bookmarkStart w:id="2955" w:name="_Toc179632665"/>
      <w:bookmarkStart w:id="2956" w:name="_Toc5737"/>
      <w:bookmarkStart w:id="2957" w:name="_Toc237923826"/>
      <w:bookmarkStart w:id="2958" w:name="_Toc288491526"/>
      <w:bookmarkStart w:id="2959" w:name="_Toc4057"/>
      <w:r>
        <w:rPr>
          <w:rFonts w:hint="eastAsia"/>
          <w:b/>
          <w:sz w:val="21"/>
          <w:szCs w:val="21"/>
        </w:rPr>
        <w:t>4.8</w:t>
      </w:r>
      <w:r>
        <w:rPr>
          <w:rFonts w:hint="eastAsia"/>
          <w:sz w:val="21"/>
          <w:szCs w:val="21"/>
        </w:rPr>
        <w:t xml:space="preserve">  保障承包人人员的合法权益</w:t>
      </w:r>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p>
    <w:p>
      <w:pPr>
        <w:spacing w:line="420" w:lineRule="exact"/>
        <w:ind w:firstLine="420" w:firstLineChars="200"/>
        <w:rPr>
          <w:szCs w:val="21"/>
        </w:rPr>
      </w:pPr>
      <w:r>
        <w:rPr>
          <w:rFonts w:hint="eastAsia"/>
          <w:szCs w:val="21"/>
        </w:rPr>
        <w:t>4.8.1  承包人应与其雇佣的人员签订劳动合同，并按时发放工资。</w:t>
      </w:r>
    </w:p>
    <w:p>
      <w:pPr>
        <w:spacing w:line="420" w:lineRule="exact"/>
        <w:ind w:firstLine="420" w:firstLineChars="200"/>
        <w:rPr>
          <w:szCs w:val="21"/>
        </w:rPr>
      </w:pPr>
      <w:r>
        <w:rPr>
          <w:rFonts w:hint="eastAsia"/>
          <w:szCs w:val="21"/>
        </w:rPr>
        <w:t>4.8.2  承包人应按劳动法的规定安排工作时间，保证其雇佣人员享有休息和休假的权利。因工程施工的特殊需要占用休假日或延长工作时间的，应不超过法律规定的限度，并按法律规定给予补休或付酬。</w:t>
      </w:r>
    </w:p>
    <w:p>
      <w:pPr>
        <w:spacing w:line="420" w:lineRule="exact"/>
        <w:ind w:firstLine="420" w:firstLineChars="200"/>
        <w:rPr>
          <w:szCs w:val="21"/>
        </w:rPr>
      </w:pPr>
      <w:r>
        <w:rPr>
          <w:rFonts w:hint="eastAsia"/>
          <w:szCs w:val="21"/>
        </w:rPr>
        <w:t>4.8.3  承包人应为其雇佣人员提供必要的食宿条件，以及符合环境保护和卫生要求的生活环境，在远离城镇的施工场地，还应配备必要的伤病防治和急救的医务人员与医疗设施。</w:t>
      </w:r>
    </w:p>
    <w:p>
      <w:pPr>
        <w:spacing w:line="420" w:lineRule="exact"/>
        <w:ind w:firstLine="420" w:firstLineChars="200"/>
        <w:rPr>
          <w:szCs w:val="21"/>
        </w:rPr>
      </w:pPr>
      <w:r>
        <w:rPr>
          <w:rFonts w:hint="eastAsia"/>
          <w:szCs w:val="21"/>
        </w:rPr>
        <w:t>4.8.4  承包人应按国家有关劳动保护的规定，采取有效的防止粉尘、降低噪声、控制有害气体和保障高温、高寒、高空作业安全等劳动保护措施。其雇佣人员在施工中受到伤害的，承包人应立即采取有效措施进行抢救和治疗。</w:t>
      </w:r>
    </w:p>
    <w:p>
      <w:pPr>
        <w:spacing w:line="420" w:lineRule="exact"/>
        <w:ind w:firstLine="420" w:firstLineChars="200"/>
        <w:rPr>
          <w:szCs w:val="21"/>
        </w:rPr>
      </w:pPr>
      <w:r>
        <w:rPr>
          <w:rFonts w:hint="eastAsia"/>
          <w:szCs w:val="21"/>
        </w:rPr>
        <w:t>4.8.5  承包人应按有关法律规定和合同约定，为其雇佣人员办理保险。</w:t>
      </w:r>
    </w:p>
    <w:p>
      <w:pPr>
        <w:spacing w:line="420" w:lineRule="exact"/>
        <w:ind w:firstLine="420" w:firstLineChars="200"/>
        <w:rPr>
          <w:szCs w:val="21"/>
        </w:rPr>
      </w:pPr>
      <w:r>
        <w:rPr>
          <w:rFonts w:hint="eastAsia"/>
          <w:szCs w:val="21"/>
        </w:rPr>
        <w:t>4.8.6  承包人应负责处理其雇佣人员因工伤亡事故的善后事宜。</w:t>
      </w:r>
    </w:p>
    <w:p>
      <w:pPr>
        <w:pStyle w:val="27"/>
        <w:spacing w:beforeLines="50" w:afterLines="50" w:line="420" w:lineRule="exact"/>
        <w:rPr>
          <w:sz w:val="21"/>
          <w:szCs w:val="21"/>
        </w:rPr>
      </w:pPr>
      <w:bookmarkStart w:id="2960" w:name="_Toc179632666"/>
      <w:bookmarkStart w:id="2961" w:name="_Toc288546651"/>
      <w:bookmarkStart w:id="2962" w:name="_Toc6670"/>
      <w:bookmarkStart w:id="2963" w:name="_Toc283794199"/>
      <w:bookmarkStart w:id="2964" w:name="_Toc7121"/>
      <w:bookmarkStart w:id="2965" w:name="_Toc28700"/>
      <w:bookmarkStart w:id="2966" w:name="_Toc28623"/>
      <w:bookmarkStart w:id="2967" w:name="_Toc14019"/>
      <w:bookmarkStart w:id="2968" w:name="_Toc287853351"/>
      <w:bookmarkStart w:id="2969" w:name="_Toc16324"/>
      <w:bookmarkStart w:id="2970" w:name="_Toc27102"/>
      <w:bookmarkStart w:id="2971" w:name="_Toc282787448"/>
      <w:bookmarkStart w:id="2972" w:name="_Toc19872"/>
      <w:bookmarkStart w:id="2973" w:name="_Toc19988"/>
      <w:bookmarkStart w:id="2974" w:name="_Toc152042426"/>
      <w:bookmarkStart w:id="2975" w:name="_Toc237923827"/>
      <w:bookmarkStart w:id="2976" w:name="_Toc288491527"/>
      <w:bookmarkStart w:id="2977" w:name="_Toc152045648"/>
      <w:bookmarkStart w:id="2978" w:name="_Toc282779511"/>
      <w:bookmarkStart w:id="2979" w:name="_Toc8125"/>
      <w:bookmarkStart w:id="2980" w:name="_Toc1020"/>
      <w:bookmarkStart w:id="2981" w:name="_Toc282779002"/>
      <w:bookmarkStart w:id="2982" w:name="_Toc144974616"/>
      <w:r>
        <w:rPr>
          <w:rFonts w:hint="eastAsia"/>
          <w:b/>
          <w:sz w:val="21"/>
          <w:szCs w:val="21"/>
        </w:rPr>
        <w:t>4.9</w:t>
      </w:r>
      <w:r>
        <w:rPr>
          <w:rFonts w:hint="eastAsia"/>
          <w:sz w:val="21"/>
          <w:szCs w:val="21"/>
        </w:rPr>
        <w:t xml:space="preserve">  工程价款应专款专用</w:t>
      </w:r>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p>
    <w:p>
      <w:pPr>
        <w:spacing w:line="420" w:lineRule="exact"/>
        <w:ind w:firstLine="420" w:firstLineChars="200"/>
        <w:rPr>
          <w:szCs w:val="21"/>
        </w:rPr>
      </w:pPr>
      <w:r>
        <w:rPr>
          <w:rFonts w:hint="eastAsia"/>
          <w:szCs w:val="21"/>
        </w:rPr>
        <w:t>发包人按合同约定支付给承包人的各项价款应专用于合同工程。承包人必须在发包人指定的银行开户，并应向发包人授权进行本合同工程开户银行工程资金的查询。发包人支付的工程进度款应为本工程的专款专用资金，不得转移或用于其它工程。发包人的期中支付款将转入该银行所设的专门账户，发包人及其派出机构有权不定期对承包人工程资金使用情况进行检查，发现问题及时责令承包人限期改正。否则，将终止月支付，直至承包人改正为止。</w:t>
      </w:r>
    </w:p>
    <w:p>
      <w:pPr>
        <w:pStyle w:val="27"/>
        <w:spacing w:beforeLines="50" w:afterLines="50" w:line="420" w:lineRule="exact"/>
        <w:rPr>
          <w:sz w:val="21"/>
          <w:szCs w:val="21"/>
        </w:rPr>
      </w:pPr>
      <w:bookmarkStart w:id="2983" w:name="_Toc2637"/>
      <w:bookmarkStart w:id="2984" w:name="_Toc283794200"/>
      <w:bookmarkStart w:id="2985" w:name="_Toc288546652"/>
      <w:bookmarkStart w:id="2986" w:name="_Toc288491528"/>
      <w:bookmarkStart w:id="2987" w:name="_Toc287853352"/>
      <w:bookmarkStart w:id="2988" w:name="_Toc19009"/>
      <w:bookmarkStart w:id="2989" w:name="_Toc15214"/>
      <w:bookmarkStart w:id="2990" w:name="_Toc237923828"/>
      <w:bookmarkStart w:id="2991" w:name="_Toc282779003"/>
      <w:bookmarkStart w:id="2992" w:name="_Toc144974617"/>
      <w:bookmarkStart w:id="2993" w:name="_Toc21583"/>
      <w:bookmarkStart w:id="2994" w:name="_Toc10287"/>
      <w:bookmarkStart w:id="2995" w:name="_Toc282779512"/>
      <w:bookmarkStart w:id="2996" w:name="_Toc152045649"/>
      <w:bookmarkStart w:id="2997" w:name="_Toc11799"/>
      <w:bookmarkStart w:id="2998" w:name="_Toc11869"/>
      <w:bookmarkStart w:id="2999" w:name="_Toc282787449"/>
      <w:bookmarkStart w:id="3000" w:name="_Toc179632667"/>
      <w:bookmarkStart w:id="3001" w:name="_Toc5347"/>
      <w:bookmarkStart w:id="3002" w:name="_Toc152042427"/>
      <w:bookmarkStart w:id="3003" w:name="_Toc24196"/>
      <w:bookmarkStart w:id="3004" w:name="_Toc11212"/>
      <w:bookmarkStart w:id="3005" w:name="_Toc2391"/>
      <w:r>
        <w:rPr>
          <w:rFonts w:hint="eastAsia"/>
          <w:b/>
          <w:sz w:val="21"/>
          <w:szCs w:val="21"/>
        </w:rPr>
        <w:t>4.10</w:t>
      </w:r>
      <w:r>
        <w:rPr>
          <w:rFonts w:hint="eastAsia"/>
          <w:sz w:val="21"/>
          <w:szCs w:val="21"/>
        </w:rPr>
        <w:t xml:space="preserve">  承包人现场查勘</w:t>
      </w:r>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p>
    <w:p>
      <w:pPr>
        <w:spacing w:line="420" w:lineRule="exact"/>
        <w:ind w:firstLine="420" w:firstLineChars="200"/>
        <w:rPr>
          <w:szCs w:val="21"/>
        </w:rPr>
      </w:pPr>
      <w:r>
        <w:rPr>
          <w:rFonts w:hint="eastAsia"/>
          <w:szCs w:val="21"/>
        </w:rPr>
        <w:t>4.10.1  发包人提供的本合同工程的</w:t>
      </w:r>
      <w:r>
        <w:rPr>
          <w:rFonts w:hint="eastAsia" w:ascii="宋体" w:hAnsi="宋体"/>
          <w:szCs w:val="21"/>
        </w:rPr>
        <w:t>道路现状、交通流量、</w:t>
      </w:r>
      <w:r>
        <w:rPr>
          <w:rFonts w:hint="eastAsia"/>
          <w:szCs w:val="21"/>
        </w:rPr>
        <w:t>水文、地质、气象和料场分布、取土场、弃土场位置等资料均属于参考资料，并不构成合同文件的组成部分，承包人应对自己就上述资料的解释、推论和应用负责，发包人不对承包人据此做出的判断和决策承担任何责任。</w:t>
      </w:r>
    </w:p>
    <w:p>
      <w:pPr>
        <w:spacing w:line="420" w:lineRule="exact"/>
        <w:ind w:firstLine="420" w:firstLineChars="200"/>
        <w:rPr>
          <w:rFonts w:ascii="宋体" w:hAnsi="宋体"/>
          <w:szCs w:val="21"/>
        </w:rPr>
      </w:pPr>
      <w:r>
        <w:rPr>
          <w:rFonts w:hint="eastAsia"/>
          <w:szCs w:val="21"/>
        </w:rPr>
        <w:t xml:space="preserve">4.10.2  </w:t>
      </w:r>
      <w:r>
        <w:rPr>
          <w:rFonts w:hint="eastAsia" w:ascii="宋体" w:hAnsi="宋体"/>
          <w:szCs w:val="21"/>
        </w:rPr>
        <w:t>承包人在送交投标文件之前，应认为已进行了现场考察，对现场和其周围环境以及可得到的有关资料进行了察看和核查，在考察时间允许的情况下已经查明了以下方面：</w:t>
      </w:r>
    </w:p>
    <w:p>
      <w:pPr>
        <w:spacing w:line="420" w:lineRule="exact"/>
        <w:ind w:firstLine="420" w:firstLineChars="200"/>
        <w:rPr>
          <w:rFonts w:ascii="宋体" w:hAnsi="宋体"/>
          <w:szCs w:val="21"/>
        </w:rPr>
      </w:pPr>
      <w:r>
        <w:rPr>
          <w:rFonts w:hint="eastAsia" w:ascii="宋体" w:hAnsi="宋体"/>
          <w:szCs w:val="21"/>
        </w:rPr>
        <w:t>（</w:t>
      </w:r>
      <w:r>
        <w:rPr>
          <w:szCs w:val="21"/>
        </w:rPr>
        <w:t>1</w:t>
      </w:r>
      <w:r>
        <w:rPr>
          <w:rFonts w:hint="eastAsia" w:ascii="宋体" w:hAnsi="宋体"/>
          <w:szCs w:val="21"/>
        </w:rPr>
        <w:t>）现场的地形地貌和特征，包括地表以下的情况；</w:t>
      </w:r>
    </w:p>
    <w:p>
      <w:pPr>
        <w:spacing w:line="420" w:lineRule="exact"/>
        <w:ind w:firstLine="420" w:firstLineChars="200"/>
        <w:rPr>
          <w:rFonts w:hAnsi="宋体"/>
          <w:szCs w:val="21"/>
        </w:rPr>
      </w:pPr>
      <w:r>
        <w:rPr>
          <w:rFonts w:hAnsi="宋体"/>
          <w:szCs w:val="21"/>
        </w:rPr>
        <w:t>（</w:t>
      </w:r>
      <w:r>
        <w:rPr>
          <w:szCs w:val="21"/>
        </w:rPr>
        <w:t>2</w:t>
      </w:r>
      <w:r>
        <w:rPr>
          <w:rFonts w:hAnsi="宋体"/>
          <w:szCs w:val="21"/>
        </w:rPr>
        <w:t>）</w:t>
      </w:r>
      <w:r>
        <w:rPr>
          <w:rFonts w:hint="eastAsia" w:hAnsi="宋体"/>
          <w:szCs w:val="21"/>
        </w:rPr>
        <w:t>水文和气象条件；</w:t>
      </w:r>
    </w:p>
    <w:p>
      <w:pPr>
        <w:spacing w:line="420" w:lineRule="exact"/>
        <w:ind w:firstLine="420" w:firstLineChars="200"/>
        <w:rPr>
          <w:rFonts w:hAnsi="宋体"/>
          <w:szCs w:val="21"/>
        </w:rPr>
      </w:pPr>
      <w:r>
        <w:rPr>
          <w:rFonts w:hint="eastAsia" w:hAnsi="宋体"/>
          <w:szCs w:val="21"/>
        </w:rPr>
        <w:t>（3）实施和完成本合同大中修养护工程的工作范围、性质和所需用的材料采购和加工；</w:t>
      </w:r>
    </w:p>
    <w:p>
      <w:pPr>
        <w:spacing w:line="420" w:lineRule="exact"/>
        <w:ind w:firstLine="420" w:firstLineChars="200"/>
        <w:rPr>
          <w:rFonts w:hAnsi="宋体"/>
          <w:szCs w:val="21"/>
        </w:rPr>
      </w:pPr>
      <w:r>
        <w:rPr>
          <w:rFonts w:hint="eastAsia" w:hAnsi="宋体"/>
          <w:szCs w:val="21"/>
        </w:rPr>
        <w:t>（4）附近道路和水、电、食宿供应条件；</w:t>
      </w:r>
    </w:p>
    <w:p>
      <w:pPr>
        <w:spacing w:line="420" w:lineRule="exact"/>
        <w:ind w:firstLine="420" w:firstLineChars="200"/>
        <w:rPr>
          <w:rFonts w:hAnsi="宋体"/>
          <w:szCs w:val="21"/>
        </w:rPr>
      </w:pPr>
      <w:r>
        <w:rPr>
          <w:rFonts w:hint="eastAsia" w:hAnsi="宋体"/>
          <w:szCs w:val="21"/>
        </w:rPr>
        <w:t>（5）当地的乡规民约和风俗习惯。</w:t>
      </w:r>
    </w:p>
    <w:p>
      <w:pPr>
        <w:spacing w:line="420" w:lineRule="exact"/>
        <w:ind w:firstLine="420" w:firstLineChars="200"/>
        <w:rPr>
          <w:szCs w:val="21"/>
        </w:rPr>
      </w:pPr>
      <w:r>
        <w:rPr>
          <w:rFonts w:hint="eastAsia" w:hAnsi="宋体"/>
          <w:szCs w:val="21"/>
        </w:rPr>
        <w:t>因此认为，承包人的投标文件是以发包人所提供资料和他自己察看和核查为依据的。承包人已取得可能对投标有影响或起作用的风险、意外等必要资料；</w:t>
      </w:r>
    </w:p>
    <w:p>
      <w:pPr>
        <w:spacing w:line="420" w:lineRule="exact"/>
        <w:ind w:firstLine="420" w:firstLineChars="200"/>
        <w:rPr>
          <w:rFonts w:hAnsi="宋体"/>
          <w:szCs w:val="21"/>
        </w:rPr>
      </w:pPr>
      <w:r>
        <w:rPr>
          <w:rFonts w:hint="eastAsia" w:hAnsi="宋体"/>
          <w:szCs w:val="21"/>
        </w:rPr>
        <w:t>还应认为，</w:t>
      </w:r>
      <w:r>
        <w:rPr>
          <w:rFonts w:hint="eastAsia"/>
          <w:szCs w:val="21"/>
        </w:rPr>
        <w:t>在全部合同工作中，承包人已充分估计了应承担的责任和风险。</w:t>
      </w:r>
    </w:p>
    <w:p>
      <w:pPr>
        <w:pStyle w:val="27"/>
        <w:spacing w:beforeLines="50" w:afterLines="50" w:line="420" w:lineRule="exact"/>
        <w:rPr>
          <w:sz w:val="21"/>
          <w:szCs w:val="21"/>
        </w:rPr>
      </w:pPr>
      <w:bookmarkStart w:id="3006" w:name="_Toc144974618"/>
      <w:bookmarkStart w:id="3007" w:name="_Toc21940"/>
      <w:bookmarkStart w:id="3008" w:name="_Toc152042428"/>
      <w:bookmarkStart w:id="3009" w:name="_Toc287853353"/>
      <w:bookmarkStart w:id="3010" w:name="_Toc179632668"/>
      <w:bookmarkStart w:id="3011" w:name="_Toc6445"/>
      <w:bookmarkStart w:id="3012" w:name="_Toc282779004"/>
      <w:bookmarkStart w:id="3013" w:name="_Toc282787450"/>
      <w:bookmarkStart w:id="3014" w:name="_Toc16814"/>
      <w:bookmarkStart w:id="3015" w:name="_Toc237923829"/>
      <w:bookmarkStart w:id="3016" w:name="_Toc288491529"/>
      <w:bookmarkStart w:id="3017" w:name="_Toc152045650"/>
      <w:bookmarkStart w:id="3018" w:name="_Toc7744"/>
      <w:bookmarkStart w:id="3019" w:name="_Toc288546653"/>
      <w:bookmarkStart w:id="3020" w:name="_Toc10559"/>
      <w:bookmarkStart w:id="3021" w:name="_Toc7626"/>
      <w:bookmarkStart w:id="3022" w:name="_Toc283794201"/>
      <w:bookmarkStart w:id="3023" w:name="_Toc25661"/>
      <w:bookmarkStart w:id="3024" w:name="_Toc20263"/>
      <w:bookmarkStart w:id="3025" w:name="_Toc9007"/>
      <w:bookmarkStart w:id="3026" w:name="_Toc1680"/>
      <w:bookmarkStart w:id="3027" w:name="_Toc25167"/>
      <w:bookmarkStart w:id="3028" w:name="_Toc282779513"/>
      <w:r>
        <w:rPr>
          <w:rFonts w:hint="eastAsia"/>
          <w:b/>
          <w:sz w:val="21"/>
          <w:szCs w:val="21"/>
        </w:rPr>
        <w:t>4.11</w:t>
      </w:r>
      <w:r>
        <w:rPr>
          <w:rFonts w:hint="eastAsia"/>
          <w:sz w:val="21"/>
          <w:szCs w:val="21"/>
        </w:rPr>
        <w:t xml:space="preserve">  不利物质条件</w:t>
      </w:r>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p>
    <w:p>
      <w:pPr>
        <w:spacing w:line="420" w:lineRule="exact"/>
        <w:ind w:firstLine="420" w:firstLineChars="200"/>
        <w:rPr>
          <w:szCs w:val="21"/>
        </w:rPr>
      </w:pPr>
      <w:r>
        <w:rPr>
          <w:rFonts w:hint="eastAsia"/>
          <w:szCs w:val="21"/>
        </w:rPr>
        <w:t>4.11.1  不利物质条件，除专用合同条款另有约定外，是指承包人在施工场地遇到的不可预见的自然物质条件、非自然的物质障碍和污染物，包括地下和水文条件，但不包括气候条件。</w:t>
      </w:r>
    </w:p>
    <w:p>
      <w:pPr>
        <w:spacing w:line="420" w:lineRule="exact"/>
        <w:ind w:firstLine="420" w:firstLineChars="200"/>
        <w:rPr>
          <w:szCs w:val="21"/>
        </w:rPr>
      </w:pPr>
      <w:r>
        <w:rPr>
          <w:rFonts w:hint="eastAsia"/>
          <w:szCs w:val="21"/>
        </w:rPr>
        <w:t>4.11.2  承包人遇到不利物质条件时，应采取适应不利物质条件的合理措施继续施工，并及时通知监理人。监理人应当及时发出指示，指示构成变更的，按第15条约定办理。监理人没有发出指示的，承包人因采取合理措施而增加的费用和（或）工期延误，由发包人承担。</w:t>
      </w:r>
    </w:p>
    <w:p>
      <w:pPr>
        <w:spacing w:line="420" w:lineRule="exact"/>
        <w:ind w:firstLine="420" w:firstLineChars="200"/>
        <w:rPr>
          <w:szCs w:val="21"/>
        </w:rPr>
      </w:pPr>
      <w:r>
        <w:rPr>
          <w:rFonts w:hint="eastAsia"/>
          <w:szCs w:val="21"/>
        </w:rPr>
        <w:t>4.11.3  可预见的不利物质条件</w:t>
      </w:r>
    </w:p>
    <w:p>
      <w:pPr>
        <w:spacing w:line="420" w:lineRule="exact"/>
        <w:ind w:firstLine="420" w:firstLineChars="200"/>
        <w:rPr>
          <w:szCs w:val="21"/>
        </w:rPr>
      </w:pPr>
      <w:r>
        <w:rPr>
          <w:rFonts w:hint="eastAsia" w:hAnsi="宋体"/>
          <w:szCs w:val="21"/>
        </w:rPr>
        <w:t>（1）对于项目专用合同条款中已经明确指出的</w:t>
      </w:r>
      <w:r>
        <w:rPr>
          <w:rFonts w:hint="eastAsia"/>
          <w:szCs w:val="21"/>
        </w:rPr>
        <w:t>不利物质条件无论承包人是否有其经历和经验均视为承包人在接受合同时已预见其影响，并已在签约合同价中计入因其影响而可能发生的一切费用。</w:t>
      </w:r>
    </w:p>
    <w:p>
      <w:pPr>
        <w:spacing w:line="420" w:lineRule="exact"/>
        <w:ind w:firstLine="420" w:firstLineChars="200"/>
        <w:rPr>
          <w:rFonts w:hAnsi="宋体"/>
          <w:szCs w:val="21"/>
        </w:rPr>
      </w:pPr>
      <w:r>
        <w:rPr>
          <w:rFonts w:hint="eastAsia"/>
          <w:szCs w:val="21"/>
        </w:rPr>
        <w:t>（2）对于项目专用合同条款未明确指出，但是在不利物质条件发生之前，监理人已经指示承包人有可能发生，但承包人未能及时采取有效措施，而导致的损失和后果均由承包人承担。</w:t>
      </w:r>
    </w:p>
    <w:p>
      <w:pPr>
        <w:pStyle w:val="7"/>
        <w:spacing w:before="120" w:after="120" w:line="420" w:lineRule="exact"/>
        <w:rPr>
          <w:b w:val="0"/>
          <w:sz w:val="21"/>
          <w:szCs w:val="21"/>
        </w:rPr>
      </w:pPr>
      <w:bookmarkStart w:id="3029" w:name="_Toc282787451"/>
      <w:r>
        <w:rPr>
          <w:rFonts w:ascii="Times New Roman" w:hAnsi="Times New Roman"/>
          <w:sz w:val="21"/>
          <w:szCs w:val="21"/>
        </w:rPr>
        <w:t>4.12</w:t>
      </w:r>
      <w:r>
        <w:rPr>
          <w:rFonts w:hint="eastAsia"/>
          <w:b w:val="0"/>
          <w:sz w:val="21"/>
          <w:szCs w:val="21"/>
        </w:rPr>
        <w:t>投标文件的完备性</w:t>
      </w:r>
      <w:bookmarkEnd w:id="3029"/>
    </w:p>
    <w:p>
      <w:pPr>
        <w:spacing w:line="420" w:lineRule="exact"/>
        <w:ind w:firstLine="420" w:firstLineChars="200"/>
        <w:rPr>
          <w:szCs w:val="21"/>
        </w:rPr>
      </w:pPr>
      <w:r>
        <w:rPr>
          <w:rFonts w:hint="eastAsia"/>
          <w:szCs w:val="21"/>
        </w:rPr>
        <w:t>合同双方一致认为，承包人在递交投标文件前，对本养护工程合同的投标文件和已标价工程量清单中开列的单价和总额价是正确和完备的。投标的单价和总额价应已包括了合同中规定的承包人的全部义务（包括提供货物、材料、设备、服务的义务，并包括了暂列金额和暂估价范围内的额外工作的义务）以及为实施和完成本合同养护工程及其缺陷修复所必需的一切工作和条件。</w:t>
      </w:r>
    </w:p>
    <w:p>
      <w:pPr>
        <w:pStyle w:val="28"/>
        <w:spacing w:beforeLines="50" w:afterLines="50" w:line="420" w:lineRule="exact"/>
        <w:rPr>
          <w:sz w:val="24"/>
          <w:szCs w:val="24"/>
        </w:rPr>
      </w:pPr>
      <w:bookmarkStart w:id="3030" w:name="_Toc282787452"/>
      <w:bookmarkStart w:id="3031" w:name="_Toc179632669"/>
      <w:bookmarkStart w:id="3032" w:name="_Toc28349"/>
      <w:bookmarkStart w:id="3033" w:name="_Toc17806"/>
      <w:bookmarkStart w:id="3034" w:name="_Toc13552"/>
      <w:bookmarkStart w:id="3035" w:name="_Toc19482"/>
      <w:bookmarkStart w:id="3036" w:name="_Toc144974619"/>
      <w:bookmarkStart w:id="3037" w:name="_Toc13447"/>
      <w:bookmarkStart w:id="3038" w:name="_Toc152045651"/>
      <w:bookmarkStart w:id="3039" w:name="_Toc13086"/>
      <w:bookmarkStart w:id="3040" w:name="_Toc18386"/>
      <w:bookmarkStart w:id="3041" w:name="_Toc20416"/>
      <w:bookmarkStart w:id="3042" w:name="_Toc237923830"/>
      <w:bookmarkStart w:id="3043" w:name="_Toc288491530"/>
      <w:bookmarkStart w:id="3044" w:name="_Toc24002"/>
      <w:bookmarkStart w:id="3045" w:name="_Toc32408"/>
      <w:bookmarkStart w:id="3046" w:name="_Toc282779514"/>
      <w:bookmarkStart w:id="3047" w:name="_Toc288546654"/>
      <w:bookmarkStart w:id="3048" w:name="_Toc287853354"/>
      <w:bookmarkStart w:id="3049" w:name="_Toc283794202"/>
      <w:bookmarkStart w:id="3050" w:name="_Toc152042429"/>
      <w:bookmarkStart w:id="3051" w:name="_Toc28245"/>
      <w:bookmarkStart w:id="3052" w:name="_Toc282779005"/>
      <w:r>
        <w:rPr>
          <w:rFonts w:hint="eastAsia"/>
          <w:szCs w:val="28"/>
        </w:rPr>
        <w:t>5. 材料和工程设备</w:t>
      </w:r>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p>
    <w:p>
      <w:pPr>
        <w:pStyle w:val="27"/>
        <w:spacing w:beforeLines="50" w:afterLines="50" w:line="420" w:lineRule="exact"/>
        <w:rPr>
          <w:sz w:val="21"/>
          <w:szCs w:val="21"/>
        </w:rPr>
      </w:pPr>
      <w:bookmarkStart w:id="3053" w:name="_Toc283794203"/>
      <w:bookmarkStart w:id="3054" w:name="_Toc288546655"/>
      <w:bookmarkStart w:id="3055" w:name="_Toc10865"/>
      <w:bookmarkStart w:id="3056" w:name="_Toc32192"/>
      <w:bookmarkStart w:id="3057" w:name="_Toc5845"/>
      <w:bookmarkStart w:id="3058" w:name="_Toc288491531"/>
      <w:bookmarkStart w:id="3059" w:name="_Toc179632670"/>
      <w:bookmarkStart w:id="3060" w:name="_Toc2960"/>
      <w:bookmarkStart w:id="3061" w:name="_Toc237923831"/>
      <w:bookmarkStart w:id="3062" w:name="_Toc17245"/>
      <w:bookmarkStart w:id="3063" w:name="_Toc19334"/>
      <w:bookmarkStart w:id="3064" w:name="_Toc144974620"/>
      <w:bookmarkStart w:id="3065" w:name="_Toc152042430"/>
      <w:bookmarkStart w:id="3066" w:name="_Toc287853355"/>
      <w:bookmarkStart w:id="3067" w:name="_Toc8176"/>
      <w:bookmarkStart w:id="3068" w:name="_Toc282787453"/>
      <w:bookmarkStart w:id="3069" w:name="_Toc152045652"/>
      <w:bookmarkStart w:id="3070" w:name="_Toc27649"/>
      <w:bookmarkStart w:id="3071" w:name="_Toc282779006"/>
      <w:bookmarkStart w:id="3072" w:name="_Toc30104"/>
      <w:bookmarkStart w:id="3073" w:name="_Toc282779515"/>
      <w:bookmarkStart w:id="3074" w:name="_Toc10019"/>
      <w:bookmarkStart w:id="3075" w:name="_Toc30880"/>
      <w:r>
        <w:rPr>
          <w:rFonts w:hint="eastAsia"/>
          <w:b/>
          <w:sz w:val="21"/>
          <w:szCs w:val="21"/>
        </w:rPr>
        <w:t>5.1</w:t>
      </w:r>
      <w:r>
        <w:rPr>
          <w:rFonts w:hint="eastAsia"/>
          <w:sz w:val="21"/>
          <w:szCs w:val="21"/>
        </w:rPr>
        <w:t xml:space="preserve">  承包人提供的材料和工程设备</w:t>
      </w:r>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p>
    <w:p>
      <w:pPr>
        <w:spacing w:line="420" w:lineRule="exact"/>
        <w:ind w:firstLine="420" w:firstLineChars="200"/>
        <w:rPr>
          <w:szCs w:val="21"/>
        </w:rPr>
      </w:pPr>
      <w:r>
        <w:rPr>
          <w:rFonts w:hint="eastAsia"/>
          <w:szCs w:val="21"/>
        </w:rPr>
        <w:t>5.1.1  除专用合同条款另有约定外，承包人提供的材料和工程设备均由承包人负责采购、运输和保管。承包人应对其采购的材料和工程设备负责。</w:t>
      </w:r>
    </w:p>
    <w:p>
      <w:pPr>
        <w:spacing w:line="420" w:lineRule="exact"/>
        <w:ind w:firstLine="420" w:firstLineChars="200"/>
        <w:rPr>
          <w:szCs w:val="21"/>
        </w:rPr>
      </w:pPr>
      <w:r>
        <w:rPr>
          <w:rFonts w:hint="eastAsia"/>
          <w:szCs w:val="21"/>
        </w:rPr>
        <w:t>5.1.2  承包人在用于本养护工程的材料和设备进场以前，承包人必须向监理人提交生产厂商出具的质量合格证书和承包人检验合格证书，证明材料、设备质量应符合本合同技术规范的规定，供监理人批准。</w:t>
      </w:r>
    </w:p>
    <w:p>
      <w:pPr>
        <w:spacing w:line="420" w:lineRule="exact"/>
        <w:ind w:firstLine="420" w:firstLineChars="200"/>
        <w:rPr>
          <w:szCs w:val="21"/>
        </w:rPr>
      </w:pPr>
      <w:r>
        <w:rPr>
          <w:rFonts w:hint="eastAsia"/>
          <w:szCs w:val="21"/>
        </w:rPr>
        <w:t>5.1.3  对承包人提供的材料和工程设备，承包人应会同监理人对材料或设备进行的检验、查验材料合格证明、产品合格证书和交货验收提供一切必要的协助；并按合同约定和监理人指示，在材料用于工程之前，承包人应按监理人的要求进行材料的抽样检验和工程设备的检验测试，提供材料样品以供检验。检验和测试结果应提交监理人，所需费用由承包人承担。</w:t>
      </w:r>
    </w:p>
    <w:p>
      <w:pPr>
        <w:pStyle w:val="27"/>
        <w:spacing w:beforeLines="50" w:afterLines="50" w:line="420" w:lineRule="exact"/>
        <w:rPr>
          <w:sz w:val="21"/>
          <w:szCs w:val="21"/>
        </w:rPr>
      </w:pPr>
      <w:bookmarkStart w:id="3076" w:name="_Toc18778"/>
      <w:bookmarkStart w:id="3077" w:name="_Toc287853356"/>
      <w:bookmarkStart w:id="3078" w:name="_Toc12063"/>
      <w:bookmarkStart w:id="3079" w:name="_Toc24475"/>
      <w:bookmarkStart w:id="3080" w:name="_Toc25139"/>
      <w:bookmarkStart w:id="3081" w:name="_Toc282779516"/>
      <w:bookmarkStart w:id="3082" w:name="_Toc11595"/>
      <w:bookmarkStart w:id="3083" w:name="_Toc179632671"/>
      <w:bookmarkStart w:id="3084" w:name="_Toc486"/>
      <w:bookmarkStart w:id="3085" w:name="_Toc32119"/>
      <w:bookmarkStart w:id="3086" w:name="_Toc282779007"/>
      <w:bookmarkStart w:id="3087" w:name="_Toc13884"/>
      <w:bookmarkStart w:id="3088" w:name="_Toc288491532"/>
      <w:bookmarkStart w:id="3089" w:name="_Toc152042431"/>
      <w:bookmarkStart w:id="3090" w:name="_Toc237923832"/>
      <w:bookmarkStart w:id="3091" w:name="_Toc15393"/>
      <w:bookmarkStart w:id="3092" w:name="_Toc144974621"/>
      <w:bookmarkStart w:id="3093" w:name="_Toc14801"/>
      <w:bookmarkStart w:id="3094" w:name="_Toc152045653"/>
      <w:bookmarkStart w:id="3095" w:name="_Toc288546656"/>
      <w:bookmarkStart w:id="3096" w:name="_Toc282787454"/>
      <w:bookmarkStart w:id="3097" w:name="_Toc7226"/>
      <w:bookmarkStart w:id="3098" w:name="_Toc283794204"/>
      <w:r>
        <w:rPr>
          <w:rFonts w:hint="eastAsia"/>
          <w:b/>
          <w:sz w:val="21"/>
          <w:szCs w:val="21"/>
        </w:rPr>
        <w:t>5.2</w:t>
      </w:r>
      <w:r>
        <w:rPr>
          <w:rFonts w:hint="eastAsia"/>
          <w:sz w:val="21"/>
          <w:szCs w:val="21"/>
        </w:rPr>
        <w:t xml:space="preserve">  发包人提供的材料和工程设备</w:t>
      </w:r>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p>
    <w:p>
      <w:pPr>
        <w:spacing w:line="420" w:lineRule="exact"/>
        <w:ind w:firstLine="420" w:firstLineChars="200"/>
        <w:rPr>
          <w:szCs w:val="21"/>
        </w:rPr>
      </w:pPr>
      <w:r>
        <w:rPr>
          <w:rFonts w:hint="eastAsia"/>
          <w:szCs w:val="21"/>
        </w:rPr>
        <w:t>5.2.1  发包人提供的材料和工程设备，应在专用合同条款中写明材料和工程设备的名称、规格、数量、价格、交货方式、交货地点和计划交货日期等。</w:t>
      </w:r>
    </w:p>
    <w:p>
      <w:pPr>
        <w:spacing w:line="420" w:lineRule="exact"/>
        <w:ind w:firstLine="420" w:firstLineChars="200"/>
        <w:rPr>
          <w:szCs w:val="21"/>
        </w:rPr>
      </w:pPr>
      <w:r>
        <w:rPr>
          <w:rFonts w:hint="eastAsia"/>
          <w:szCs w:val="21"/>
        </w:rPr>
        <w:t>5.2.2  承包人应根据合同进度计划的安排，向监理人报送要求发包人交货的日期计划。发包人应按照监理人与合同双方当事人商定的交货日期，向承包人提交材料和工程设备。</w:t>
      </w:r>
    </w:p>
    <w:p>
      <w:pPr>
        <w:spacing w:line="420" w:lineRule="exact"/>
        <w:ind w:firstLine="420" w:firstLineChars="200"/>
        <w:rPr>
          <w:szCs w:val="21"/>
        </w:rPr>
      </w:pPr>
      <w:r>
        <w:rPr>
          <w:rFonts w:hint="eastAsia"/>
          <w:szCs w:val="21"/>
        </w:rPr>
        <w:t>5.2.3  发包人应在材料和工程设备到货7天前通知承包人，承包人应会同监理人在约定的时间内，赴交货地点共同进行验收。除专用合同条款另有约定外，发包人提供的材料和工程设备验收后，由承包人负责接收、运输和保管。</w:t>
      </w:r>
    </w:p>
    <w:p>
      <w:pPr>
        <w:spacing w:line="420" w:lineRule="exact"/>
        <w:ind w:firstLine="420" w:firstLineChars="200"/>
        <w:rPr>
          <w:szCs w:val="21"/>
        </w:rPr>
      </w:pPr>
      <w:r>
        <w:rPr>
          <w:rFonts w:hint="eastAsia"/>
          <w:szCs w:val="21"/>
        </w:rPr>
        <w:t>承包人负责接收并按规定对材料进行抽样检验和对工程设备进行检验测试，若发现材料和工程设备存在缺陷，承包人应及时通知监理人，发包人应及时改正通知中指出的缺陷。承包人负责接收后的运输和保管，因承包人的原因发生丢失、损坏或进度拖延，由承包人承担相应责任。</w:t>
      </w:r>
    </w:p>
    <w:p>
      <w:pPr>
        <w:spacing w:line="420" w:lineRule="exact"/>
        <w:ind w:firstLine="420" w:firstLineChars="200"/>
        <w:rPr>
          <w:szCs w:val="21"/>
        </w:rPr>
      </w:pPr>
      <w:r>
        <w:rPr>
          <w:rFonts w:hint="eastAsia"/>
          <w:szCs w:val="21"/>
        </w:rPr>
        <w:t xml:space="preserve">5.2.4  发包人要求向承包人提前交货的，承包人不得拒绝，但发包人应承担承包人由此增加的费用。 </w:t>
      </w:r>
    </w:p>
    <w:p>
      <w:pPr>
        <w:spacing w:line="420" w:lineRule="exact"/>
        <w:ind w:firstLine="420" w:firstLineChars="200"/>
        <w:rPr>
          <w:szCs w:val="21"/>
        </w:rPr>
      </w:pPr>
      <w:r>
        <w:rPr>
          <w:rFonts w:hint="eastAsia"/>
          <w:szCs w:val="21"/>
        </w:rPr>
        <w:t xml:space="preserve">5.2.5 承包人要求更改交货日期或地点的，应事先报请监理人批准。由于承包人要求更改交货时间或地点所增加的费用和（或）工期延误由承包人承担。 </w:t>
      </w:r>
    </w:p>
    <w:p>
      <w:pPr>
        <w:spacing w:line="420" w:lineRule="exact"/>
        <w:ind w:firstLine="420" w:firstLineChars="200"/>
        <w:rPr>
          <w:szCs w:val="21"/>
        </w:rPr>
      </w:pPr>
      <w:r>
        <w:rPr>
          <w:rFonts w:hint="eastAsia"/>
          <w:szCs w:val="21"/>
        </w:rPr>
        <w:t>5.2.6  发包人提供的材料和工程设备的规格、数量或质量不符合合同要求，或由于发包人原因发生交货日期延误及交货地点变更等情况的，发包人应承担由此增加的费用和（或）工期延误，并向承包人支付合理利润。</w:t>
      </w:r>
    </w:p>
    <w:p>
      <w:pPr>
        <w:pStyle w:val="27"/>
        <w:spacing w:beforeLines="50" w:afterLines="50" w:line="420" w:lineRule="exact"/>
        <w:rPr>
          <w:sz w:val="21"/>
          <w:szCs w:val="21"/>
        </w:rPr>
      </w:pPr>
      <w:bookmarkStart w:id="3099" w:name="_Toc13078"/>
      <w:bookmarkStart w:id="3100" w:name="_Toc287853357"/>
      <w:bookmarkStart w:id="3101" w:name="_Toc6417"/>
      <w:bookmarkStart w:id="3102" w:name="_Toc5966"/>
      <w:bookmarkStart w:id="3103" w:name="_Toc152042432"/>
      <w:bookmarkStart w:id="3104" w:name="_Toc282779008"/>
      <w:bookmarkStart w:id="3105" w:name="_Toc237923833"/>
      <w:bookmarkStart w:id="3106" w:name="_Toc14317"/>
      <w:bookmarkStart w:id="3107" w:name="_Toc3930"/>
      <w:bookmarkStart w:id="3108" w:name="_Toc9362"/>
      <w:bookmarkStart w:id="3109" w:name="_Toc144974622"/>
      <w:bookmarkStart w:id="3110" w:name="_Toc19096"/>
      <w:bookmarkStart w:id="3111" w:name="_Toc288546657"/>
      <w:bookmarkStart w:id="3112" w:name="_Toc282787455"/>
      <w:bookmarkStart w:id="3113" w:name="_Toc283794205"/>
      <w:bookmarkStart w:id="3114" w:name="_Toc2966"/>
      <w:bookmarkStart w:id="3115" w:name="_Toc288491533"/>
      <w:bookmarkStart w:id="3116" w:name="_Toc8996"/>
      <w:bookmarkStart w:id="3117" w:name="_Toc179632672"/>
      <w:bookmarkStart w:id="3118" w:name="_Toc7373"/>
      <w:bookmarkStart w:id="3119" w:name="_Toc21"/>
      <w:bookmarkStart w:id="3120" w:name="_Toc152045654"/>
      <w:bookmarkStart w:id="3121" w:name="_Toc282779517"/>
      <w:r>
        <w:rPr>
          <w:rFonts w:hint="eastAsia"/>
          <w:b/>
          <w:sz w:val="21"/>
          <w:szCs w:val="21"/>
        </w:rPr>
        <w:t>5.3</w:t>
      </w:r>
      <w:r>
        <w:rPr>
          <w:rFonts w:hint="eastAsia"/>
          <w:sz w:val="21"/>
          <w:szCs w:val="21"/>
        </w:rPr>
        <w:t xml:space="preserve">  材料和工程设备专用于合同工程</w:t>
      </w:r>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p>
    <w:p>
      <w:pPr>
        <w:spacing w:line="420" w:lineRule="exact"/>
        <w:ind w:firstLine="420" w:firstLineChars="200"/>
        <w:rPr>
          <w:szCs w:val="21"/>
        </w:rPr>
      </w:pPr>
      <w:r>
        <w:rPr>
          <w:rFonts w:hint="eastAsia"/>
          <w:szCs w:val="21"/>
        </w:rPr>
        <w:t>5.3.1  运入施工场地的材料、工程设备，包括备品备件、安装专用工器具与随机资料，必须专用于合同工程，未经监理人同意，承包人不得运出施工场地或挪作他用。</w:t>
      </w:r>
    </w:p>
    <w:p>
      <w:pPr>
        <w:spacing w:line="420" w:lineRule="exact"/>
        <w:ind w:firstLine="420" w:firstLineChars="200"/>
        <w:rPr>
          <w:szCs w:val="21"/>
        </w:rPr>
      </w:pPr>
      <w:r>
        <w:rPr>
          <w:rFonts w:hint="eastAsia"/>
          <w:szCs w:val="21"/>
        </w:rPr>
        <w:t>5.3.2  随同工程设备运入施工场地的备品备件、专用工器具与随机资料，应由承包人会同监理人按供货人的装箱单清点后共同封存，未经监理人同意不得启用。承包人因合同工作需要使用上述物品时，应向监理人提出申请。</w:t>
      </w:r>
    </w:p>
    <w:p>
      <w:pPr>
        <w:spacing w:line="420" w:lineRule="exact"/>
        <w:ind w:firstLine="420" w:firstLineChars="200"/>
        <w:rPr>
          <w:szCs w:val="21"/>
        </w:rPr>
      </w:pPr>
      <w:r>
        <w:rPr>
          <w:rFonts w:hint="eastAsia"/>
          <w:szCs w:val="21"/>
        </w:rPr>
        <w:t>5.3.3  用于本养护工程的材料和设备进场以前，承包人必须向监理人提交生产厂商出具的质量合格证书和承包人检验合格证书，证明材料、设备质量应符合本合同技术规范的规定，供监理人批准。</w:t>
      </w:r>
    </w:p>
    <w:p>
      <w:pPr>
        <w:spacing w:line="420" w:lineRule="exact"/>
        <w:ind w:firstLine="420" w:firstLineChars="200"/>
        <w:rPr>
          <w:szCs w:val="21"/>
        </w:rPr>
      </w:pPr>
      <w:r>
        <w:rPr>
          <w:rFonts w:hint="eastAsia"/>
          <w:szCs w:val="21"/>
        </w:rPr>
        <w:t>承包人应随时按发包人的指令，在制造、加工或施工现场对材料和设备进行检验。</w:t>
      </w:r>
    </w:p>
    <w:p>
      <w:pPr>
        <w:spacing w:line="420" w:lineRule="exact"/>
        <w:ind w:firstLine="420" w:firstLineChars="200"/>
        <w:rPr>
          <w:szCs w:val="21"/>
        </w:rPr>
      </w:pPr>
      <w:r>
        <w:rPr>
          <w:rFonts w:hint="eastAsia"/>
          <w:szCs w:val="21"/>
        </w:rPr>
        <w:t>承包人应为监理人对材料或设备的检验提供一切必要的协助，在材料用于工程之前，承包人应按监理人的要求提供材料样品以供检验。</w:t>
      </w:r>
    </w:p>
    <w:p>
      <w:pPr>
        <w:pStyle w:val="27"/>
        <w:spacing w:beforeLines="50" w:afterLines="50" w:line="420" w:lineRule="exact"/>
        <w:rPr>
          <w:sz w:val="21"/>
          <w:szCs w:val="21"/>
        </w:rPr>
      </w:pPr>
      <w:bookmarkStart w:id="3122" w:name="_Toc282779009"/>
      <w:bookmarkStart w:id="3123" w:name="_Toc22981"/>
      <w:bookmarkStart w:id="3124" w:name="_Toc288491534"/>
      <w:bookmarkStart w:id="3125" w:name="_Toc15160"/>
      <w:bookmarkStart w:id="3126" w:name="_Toc5748"/>
      <w:bookmarkStart w:id="3127" w:name="_Toc282779518"/>
      <w:bookmarkStart w:id="3128" w:name="_Toc288546658"/>
      <w:bookmarkStart w:id="3129" w:name="_Toc152042433"/>
      <w:bookmarkStart w:id="3130" w:name="_Toc283794206"/>
      <w:bookmarkStart w:id="3131" w:name="_Toc16449"/>
      <w:bookmarkStart w:id="3132" w:name="_Toc287853358"/>
      <w:bookmarkStart w:id="3133" w:name="_Toc5259"/>
      <w:bookmarkStart w:id="3134" w:name="_Toc11292"/>
      <w:bookmarkStart w:id="3135" w:name="_Toc282787456"/>
      <w:bookmarkStart w:id="3136" w:name="_Toc126"/>
      <w:bookmarkStart w:id="3137" w:name="_Toc24176"/>
      <w:bookmarkStart w:id="3138" w:name="_Toc152045655"/>
      <w:bookmarkStart w:id="3139" w:name="_Toc144974623"/>
      <w:bookmarkStart w:id="3140" w:name="_Toc15932"/>
      <w:bookmarkStart w:id="3141" w:name="_Toc237923834"/>
      <w:bookmarkStart w:id="3142" w:name="_Toc27183"/>
      <w:bookmarkStart w:id="3143" w:name="_Toc179632673"/>
      <w:bookmarkStart w:id="3144" w:name="_Toc25201"/>
      <w:r>
        <w:rPr>
          <w:rFonts w:hint="eastAsia"/>
          <w:b/>
          <w:sz w:val="21"/>
          <w:szCs w:val="21"/>
        </w:rPr>
        <w:t>5.4</w:t>
      </w:r>
      <w:r>
        <w:rPr>
          <w:rFonts w:hint="eastAsia"/>
          <w:sz w:val="21"/>
          <w:szCs w:val="21"/>
        </w:rPr>
        <w:t xml:space="preserve">  禁止使用不合格的材料和工程设备</w:t>
      </w:r>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p>
    <w:p>
      <w:pPr>
        <w:spacing w:line="420" w:lineRule="exact"/>
        <w:ind w:firstLine="420" w:firstLineChars="200"/>
        <w:rPr>
          <w:szCs w:val="21"/>
        </w:rPr>
      </w:pPr>
      <w:r>
        <w:rPr>
          <w:rFonts w:hint="eastAsia"/>
          <w:szCs w:val="21"/>
        </w:rPr>
        <w:t>5.4.1  监理人有权拒绝承包人提供的不合格材料或工程设备，并要求承包人立即进行更换。监理人应在更换后再次进行检查和检验，由此增加的费用和（或）工期延误由承包人承担。</w:t>
      </w:r>
    </w:p>
    <w:p>
      <w:pPr>
        <w:spacing w:line="420" w:lineRule="exact"/>
        <w:ind w:firstLine="420" w:firstLineChars="200"/>
        <w:rPr>
          <w:szCs w:val="21"/>
        </w:rPr>
      </w:pPr>
      <w:r>
        <w:rPr>
          <w:rFonts w:hint="eastAsia"/>
          <w:szCs w:val="21"/>
        </w:rPr>
        <w:t>5.4.2  监理人发现承包人使用了不合格的材料和工程设备，应即时发出指示要求承包人立即改正，并禁止在工程中继续使用不合格的材料和工程设备。</w:t>
      </w:r>
    </w:p>
    <w:p>
      <w:pPr>
        <w:spacing w:line="420" w:lineRule="exact"/>
        <w:ind w:firstLine="420" w:firstLineChars="200"/>
        <w:rPr>
          <w:szCs w:val="21"/>
        </w:rPr>
      </w:pPr>
      <w:r>
        <w:rPr>
          <w:rFonts w:hint="eastAsia"/>
          <w:szCs w:val="21"/>
        </w:rPr>
        <w:t>5.4.3  发包人提供的材料或工程设备不符合合同要求的，承包人有权拒绝，并可要求发包人更换，由此增加的费用和（或）工期延误由发包人承担。</w:t>
      </w:r>
    </w:p>
    <w:p>
      <w:pPr>
        <w:pStyle w:val="28"/>
        <w:spacing w:beforeLines="50" w:afterLines="50" w:line="420" w:lineRule="exact"/>
        <w:rPr>
          <w:szCs w:val="28"/>
        </w:rPr>
      </w:pPr>
      <w:bookmarkStart w:id="3145" w:name="_Toc19466"/>
      <w:bookmarkStart w:id="3146" w:name="_Toc282779010"/>
      <w:bookmarkStart w:id="3147" w:name="_Toc16942"/>
      <w:bookmarkStart w:id="3148" w:name="_Toc282779519"/>
      <w:bookmarkStart w:id="3149" w:name="_Toc14533"/>
      <w:bookmarkStart w:id="3150" w:name="_Toc1604"/>
      <w:bookmarkStart w:id="3151" w:name="_Toc152045656"/>
      <w:bookmarkStart w:id="3152" w:name="_Toc13741"/>
      <w:bookmarkStart w:id="3153" w:name="_Toc144974624"/>
      <w:bookmarkStart w:id="3154" w:name="_Toc237923835"/>
      <w:bookmarkStart w:id="3155" w:name="_Toc288546659"/>
      <w:bookmarkStart w:id="3156" w:name="_Toc288491535"/>
      <w:bookmarkStart w:id="3157" w:name="_Toc13928"/>
      <w:bookmarkStart w:id="3158" w:name="_Toc282787457"/>
      <w:bookmarkStart w:id="3159" w:name="_Toc7711"/>
      <w:bookmarkStart w:id="3160" w:name="_Toc32116"/>
      <w:bookmarkStart w:id="3161" w:name="_Toc283794207"/>
      <w:bookmarkStart w:id="3162" w:name="_Toc9863"/>
      <w:bookmarkStart w:id="3163" w:name="_Toc32458"/>
      <w:bookmarkStart w:id="3164" w:name="_Toc287853359"/>
      <w:bookmarkStart w:id="3165" w:name="_Toc152042434"/>
      <w:bookmarkStart w:id="3166" w:name="_Toc179632674"/>
      <w:bookmarkStart w:id="3167" w:name="_Toc29502"/>
      <w:r>
        <w:rPr>
          <w:rFonts w:hint="eastAsia"/>
          <w:szCs w:val="28"/>
        </w:rPr>
        <w:t>6．施工设备和临时设施</w:t>
      </w:r>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p>
    <w:p>
      <w:pPr>
        <w:pStyle w:val="27"/>
        <w:spacing w:beforeLines="50" w:afterLines="50" w:line="420" w:lineRule="exact"/>
        <w:rPr>
          <w:sz w:val="21"/>
          <w:szCs w:val="21"/>
        </w:rPr>
      </w:pPr>
      <w:bookmarkStart w:id="3168" w:name="_Toc283794208"/>
      <w:bookmarkStart w:id="3169" w:name="_Toc9969"/>
      <w:bookmarkStart w:id="3170" w:name="_Toc27257"/>
      <w:bookmarkStart w:id="3171" w:name="_Toc282779520"/>
      <w:bookmarkStart w:id="3172" w:name="_Toc282787458"/>
      <w:bookmarkStart w:id="3173" w:name="_Toc282779011"/>
      <w:bookmarkStart w:id="3174" w:name="_Toc16457"/>
      <w:bookmarkStart w:id="3175" w:name="_Toc288491536"/>
      <w:bookmarkStart w:id="3176" w:name="_Toc237923836"/>
      <w:bookmarkStart w:id="3177" w:name="_Toc20921"/>
      <w:bookmarkStart w:id="3178" w:name="_Toc152042435"/>
      <w:bookmarkStart w:id="3179" w:name="_Toc288546660"/>
      <w:bookmarkStart w:id="3180" w:name="_Toc27648"/>
      <w:bookmarkStart w:id="3181" w:name="_Toc287853360"/>
      <w:bookmarkStart w:id="3182" w:name="_Toc24223"/>
      <w:bookmarkStart w:id="3183" w:name="_Toc29565"/>
      <w:bookmarkStart w:id="3184" w:name="_Toc18867"/>
      <w:bookmarkStart w:id="3185" w:name="_Toc16464"/>
      <w:bookmarkStart w:id="3186" w:name="_Toc152045657"/>
      <w:bookmarkStart w:id="3187" w:name="_Toc179632675"/>
      <w:bookmarkStart w:id="3188" w:name="_Toc144974625"/>
      <w:bookmarkStart w:id="3189" w:name="_Toc9962"/>
      <w:bookmarkStart w:id="3190" w:name="_Toc24813"/>
      <w:r>
        <w:rPr>
          <w:rFonts w:hint="eastAsia"/>
          <w:b/>
          <w:sz w:val="21"/>
          <w:szCs w:val="21"/>
        </w:rPr>
        <w:t>6.1</w:t>
      </w:r>
      <w:r>
        <w:rPr>
          <w:rFonts w:hint="eastAsia"/>
          <w:sz w:val="21"/>
          <w:szCs w:val="21"/>
        </w:rPr>
        <w:t xml:space="preserve">  承包人提供的施工设备和临时设施</w:t>
      </w:r>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p>
    <w:p>
      <w:pPr>
        <w:spacing w:line="420" w:lineRule="exact"/>
        <w:ind w:firstLine="420" w:firstLineChars="200"/>
        <w:rPr>
          <w:szCs w:val="21"/>
        </w:rPr>
      </w:pPr>
      <w:r>
        <w:rPr>
          <w:rFonts w:hint="eastAsia"/>
          <w:szCs w:val="21"/>
        </w:rPr>
        <w:t>6.1.1  承包人应按合同进度计划的要求，及时配置施工设备和修建临时设施。进入施工场地的承包人设备需经监理人核查后才能投入使用。承包人更换合同约定的承包人设备的，应报监理人批准。</w:t>
      </w:r>
    </w:p>
    <w:p>
      <w:pPr>
        <w:spacing w:line="420" w:lineRule="exact"/>
        <w:ind w:firstLine="420" w:firstLineChars="200"/>
        <w:rPr>
          <w:szCs w:val="21"/>
        </w:rPr>
      </w:pPr>
      <w:r>
        <w:rPr>
          <w:rFonts w:hint="eastAsia"/>
          <w:szCs w:val="21"/>
        </w:rPr>
        <w:t>6.1.2  除专用合同条款另有约定外，承包人应自行承担修建临时设施的费用，需要临时占地的，应由发包人办理申请手续并承担相应费用。</w:t>
      </w:r>
    </w:p>
    <w:p>
      <w:pPr>
        <w:pStyle w:val="27"/>
        <w:spacing w:beforeLines="50" w:afterLines="50" w:line="420" w:lineRule="exact"/>
        <w:rPr>
          <w:sz w:val="21"/>
          <w:szCs w:val="21"/>
        </w:rPr>
      </w:pPr>
      <w:bookmarkStart w:id="3191" w:name="_Toc26951"/>
      <w:bookmarkStart w:id="3192" w:name="_Toc31630"/>
      <w:bookmarkStart w:id="3193" w:name="_Toc179632676"/>
      <w:bookmarkStart w:id="3194" w:name="_Toc31962"/>
      <w:bookmarkStart w:id="3195" w:name="_Toc288491537"/>
      <w:bookmarkStart w:id="3196" w:name="_Toc282787459"/>
      <w:bookmarkStart w:id="3197" w:name="_Toc283794209"/>
      <w:bookmarkStart w:id="3198" w:name="_Toc282779012"/>
      <w:bookmarkStart w:id="3199" w:name="_Toc144974626"/>
      <w:bookmarkStart w:id="3200" w:name="_Toc2464"/>
      <w:bookmarkStart w:id="3201" w:name="_Toc10527"/>
      <w:bookmarkStart w:id="3202" w:name="_Toc21953"/>
      <w:bookmarkStart w:id="3203" w:name="_Toc10479"/>
      <w:bookmarkStart w:id="3204" w:name="_Toc237923837"/>
      <w:bookmarkStart w:id="3205" w:name="_Toc287853361"/>
      <w:bookmarkStart w:id="3206" w:name="_Toc15460"/>
      <w:bookmarkStart w:id="3207" w:name="_Toc152045658"/>
      <w:bookmarkStart w:id="3208" w:name="_Toc14897"/>
      <w:bookmarkStart w:id="3209" w:name="_Toc288546661"/>
      <w:bookmarkStart w:id="3210" w:name="_Toc15137"/>
      <w:bookmarkStart w:id="3211" w:name="_Toc739"/>
      <w:bookmarkStart w:id="3212" w:name="_Toc152042436"/>
      <w:bookmarkStart w:id="3213" w:name="_Toc282779521"/>
      <w:r>
        <w:rPr>
          <w:rFonts w:hint="eastAsia"/>
          <w:b/>
          <w:sz w:val="21"/>
          <w:szCs w:val="21"/>
        </w:rPr>
        <w:t>6.2</w:t>
      </w:r>
      <w:r>
        <w:rPr>
          <w:rFonts w:hint="eastAsia"/>
          <w:sz w:val="21"/>
          <w:szCs w:val="21"/>
        </w:rPr>
        <w:t xml:space="preserve">  发包人提供的施工设备和临时设施</w:t>
      </w:r>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p>
    <w:p>
      <w:pPr>
        <w:spacing w:line="420" w:lineRule="exact"/>
        <w:ind w:firstLine="420" w:firstLineChars="200"/>
        <w:rPr>
          <w:szCs w:val="21"/>
        </w:rPr>
      </w:pPr>
      <w:r>
        <w:rPr>
          <w:rFonts w:hint="eastAsia"/>
          <w:szCs w:val="21"/>
        </w:rPr>
        <w:t>发包人提供的施工设备或临时设施在专用合同条款中约定。</w:t>
      </w:r>
    </w:p>
    <w:p>
      <w:pPr>
        <w:pStyle w:val="27"/>
        <w:spacing w:beforeLines="50" w:afterLines="50" w:line="420" w:lineRule="exact"/>
        <w:rPr>
          <w:sz w:val="21"/>
          <w:szCs w:val="21"/>
        </w:rPr>
      </w:pPr>
      <w:bookmarkStart w:id="3214" w:name="_Toc32047"/>
      <w:bookmarkStart w:id="3215" w:name="_Toc9454"/>
      <w:bookmarkStart w:id="3216" w:name="_Toc25729"/>
      <w:bookmarkStart w:id="3217" w:name="_Toc282779522"/>
      <w:bookmarkStart w:id="3218" w:name="_Toc287853362"/>
      <w:bookmarkStart w:id="3219" w:name="_Toc144974627"/>
      <w:bookmarkStart w:id="3220" w:name="_Toc283794210"/>
      <w:bookmarkStart w:id="3221" w:name="_Toc50"/>
      <w:bookmarkStart w:id="3222" w:name="_Toc21826"/>
      <w:bookmarkStart w:id="3223" w:name="_Toc7046"/>
      <w:bookmarkStart w:id="3224" w:name="_Toc152042437"/>
      <w:bookmarkStart w:id="3225" w:name="_Toc288491538"/>
      <w:bookmarkStart w:id="3226" w:name="_Toc21761"/>
      <w:bookmarkStart w:id="3227" w:name="_Toc21411"/>
      <w:bookmarkStart w:id="3228" w:name="_Toc237923838"/>
      <w:bookmarkStart w:id="3229" w:name="_Toc152045659"/>
      <w:bookmarkStart w:id="3230" w:name="_Toc282779013"/>
      <w:bookmarkStart w:id="3231" w:name="_Toc288546662"/>
      <w:bookmarkStart w:id="3232" w:name="_Toc282787460"/>
      <w:bookmarkStart w:id="3233" w:name="_Toc846"/>
      <w:bookmarkStart w:id="3234" w:name="_Toc7155"/>
      <w:bookmarkStart w:id="3235" w:name="_Toc59"/>
      <w:bookmarkStart w:id="3236" w:name="_Toc179632677"/>
      <w:r>
        <w:rPr>
          <w:rFonts w:hint="eastAsia"/>
          <w:b/>
          <w:sz w:val="21"/>
          <w:szCs w:val="21"/>
        </w:rPr>
        <w:t>6.3</w:t>
      </w:r>
      <w:r>
        <w:rPr>
          <w:rFonts w:hint="eastAsia"/>
          <w:sz w:val="21"/>
          <w:szCs w:val="21"/>
        </w:rPr>
        <w:t xml:space="preserve">  要求承包人增加或更换施工设备</w:t>
      </w:r>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p>
    <w:p>
      <w:pPr>
        <w:spacing w:line="420" w:lineRule="exact"/>
        <w:ind w:firstLine="420" w:firstLineChars="200"/>
        <w:rPr>
          <w:szCs w:val="21"/>
        </w:rPr>
      </w:pPr>
      <w:r>
        <w:rPr>
          <w:rFonts w:hint="eastAsia"/>
          <w:szCs w:val="21"/>
        </w:rPr>
        <w:t>承包人使用的施工设备不能满足合同进度计划和（或）质量要求时，监理人有权要求承包人增加或更换施工设备，承包人应及时增加或更换，由此增加的费用和（或）工期延误由承包人承担。</w:t>
      </w:r>
    </w:p>
    <w:p>
      <w:pPr>
        <w:pStyle w:val="27"/>
        <w:spacing w:beforeLines="50" w:afterLines="50" w:line="420" w:lineRule="exact"/>
        <w:rPr>
          <w:sz w:val="21"/>
          <w:szCs w:val="21"/>
        </w:rPr>
      </w:pPr>
      <w:bookmarkStart w:id="3237" w:name="_Toc664"/>
      <w:bookmarkStart w:id="3238" w:name="_Toc31738"/>
      <w:bookmarkStart w:id="3239" w:name="_Toc282787461"/>
      <w:bookmarkStart w:id="3240" w:name="_Toc24540"/>
      <w:bookmarkStart w:id="3241" w:name="_Toc30244"/>
      <w:bookmarkStart w:id="3242" w:name="_Toc2629"/>
      <w:bookmarkStart w:id="3243" w:name="_Toc144974628"/>
      <w:bookmarkStart w:id="3244" w:name="_Toc1492"/>
      <w:bookmarkStart w:id="3245" w:name="_Toc282779014"/>
      <w:bookmarkStart w:id="3246" w:name="_Toc288491539"/>
      <w:bookmarkStart w:id="3247" w:name="_Toc237923839"/>
      <w:bookmarkStart w:id="3248" w:name="_Toc283794211"/>
      <w:bookmarkStart w:id="3249" w:name="_Toc11190"/>
      <w:bookmarkStart w:id="3250" w:name="_Toc152042438"/>
      <w:bookmarkStart w:id="3251" w:name="_Toc179632678"/>
      <w:bookmarkStart w:id="3252" w:name="_Toc288546663"/>
      <w:bookmarkStart w:id="3253" w:name="_Toc30509"/>
      <w:bookmarkStart w:id="3254" w:name="_Toc30992"/>
      <w:bookmarkStart w:id="3255" w:name="_Toc2807"/>
      <w:bookmarkStart w:id="3256" w:name="_Toc152045660"/>
      <w:bookmarkStart w:id="3257" w:name="_Toc287853363"/>
      <w:bookmarkStart w:id="3258" w:name="_Toc22776"/>
      <w:bookmarkStart w:id="3259" w:name="_Toc282779523"/>
      <w:r>
        <w:rPr>
          <w:rFonts w:hint="eastAsia"/>
          <w:b/>
          <w:sz w:val="21"/>
          <w:szCs w:val="21"/>
        </w:rPr>
        <w:t>6.4</w:t>
      </w:r>
      <w:r>
        <w:rPr>
          <w:rFonts w:hint="eastAsia"/>
          <w:sz w:val="21"/>
          <w:szCs w:val="21"/>
        </w:rPr>
        <w:t xml:space="preserve">  施工设备和临时设施专用于合同工程</w:t>
      </w:r>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p>
    <w:p>
      <w:pPr>
        <w:spacing w:line="420" w:lineRule="exact"/>
        <w:ind w:firstLine="420" w:firstLineChars="200"/>
        <w:rPr>
          <w:szCs w:val="21"/>
        </w:rPr>
      </w:pPr>
      <w:r>
        <w:rPr>
          <w:rFonts w:hint="eastAsia"/>
          <w:szCs w:val="21"/>
        </w:rPr>
        <w:t>6.4.1  除合同另有约定外，运入施工场地的所有施工设备以及在施工场地建设的临时设施应专用于合同工程。未经监理人同意，不得将上述施工设备和临时设施中的任何部分运出施工场地或挪作他用。</w:t>
      </w:r>
    </w:p>
    <w:p>
      <w:pPr>
        <w:spacing w:line="420" w:lineRule="exact"/>
        <w:ind w:firstLine="420" w:firstLineChars="200"/>
        <w:rPr>
          <w:szCs w:val="21"/>
        </w:rPr>
      </w:pPr>
      <w:r>
        <w:rPr>
          <w:rFonts w:hint="eastAsia"/>
          <w:szCs w:val="21"/>
        </w:rPr>
        <w:t>6.4.2  经监理人同意，承包人可根据合同进度计划撤走闲置的施工设备。</w:t>
      </w:r>
    </w:p>
    <w:p>
      <w:pPr>
        <w:pStyle w:val="28"/>
        <w:spacing w:beforeLines="50" w:afterLines="50" w:line="420" w:lineRule="exact"/>
        <w:rPr>
          <w:szCs w:val="28"/>
        </w:rPr>
      </w:pPr>
      <w:bookmarkStart w:id="3260" w:name="_Toc282779015"/>
      <w:bookmarkStart w:id="3261" w:name="_Toc11562"/>
      <w:bookmarkStart w:id="3262" w:name="_Toc7131"/>
      <w:bookmarkStart w:id="3263" w:name="_Toc32639"/>
      <w:bookmarkStart w:id="3264" w:name="_Toc20615"/>
      <w:bookmarkStart w:id="3265" w:name="_Toc237923840"/>
      <w:bookmarkStart w:id="3266" w:name="_Toc24063"/>
      <w:bookmarkStart w:id="3267" w:name="_Toc575"/>
      <w:bookmarkStart w:id="3268" w:name="_Toc283794212"/>
      <w:bookmarkStart w:id="3269" w:name="_Toc152045661"/>
      <w:bookmarkStart w:id="3270" w:name="_Toc288491540"/>
      <w:bookmarkStart w:id="3271" w:name="_Toc20645"/>
      <w:bookmarkStart w:id="3272" w:name="_Toc179632679"/>
      <w:bookmarkStart w:id="3273" w:name="_Toc31856"/>
      <w:bookmarkStart w:id="3274" w:name="_Toc144974629"/>
      <w:bookmarkStart w:id="3275" w:name="_Toc152042439"/>
      <w:bookmarkStart w:id="3276" w:name="_Toc282779524"/>
      <w:bookmarkStart w:id="3277" w:name="_Toc5696"/>
      <w:bookmarkStart w:id="3278" w:name="_Toc288546664"/>
      <w:bookmarkStart w:id="3279" w:name="_Toc27533"/>
      <w:bookmarkStart w:id="3280" w:name="_Toc282787462"/>
      <w:bookmarkStart w:id="3281" w:name="_Toc2339"/>
      <w:bookmarkStart w:id="3282" w:name="_Toc287853364"/>
      <w:r>
        <w:rPr>
          <w:rFonts w:hint="eastAsia"/>
          <w:szCs w:val="28"/>
        </w:rPr>
        <w:t>7. 交通运输</w:t>
      </w:r>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p>
    <w:p>
      <w:pPr>
        <w:pStyle w:val="27"/>
        <w:spacing w:beforeLines="50" w:afterLines="50" w:line="420" w:lineRule="exact"/>
        <w:rPr>
          <w:sz w:val="21"/>
          <w:szCs w:val="21"/>
        </w:rPr>
      </w:pPr>
      <w:bookmarkStart w:id="3283" w:name="_Toc4517"/>
      <w:bookmarkStart w:id="3284" w:name="_Toc237923841"/>
      <w:bookmarkStart w:id="3285" w:name="_Toc2682"/>
      <w:bookmarkStart w:id="3286" w:name="_Toc3167"/>
      <w:bookmarkStart w:id="3287" w:name="_Toc179632680"/>
      <w:bookmarkStart w:id="3288" w:name="_Toc288546665"/>
      <w:bookmarkStart w:id="3289" w:name="_Toc152042440"/>
      <w:bookmarkStart w:id="3290" w:name="_Toc13590"/>
      <w:bookmarkStart w:id="3291" w:name="_Toc288491541"/>
      <w:bookmarkStart w:id="3292" w:name="_Toc282779525"/>
      <w:bookmarkStart w:id="3293" w:name="_Toc25211"/>
      <w:bookmarkStart w:id="3294" w:name="_Toc283794213"/>
      <w:bookmarkStart w:id="3295" w:name="_Toc6566"/>
      <w:bookmarkStart w:id="3296" w:name="_Toc282787463"/>
      <w:bookmarkStart w:id="3297" w:name="_Toc152045662"/>
      <w:bookmarkStart w:id="3298" w:name="_Toc23030"/>
      <w:bookmarkStart w:id="3299" w:name="_Toc144974630"/>
      <w:bookmarkStart w:id="3300" w:name="_Toc12339"/>
      <w:bookmarkStart w:id="3301" w:name="_Toc282779016"/>
      <w:bookmarkStart w:id="3302" w:name="_Toc18520"/>
      <w:bookmarkStart w:id="3303" w:name="_Toc13381"/>
      <w:bookmarkStart w:id="3304" w:name="_Toc287853365"/>
      <w:bookmarkStart w:id="3305" w:name="_Toc2259"/>
      <w:r>
        <w:rPr>
          <w:rFonts w:hint="eastAsia"/>
          <w:b/>
          <w:sz w:val="21"/>
          <w:szCs w:val="21"/>
        </w:rPr>
        <w:t>7.1</w:t>
      </w:r>
      <w:r>
        <w:rPr>
          <w:rFonts w:hint="eastAsia"/>
          <w:sz w:val="21"/>
          <w:szCs w:val="21"/>
        </w:rPr>
        <w:t xml:space="preserve">  道路通行权和场外设施</w:t>
      </w:r>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p>
    <w:p>
      <w:pPr>
        <w:spacing w:line="420" w:lineRule="exact"/>
        <w:ind w:firstLine="420" w:firstLineChars="200"/>
        <w:rPr>
          <w:szCs w:val="21"/>
        </w:rPr>
      </w:pPr>
      <w:r>
        <w:rPr>
          <w:rFonts w:hint="eastAsia"/>
          <w:szCs w:val="21"/>
        </w:rPr>
        <w:t>除专用合同条款另有约定外，发包人应根据合同工程的施工需要，负责办理取得出入施工场地的专用和临时道路的通行权，以及取得为工程建设所需修建场外设施的权利，并承担有关费用。承包人应协助发包人办理上述手续。</w:t>
      </w:r>
    </w:p>
    <w:p>
      <w:pPr>
        <w:pStyle w:val="27"/>
        <w:spacing w:beforeLines="50" w:afterLines="50" w:line="420" w:lineRule="exact"/>
        <w:rPr>
          <w:sz w:val="21"/>
          <w:szCs w:val="21"/>
        </w:rPr>
      </w:pPr>
      <w:bookmarkStart w:id="3306" w:name="_Toc14824"/>
      <w:bookmarkStart w:id="3307" w:name="_Toc27679"/>
      <w:bookmarkStart w:id="3308" w:name="_Toc15064"/>
      <w:bookmarkStart w:id="3309" w:name="_Toc283794214"/>
      <w:bookmarkStart w:id="3310" w:name="_Toc288491542"/>
      <w:bookmarkStart w:id="3311" w:name="_Toc11483"/>
      <w:bookmarkStart w:id="3312" w:name="_Toc152042441"/>
      <w:bookmarkStart w:id="3313" w:name="_Toc144974631"/>
      <w:bookmarkStart w:id="3314" w:name="_Toc7652"/>
      <w:bookmarkStart w:id="3315" w:name="_Toc287853366"/>
      <w:bookmarkStart w:id="3316" w:name="_Toc6504"/>
      <w:bookmarkStart w:id="3317" w:name="_Toc282787464"/>
      <w:bookmarkStart w:id="3318" w:name="_Toc6937"/>
      <w:bookmarkStart w:id="3319" w:name="_Toc12157"/>
      <w:bookmarkStart w:id="3320" w:name="_Toc152045663"/>
      <w:bookmarkStart w:id="3321" w:name="_Toc27767"/>
      <w:bookmarkStart w:id="3322" w:name="_Toc282779017"/>
      <w:bookmarkStart w:id="3323" w:name="_Toc179632681"/>
      <w:bookmarkStart w:id="3324" w:name="_Toc288546666"/>
      <w:bookmarkStart w:id="3325" w:name="_Toc20765"/>
      <w:bookmarkStart w:id="3326" w:name="_Toc1146"/>
      <w:bookmarkStart w:id="3327" w:name="_Toc282779526"/>
      <w:bookmarkStart w:id="3328" w:name="_Toc237923842"/>
      <w:r>
        <w:rPr>
          <w:rFonts w:hint="eastAsia"/>
          <w:b/>
          <w:sz w:val="21"/>
          <w:szCs w:val="21"/>
        </w:rPr>
        <w:t>7.2</w:t>
      </w:r>
      <w:r>
        <w:rPr>
          <w:rFonts w:hint="eastAsia"/>
          <w:sz w:val="21"/>
          <w:szCs w:val="21"/>
        </w:rPr>
        <w:t xml:space="preserve">  场内施工道路</w:t>
      </w:r>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p>
    <w:p>
      <w:pPr>
        <w:spacing w:line="420" w:lineRule="exact"/>
        <w:ind w:firstLine="420" w:firstLineChars="200"/>
        <w:rPr>
          <w:szCs w:val="21"/>
        </w:rPr>
      </w:pPr>
      <w:r>
        <w:rPr>
          <w:rFonts w:hint="eastAsia"/>
          <w:szCs w:val="21"/>
        </w:rPr>
        <w:t>7.2.1  除专用合同条款另有约定外，承包人应负责修建、维修、养护和管理施工所需的临时道路和交通设施，包括维修、养护和管理发包人提供的道路和交通设施，并承担相应费用。</w:t>
      </w:r>
    </w:p>
    <w:p>
      <w:pPr>
        <w:spacing w:line="420" w:lineRule="exact"/>
        <w:ind w:firstLine="420" w:firstLineChars="200"/>
        <w:rPr>
          <w:szCs w:val="21"/>
        </w:rPr>
      </w:pPr>
      <w:r>
        <w:rPr>
          <w:rFonts w:hint="eastAsia"/>
          <w:szCs w:val="21"/>
        </w:rPr>
        <w:t>7.2.2  除专用合同条款另有约定外，承包人修建的临时道路和交通设施应免费提供发包人和监理人使用。</w:t>
      </w:r>
    </w:p>
    <w:p>
      <w:pPr>
        <w:pStyle w:val="27"/>
        <w:spacing w:beforeLines="50" w:afterLines="50" w:line="420" w:lineRule="exact"/>
        <w:rPr>
          <w:sz w:val="21"/>
          <w:szCs w:val="21"/>
        </w:rPr>
      </w:pPr>
      <w:bookmarkStart w:id="3329" w:name="_Toc13614"/>
      <w:bookmarkStart w:id="3330" w:name="_Toc3382"/>
      <w:bookmarkStart w:id="3331" w:name="_Toc4649"/>
      <w:bookmarkStart w:id="3332" w:name="_Toc152045664"/>
      <w:bookmarkStart w:id="3333" w:name="_Toc288546667"/>
      <w:bookmarkStart w:id="3334" w:name="_Toc282779527"/>
      <w:bookmarkStart w:id="3335" w:name="_Toc6891"/>
      <w:bookmarkStart w:id="3336" w:name="_Toc5404"/>
      <w:bookmarkStart w:id="3337" w:name="_Toc288491543"/>
      <w:bookmarkStart w:id="3338" w:name="_Toc2502"/>
      <w:bookmarkStart w:id="3339" w:name="_Toc282779018"/>
      <w:bookmarkStart w:id="3340" w:name="_Toc7791"/>
      <w:bookmarkStart w:id="3341" w:name="_Toc152042442"/>
      <w:bookmarkStart w:id="3342" w:name="_Toc287853367"/>
      <w:bookmarkStart w:id="3343" w:name="_Toc19581"/>
      <w:bookmarkStart w:id="3344" w:name="_Toc144974632"/>
      <w:bookmarkStart w:id="3345" w:name="_Toc283794215"/>
      <w:bookmarkStart w:id="3346" w:name="_Toc282787465"/>
      <w:bookmarkStart w:id="3347" w:name="_Toc179632682"/>
      <w:bookmarkStart w:id="3348" w:name="_Toc32534"/>
      <w:bookmarkStart w:id="3349" w:name="_Toc237923843"/>
      <w:bookmarkStart w:id="3350" w:name="_Toc22422"/>
      <w:bookmarkStart w:id="3351" w:name="_Toc4452"/>
      <w:r>
        <w:rPr>
          <w:rFonts w:hint="eastAsia"/>
          <w:b/>
          <w:sz w:val="21"/>
          <w:szCs w:val="21"/>
        </w:rPr>
        <w:t>7.3</w:t>
      </w:r>
      <w:r>
        <w:rPr>
          <w:rFonts w:hint="eastAsia"/>
          <w:sz w:val="21"/>
          <w:szCs w:val="21"/>
        </w:rPr>
        <w:t xml:space="preserve">  场外交通</w:t>
      </w:r>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p>
    <w:p>
      <w:pPr>
        <w:spacing w:line="420" w:lineRule="exact"/>
        <w:ind w:firstLine="420" w:firstLineChars="200"/>
        <w:rPr>
          <w:szCs w:val="21"/>
        </w:rPr>
      </w:pPr>
      <w:r>
        <w:rPr>
          <w:rFonts w:hint="eastAsia"/>
          <w:szCs w:val="21"/>
        </w:rPr>
        <w:t>7.3.1  承包人车辆外出行驶所需的场外公共道路的通行费、养路费和税款等由承包人承担。</w:t>
      </w:r>
    </w:p>
    <w:p>
      <w:pPr>
        <w:spacing w:line="420" w:lineRule="exact"/>
        <w:ind w:firstLine="420" w:firstLineChars="200"/>
        <w:rPr>
          <w:szCs w:val="21"/>
        </w:rPr>
      </w:pPr>
      <w:r>
        <w:rPr>
          <w:rFonts w:hint="eastAsia"/>
          <w:szCs w:val="21"/>
        </w:rPr>
        <w:t>7.3.2  承包人应遵守有关交通法规，严格按照道路和桥梁的限制荷重安全行驶，并服从交通管理部门的检查和监督。</w:t>
      </w:r>
    </w:p>
    <w:p>
      <w:pPr>
        <w:pStyle w:val="27"/>
        <w:spacing w:beforeLines="50" w:afterLines="50" w:line="420" w:lineRule="exact"/>
        <w:rPr>
          <w:sz w:val="21"/>
          <w:szCs w:val="21"/>
        </w:rPr>
      </w:pPr>
      <w:bookmarkStart w:id="3352" w:name="_Toc282779528"/>
      <w:bookmarkStart w:id="3353" w:name="_Toc288491544"/>
      <w:bookmarkStart w:id="3354" w:name="_Toc20389"/>
      <w:bookmarkStart w:id="3355" w:name="_Toc152042443"/>
      <w:bookmarkStart w:id="3356" w:name="_Toc283794216"/>
      <w:bookmarkStart w:id="3357" w:name="_Toc22915"/>
      <w:bookmarkStart w:id="3358" w:name="_Toc144974633"/>
      <w:bookmarkStart w:id="3359" w:name="_Toc152045665"/>
      <w:bookmarkStart w:id="3360" w:name="_Toc32353"/>
      <w:bookmarkStart w:id="3361" w:name="_Toc282779019"/>
      <w:bookmarkStart w:id="3362" w:name="_Toc13006"/>
      <w:bookmarkStart w:id="3363" w:name="_Toc237923844"/>
      <w:bookmarkStart w:id="3364" w:name="_Toc282787466"/>
      <w:bookmarkStart w:id="3365" w:name="_Toc179632683"/>
      <w:bookmarkStart w:id="3366" w:name="_Toc14409"/>
      <w:bookmarkStart w:id="3367" w:name="_Toc29088"/>
      <w:bookmarkStart w:id="3368" w:name="_Toc22448"/>
      <w:bookmarkStart w:id="3369" w:name="_Toc288546668"/>
      <w:bookmarkStart w:id="3370" w:name="_Toc27537"/>
      <w:bookmarkStart w:id="3371" w:name="_Toc30635"/>
      <w:bookmarkStart w:id="3372" w:name="_Toc287853368"/>
      <w:bookmarkStart w:id="3373" w:name="_Toc30253"/>
      <w:bookmarkStart w:id="3374" w:name="_Toc20496"/>
      <w:r>
        <w:rPr>
          <w:rFonts w:hint="eastAsia"/>
          <w:b/>
          <w:sz w:val="21"/>
          <w:szCs w:val="21"/>
        </w:rPr>
        <w:t>7.4</w:t>
      </w:r>
      <w:r>
        <w:rPr>
          <w:rFonts w:hint="eastAsia"/>
          <w:sz w:val="21"/>
          <w:szCs w:val="21"/>
        </w:rPr>
        <w:t xml:space="preserve">  超大件和超重件的运输</w:t>
      </w:r>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p>
    <w:p>
      <w:pPr>
        <w:spacing w:line="420" w:lineRule="exact"/>
        <w:ind w:firstLine="420" w:firstLineChars="200"/>
        <w:rPr>
          <w:szCs w:val="21"/>
        </w:rPr>
      </w:pPr>
      <w:r>
        <w:rPr>
          <w:rFonts w:hint="eastAsia"/>
          <w:szCs w:val="21"/>
        </w:rPr>
        <w:t>由承包人负责运输的超大件或超重件，应由承包人负责向交通管理部门办理申请手续，发包人给予协助。运输超大件或超重件所需的道路和桥梁临时加固改造费用和其它有关费用，由承包人承担，但专用合同条款另有约定除外。</w:t>
      </w:r>
    </w:p>
    <w:p>
      <w:pPr>
        <w:pStyle w:val="27"/>
        <w:spacing w:beforeLines="50" w:afterLines="50" w:line="420" w:lineRule="exact"/>
        <w:rPr>
          <w:sz w:val="21"/>
          <w:szCs w:val="21"/>
        </w:rPr>
      </w:pPr>
      <w:bookmarkStart w:id="3375" w:name="_Toc24332"/>
      <w:bookmarkStart w:id="3376" w:name="_Toc152045666"/>
      <w:bookmarkStart w:id="3377" w:name="_Toc7001"/>
      <w:bookmarkStart w:id="3378" w:name="_Toc22166"/>
      <w:bookmarkStart w:id="3379" w:name="_Toc144974634"/>
      <w:bookmarkStart w:id="3380" w:name="_Toc10234"/>
      <w:bookmarkStart w:id="3381" w:name="_Toc179632684"/>
      <w:bookmarkStart w:id="3382" w:name="_Toc288491545"/>
      <w:bookmarkStart w:id="3383" w:name="_Toc22498"/>
      <w:bookmarkStart w:id="3384" w:name="_Toc288546669"/>
      <w:bookmarkStart w:id="3385" w:name="_Toc287853369"/>
      <w:bookmarkStart w:id="3386" w:name="_Toc5913"/>
      <w:bookmarkStart w:id="3387" w:name="_Toc282779020"/>
      <w:bookmarkStart w:id="3388" w:name="_Toc18711"/>
      <w:bookmarkStart w:id="3389" w:name="_Toc11983"/>
      <w:bookmarkStart w:id="3390" w:name="_Toc152042444"/>
      <w:bookmarkStart w:id="3391" w:name="_Toc282779529"/>
      <w:bookmarkStart w:id="3392" w:name="_Toc8748"/>
      <w:bookmarkStart w:id="3393" w:name="_Toc283794217"/>
      <w:bookmarkStart w:id="3394" w:name="_Toc20761"/>
      <w:bookmarkStart w:id="3395" w:name="_Toc237923845"/>
      <w:bookmarkStart w:id="3396" w:name="_Toc282787467"/>
      <w:bookmarkStart w:id="3397" w:name="_Toc1809"/>
      <w:r>
        <w:rPr>
          <w:rFonts w:hint="eastAsia"/>
          <w:b/>
          <w:sz w:val="21"/>
          <w:szCs w:val="21"/>
        </w:rPr>
        <w:t xml:space="preserve">7.5 </w:t>
      </w:r>
      <w:r>
        <w:rPr>
          <w:rFonts w:hint="eastAsia"/>
          <w:sz w:val="21"/>
          <w:szCs w:val="21"/>
        </w:rPr>
        <w:t xml:space="preserve"> 道路和桥梁的损坏责任</w:t>
      </w:r>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p>
    <w:p>
      <w:pPr>
        <w:spacing w:line="420" w:lineRule="exact"/>
        <w:ind w:firstLine="420" w:firstLineChars="200"/>
        <w:rPr>
          <w:szCs w:val="21"/>
        </w:rPr>
      </w:pPr>
      <w:r>
        <w:rPr>
          <w:rFonts w:hint="eastAsia"/>
          <w:szCs w:val="21"/>
        </w:rPr>
        <w:t>因承包人运输造成施工场地内外公共道路和桥梁损坏的，由承包人承担修复损坏的全部费用和可能引起的赔偿。</w:t>
      </w:r>
    </w:p>
    <w:p>
      <w:pPr>
        <w:pStyle w:val="27"/>
        <w:spacing w:beforeLines="50" w:afterLines="50" w:line="420" w:lineRule="exact"/>
        <w:rPr>
          <w:sz w:val="21"/>
          <w:szCs w:val="21"/>
        </w:rPr>
      </w:pPr>
      <w:bookmarkStart w:id="3398" w:name="_Toc144974635"/>
      <w:bookmarkStart w:id="3399" w:name="_Toc288546670"/>
      <w:bookmarkStart w:id="3400" w:name="_Toc152042445"/>
      <w:bookmarkStart w:id="3401" w:name="_Toc24381"/>
      <w:bookmarkStart w:id="3402" w:name="_Toc22986"/>
      <w:bookmarkStart w:id="3403" w:name="_Toc283794218"/>
      <w:bookmarkStart w:id="3404" w:name="_Toc237923846"/>
      <w:bookmarkStart w:id="3405" w:name="_Toc282779021"/>
      <w:bookmarkStart w:id="3406" w:name="_Toc282779530"/>
      <w:bookmarkStart w:id="3407" w:name="_Toc1754"/>
      <w:bookmarkStart w:id="3408" w:name="_Toc22336"/>
      <w:bookmarkStart w:id="3409" w:name="_Toc6430"/>
      <w:bookmarkStart w:id="3410" w:name="_Toc8443"/>
      <w:bookmarkStart w:id="3411" w:name="_Toc19798"/>
      <w:bookmarkStart w:id="3412" w:name="_Toc30515"/>
      <w:bookmarkStart w:id="3413" w:name="_Toc179632685"/>
      <w:bookmarkStart w:id="3414" w:name="_Toc287853370"/>
      <w:bookmarkStart w:id="3415" w:name="_Toc288491546"/>
      <w:bookmarkStart w:id="3416" w:name="_Toc152045667"/>
      <w:bookmarkStart w:id="3417" w:name="_Toc18065"/>
      <w:bookmarkStart w:id="3418" w:name="_Toc3053"/>
      <w:bookmarkStart w:id="3419" w:name="_Toc21784"/>
      <w:bookmarkStart w:id="3420" w:name="_Toc282787468"/>
      <w:r>
        <w:rPr>
          <w:rFonts w:hint="eastAsia"/>
          <w:b/>
          <w:sz w:val="21"/>
          <w:szCs w:val="21"/>
        </w:rPr>
        <w:t>7.6</w:t>
      </w:r>
      <w:r>
        <w:rPr>
          <w:rFonts w:hint="eastAsia"/>
          <w:sz w:val="21"/>
          <w:szCs w:val="21"/>
        </w:rPr>
        <w:t xml:space="preserve">  水路和航空运输</w:t>
      </w:r>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p>
    <w:p>
      <w:pPr>
        <w:spacing w:line="420" w:lineRule="exact"/>
        <w:ind w:firstLine="420" w:firstLineChars="200"/>
        <w:rPr>
          <w:szCs w:val="21"/>
        </w:rPr>
      </w:pPr>
      <w:r>
        <w:rPr>
          <w:rFonts w:hint="eastAsia"/>
          <w:szCs w:val="21"/>
        </w:rPr>
        <w:t xml:space="preserve">本条上述各款的内容适用于水路运输和航空运输，其中“道路”一词的涵义包括河道、航线、船闸、机场、码头、堤防以及水路或航空运输中其它相似结构物；“车辆”一词的涵义包括船舶和飞机等。 </w:t>
      </w:r>
    </w:p>
    <w:p>
      <w:pPr>
        <w:pStyle w:val="28"/>
        <w:spacing w:beforeLines="50" w:afterLines="50" w:line="420" w:lineRule="exact"/>
        <w:rPr>
          <w:szCs w:val="28"/>
        </w:rPr>
      </w:pPr>
      <w:bookmarkStart w:id="3421" w:name="_Toc282779531"/>
      <w:bookmarkStart w:id="3422" w:name="_Toc9739"/>
      <w:bookmarkStart w:id="3423" w:name="_Toc12915"/>
      <w:bookmarkStart w:id="3424" w:name="_Toc20825"/>
      <w:bookmarkStart w:id="3425" w:name="_Toc283794219"/>
      <w:bookmarkStart w:id="3426" w:name="_Toc152045668"/>
      <w:bookmarkStart w:id="3427" w:name="_Toc287853371"/>
      <w:bookmarkStart w:id="3428" w:name="_Toc288491547"/>
      <w:bookmarkStart w:id="3429" w:name="_Toc237923847"/>
      <w:bookmarkStart w:id="3430" w:name="_Toc455"/>
      <w:bookmarkStart w:id="3431" w:name="_Toc144974636"/>
      <w:bookmarkStart w:id="3432" w:name="_Toc282779022"/>
      <w:bookmarkStart w:id="3433" w:name="_Toc282787469"/>
      <w:bookmarkStart w:id="3434" w:name="_Toc12827"/>
      <w:bookmarkStart w:id="3435" w:name="_Toc4334"/>
      <w:bookmarkStart w:id="3436" w:name="_Toc152042446"/>
      <w:bookmarkStart w:id="3437" w:name="_Toc288546671"/>
      <w:bookmarkStart w:id="3438" w:name="_Toc179632686"/>
      <w:bookmarkStart w:id="3439" w:name="_Toc7907"/>
      <w:bookmarkStart w:id="3440" w:name="_Toc20161"/>
      <w:bookmarkStart w:id="3441" w:name="_Toc5447"/>
      <w:bookmarkStart w:id="3442" w:name="_Toc14574"/>
      <w:bookmarkStart w:id="3443" w:name="_Toc15790"/>
      <w:r>
        <w:rPr>
          <w:rFonts w:hint="eastAsia"/>
          <w:szCs w:val="28"/>
        </w:rPr>
        <w:t>8．测量放线</w:t>
      </w:r>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p>
    <w:p>
      <w:pPr>
        <w:pStyle w:val="27"/>
        <w:spacing w:beforeLines="50" w:afterLines="50" w:line="420" w:lineRule="exact"/>
        <w:rPr>
          <w:sz w:val="21"/>
          <w:szCs w:val="21"/>
        </w:rPr>
      </w:pPr>
      <w:bookmarkStart w:id="3444" w:name="_Toc16970"/>
      <w:bookmarkStart w:id="3445" w:name="_Toc22354"/>
      <w:bookmarkStart w:id="3446" w:name="_Toc288491548"/>
      <w:bookmarkStart w:id="3447" w:name="_Toc179632687"/>
      <w:bookmarkStart w:id="3448" w:name="_Toc2788"/>
      <w:bookmarkStart w:id="3449" w:name="_Toc19147"/>
      <w:bookmarkStart w:id="3450" w:name="_Toc282779023"/>
      <w:bookmarkStart w:id="3451" w:name="_Toc144974637"/>
      <w:bookmarkStart w:id="3452" w:name="_Toc287853372"/>
      <w:bookmarkStart w:id="3453" w:name="_Toc30516"/>
      <w:bookmarkStart w:id="3454" w:name="_Toc23117"/>
      <w:bookmarkStart w:id="3455" w:name="_Toc282787470"/>
      <w:bookmarkStart w:id="3456" w:name="_Toc9605"/>
      <w:bookmarkStart w:id="3457" w:name="_Toc27218"/>
      <w:bookmarkStart w:id="3458" w:name="_Toc1297"/>
      <w:bookmarkStart w:id="3459" w:name="_Toc8210"/>
      <w:bookmarkStart w:id="3460" w:name="_Toc288546672"/>
      <w:bookmarkStart w:id="3461" w:name="_Toc282779532"/>
      <w:bookmarkStart w:id="3462" w:name="_Toc23354"/>
      <w:bookmarkStart w:id="3463" w:name="_Toc237923848"/>
      <w:bookmarkStart w:id="3464" w:name="_Toc152045669"/>
      <w:bookmarkStart w:id="3465" w:name="_Toc283794220"/>
      <w:bookmarkStart w:id="3466" w:name="_Toc152042447"/>
      <w:r>
        <w:rPr>
          <w:rFonts w:hint="eastAsia"/>
          <w:b/>
          <w:sz w:val="21"/>
          <w:szCs w:val="21"/>
        </w:rPr>
        <w:t>8.1</w:t>
      </w:r>
      <w:r>
        <w:rPr>
          <w:rFonts w:hint="eastAsia"/>
          <w:sz w:val="21"/>
          <w:szCs w:val="21"/>
        </w:rPr>
        <w:t xml:space="preserve">  施工控制网</w:t>
      </w:r>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p>
    <w:p>
      <w:pPr>
        <w:spacing w:line="420" w:lineRule="exact"/>
        <w:ind w:firstLine="420" w:firstLineChars="200"/>
        <w:rPr>
          <w:szCs w:val="21"/>
        </w:rPr>
      </w:pPr>
      <w:r>
        <w:rPr>
          <w:rFonts w:hint="eastAsia"/>
          <w:szCs w:val="21"/>
        </w:rPr>
        <w:t>8.1.1  发包人应在专用合同条款约定的期限内，通过监理人向承包人提供测量基准点、基准线和水准点及其书面资料。除专用合同条款另有约定外，承包人应根据国家测绘基准、测绘系统和工程测量技术规范，按上述基准点（线）以及合同工程精度要求，测设施工控制网，并在专用合同条款约定的期限内，将施工控制网资料报送监理人审批。</w:t>
      </w:r>
    </w:p>
    <w:p>
      <w:pPr>
        <w:spacing w:line="420" w:lineRule="exact"/>
        <w:ind w:firstLine="420" w:firstLineChars="200"/>
        <w:rPr>
          <w:szCs w:val="21"/>
        </w:rPr>
      </w:pPr>
      <w:r>
        <w:rPr>
          <w:rFonts w:hint="eastAsia"/>
          <w:szCs w:val="21"/>
        </w:rPr>
        <w:t>8.1.2  承包人应负责管理施工控制网点。施工控制网点丢失或损坏的，承包人应及时修复。承包人应承担施工控制网点的管理与修复费用，并在工程竣工后将施工控制网点移交发包人。</w:t>
      </w:r>
    </w:p>
    <w:p>
      <w:pPr>
        <w:pStyle w:val="27"/>
        <w:spacing w:beforeLines="50" w:afterLines="50" w:line="420" w:lineRule="exact"/>
        <w:rPr>
          <w:sz w:val="21"/>
          <w:szCs w:val="21"/>
        </w:rPr>
      </w:pPr>
      <w:bookmarkStart w:id="3467" w:name="_Toc19520"/>
      <w:bookmarkStart w:id="3468" w:name="_Toc179632688"/>
      <w:bookmarkStart w:id="3469" w:name="_Toc10986"/>
      <w:bookmarkStart w:id="3470" w:name="_Toc282779533"/>
      <w:bookmarkStart w:id="3471" w:name="_Toc21377"/>
      <w:bookmarkStart w:id="3472" w:name="_Toc283794221"/>
      <w:bookmarkStart w:id="3473" w:name="_Toc287853373"/>
      <w:bookmarkStart w:id="3474" w:name="_Toc27760"/>
      <w:bookmarkStart w:id="3475" w:name="_Toc15028"/>
      <w:bookmarkStart w:id="3476" w:name="_Toc152042448"/>
      <w:bookmarkStart w:id="3477" w:name="_Toc21169"/>
      <w:bookmarkStart w:id="3478" w:name="_Toc27315"/>
      <w:bookmarkStart w:id="3479" w:name="_Toc288546673"/>
      <w:bookmarkStart w:id="3480" w:name="_Toc282787471"/>
      <w:bookmarkStart w:id="3481" w:name="_Toc237923849"/>
      <w:bookmarkStart w:id="3482" w:name="_Toc152045670"/>
      <w:bookmarkStart w:id="3483" w:name="_Toc11407"/>
      <w:bookmarkStart w:id="3484" w:name="_Toc7793"/>
      <w:bookmarkStart w:id="3485" w:name="_Toc144974638"/>
      <w:bookmarkStart w:id="3486" w:name="_Toc282779024"/>
      <w:bookmarkStart w:id="3487" w:name="_Toc25006"/>
      <w:bookmarkStart w:id="3488" w:name="_Toc27797"/>
      <w:bookmarkStart w:id="3489" w:name="_Toc288491549"/>
      <w:r>
        <w:rPr>
          <w:rFonts w:hint="eastAsia"/>
          <w:b/>
          <w:sz w:val="21"/>
          <w:szCs w:val="21"/>
        </w:rPr>
        <w:t>8.2</w:t>
      </w:r>
      <w:r>
        <w:rPr>
          <w:rFonts w:hint="eastAsia"/>
          <w:sz w:val="21"/>
          <w:szCs w:val="21"/>
        </w:rPr>
        <w:t xml:space="preserve">  施工测量</w:t>
      </w:r>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p>
    <w:p>
      <w:pPr>
        <w:spacing w:line="420" w:lineRule="exact"/>
        <w:ind w:firstLine="420" w:firstLineChars="200"/>
        <w:rPr>
          <w:szCs w:val="21"/>
        </w:rPr>
      </w:pPr>
      <w:r>
        <w:rPr>
          <w:rFonts w:hint="eastAsia"/>
          <w:szCs w:val="21"/>
        </w:rPr>
        <w:t>8.2.1  承包人应负责施工过程中的全部施工测量放线工作，并配置合格的人员、仪器、设备和其它物品。</w:t>
      </w:r>
    </w:p>
    <w:p>
      <w:pPr>
        <w:spacing w:line="420" w:lineRule="exact"/>
        <w:ind w:firstLine="420" w:firstLineChars="200"/>
        <w:rPr>
          <w:szCs w:val="21"/>
        </w:rPr>
      </w:pPr>
      <w:r>
        <w:rPr>
          <w:rFonts w:hint="eastAsia"/>
          <w:szCs w:val="21"/>
        </w:rPr>
        <w:t>8.2.2  监理人可以指示承包人进行抽样复测，当复测中发现错误或出现超过合同约定的误差时，承包人应按监理人指示进行修正或补测，并承担相应的复测费用。</w:t>
      </w:r>
    </w:p>
    <w:p>
      <w:pPr>
        <w:pStyle w:val="27"/>
        <w:spacing w:beforeLines="50" w:afterLines="50" w:line="420" w:lineRule="exact"/>
        <w:rPr>
          <w:sz w:val="21"/>
          <w:szCs w:val="21"/>
        </w:rPr>
      </w:pPr>
      <w:bookmarkStart w:id="3490" w:name="_Toc18253"/>
      <w:bookmarkStart w:id="3491" w:name="_Toc237923850"/>
      <w:bookmarkStart w:id="3492" w:name="_Toc152042449"/>
      <w:bookmarkStart w:id="3493" w:name="_Toc5513"/>
      <w:bookmarkStart w:id="3494" w:name="_Toc287853374"/>
      <w:bookmarkStart w:id="3495" w:name="_Toc144974639"/>
      <w:bookmarkStart w:id="3496" w:name="_Toc179632689"/>
      <w:bookmarkStart w:id="3497" w:name="_Toc19452"/>
      <w:bookmarkStart w:id="3498" w:name="_Toc5271"/>
      <w:bookmarkStart w:id="3499" w:name="_Toc25420"/>
      <w:bookmarkStart w:id="3500" w:name="_Toc2925"/>
      <w:bookmarkStart w:id="3501" w:name="_Toc288546674"/>
      <w:bookmarkStart w:id="3502" w:name="_Toc283794222"/>
      <w:bookmarkStart w:id="3503" w:name="_Toc24858"/>
      <w:bookmarkStart w:id="3504" w:name="_Toc16419"/>
      <w:bookmarkStart w:id="3505" w:name="_Toc152045671"/>
      <w:bookmarkStart w:id="3506" w:name="_Toc288491550"/>
      <w:bookmarkStart w:id="3507" w:name="_Toc282779025"/>
      <w:bookmarkStart w:id="3508" w:name="_Toc282787472"/>
      <w:bookmarkStart w:id="3509" w:name="_Toc4992"/>
      <w:bookmarkStart w:id="3510" w:name="_Toc282779534"/>
      <w:bookmarkStart w:id="3511" w:name="_Toc32662"/>
      <w:bookmarkStart w:id="3512" w:name="_Toc20988"/>
      <w:r>
        <w:rPr>
          <w:rFonts w:hint="eastAsia"/>
          <w:b/>
          <w:sz w:val="21"/>
          <w:szCs w:val="21"/>
        </w:rPr>
        <w:t>8.3</w:t>
      </w:r>
      <w:r>
        <w:rPr>
          <w:rFonts w:hint="eastAsia"/>
          <w:sz w:val="21"/>
          <w:szCs w:val="21"/>
        </w:rPr>
        <w:t xml:space="preserve">  基准资料错误的责任</w:t>
      </w:r>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p>
    <w:p>
      <w:pPr>
        <w:spacing w:line="420" w:lineRule="exact"/>
        <w:ind w:firstLine="420" w:firstLineChars="200"/>
        <w:rPr>
          <w:szCs w:val="21"/>
        </w:rPr>
      </w:pPr>
      <w:r>
        <w:rPr>
          <w:rFonts w:hint="eastAsia"/>
          <w:szCs w:val="21"/>
        </w:rPr>
        <w:t>发包人应对其提供的测量基准点、基准线和水准点及其书面资料的真实性、准确性和完整性负责。发包人提供上述基准资料错误导致承包人测量放线工作的返工或造成工程损失的，发包人应当承担由此增加的费用和（或）工期延误，并向承包人支付合理利润。承包人发现发包人提供的上述基准资料存在明显错误或疏忽的，应及时通知监理人。</w:t>
      </w:r>
    </w:p>
    <w:p>
      <w:pPr>
        <w:pStyle w:val="27"/>
        <w:spacing w:beforeLines="50" w:afterLines="50" w:line="420" w:lineRule="exact"/>
        <w:rPr>
          <w:sz w:val="21"/>
          <w:szCs w:val="21"/>
        </w:rPr>
      </w:pPr>
      <w:bookmarkStart w:id="3513" w:name="_Toc237923851"/>
      <w:bookmarkStart w:id="3514" w:name="_Toc288546675"/>
      <w:bookmarkStart w:id="3515" w:name="_Toc282779535"/>
      <w:bookmarkStart w:id="3516" w:name="_Toc152042450"/>
      <w:bookmarkStart w:id="3517" w:name="_Toc152045672"/>
      <w:bookmarkStart w:id="3518" w:name="_Toc179632690"/>
      <w:bookmarkStart w:id="3519" w:name="_Toc24014"/>
      <w:bookmarkStart w:id="3520" w:name="_Toc144974640"/>
      <w:bookmarkStart w:id="3521" w:name="_Toc15029"/>
      <w:bookmarkStart w:id="3522" w:name="_Toc282787473"/>
      <w:bookmarkStart w:id="3523" w:name="_Toc287853375"/>
      <w:bookmarkStart w:id="3524" w:name="_Toc8987"/>
      <w:bookmarkStart w:id="3525" w:name="_Toc283794223"/>
      <w:bookmarkStart w:id="3526" w:name="_Toc11892"/>
      <w:bookmarkStart w:id="3527" w:name="_Toc30826"/>
      <w:bookmarkStart w:id="3528" w:name="_Toc14654"/>
      <w:bookmarkStart w:id="3529" w:name="_Toc26320"/>
      <w:bookmarkStart w:id="3530" w:name="_Toc16362"/>
      <w:bookmarkStart w:id="3531" w:name="_Toc282779026"/>
      <w:bookmarkStart w:id="3532" w:name="_Toc288491551"/>
      <w:bookmarkStart w:id="3533" w:name="_Toc18621"/>
      <w:bookmarkStart w:id="3534" w:name="_Toc1522"/>
      <w:bookmarkStart w:id="3535" w:name="_Toc14174"/>
      <w:r>
        <w:rPr>
          <w:rFonts w:hint="eastAsia"/>
          <w:b/>
          <w:sz w:val="21"/>
          <w:szCs w:val="21"/>
        </w:rPr>
        <w:t>8.4</w:t>
      </w:r>
      <w:r>
        <w:rPr>
          <w:rFonts w:hint="eastAsia"/>
          <w:sz w:val="21"/>
          <w:szCs w:val="21"/>
        </w:rPr>
        <w:t xml:space="preserve">  监理人使用施工控制网</w:t>
      </w:r>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p>
    <w:p>
      <w:pPr>
        <w:spacing w:line="420" w:lineRule="exact"/>
        <w:ind w:firstLine="420" w:firstLineChars="200"/>
        <w:rPr>
          <w:szCs w:val="21"/>
        </w:rPr>
      </w:pPr>
      <w:r>
        <w:rPr>
          <w:rFonts w:hint="eastAsia"/>
          <w:szCs w:val="21"/>
        </w:rPr>
        <w:t>监理人需要使用施工控制网的，承包人应提供必要的协助，发包人不再为此支付费用。</w:t>
      </w:r>
    </w:p>
    <w:p>
      <w:pPr>
        <w:pStyle w:val="28"/>
        <w:spacing w:beforeLines="50" w:afterLines="50" w:line="420" w:lineRule="exact"/>
        <w:rPr>
          <w:szCs w:val="28"/>
        </w:rPr>
      </w:pPr>
      <w:bookmarkStart w:id="3536" w:name="_Toc7509"/>
      <w:bookmarkStart w:id="3537" w:name="_Toc237923852"/>
      <w:bookmarkStart w:id="3538" w:name="_Toc288491552"/>
      <w:bookmarkStart w:id="3539" w:name="_Toc287853376"/>
      <w:bookmarkStart w:id="3540" w:name="_Toc282779027"/>
      <w:bookmarkStart w:id="3541" w:name="_Toc152045673"/>
      <w:bookmarkStart w:id="3542" w:name="_Toc152042451"/>
      <w:bookmarkStart w:id="3543" w:name="_Toc288546676"/>
      <w:bookmarkStart w:id="3544" w:name="_Toc30632"/>
      <w:bookmarkStart w:id="3545" w:name="_Toc22586"/>
      <w:bookmarkStart w:id="3546" w:name="_Toc302"/>
      <w:bookmarkStart w:id="3547" w:name="_Toc282779536"/>
      <w:bookmarkStart w:id="3548" w:name="_Toc6026"/>
      <w:bookmarkStart w:id="3549" w:name="_Toc179632691"/>
      <w:bookmarkStart w:id="3550" w:name="_Toc283794224"/>
      <w:bookmarkStart w:id="3551" w:name="_Toc144974641"/>
      <w:bookmarkStart w:id="3552" w:name="_Toc22391"/>
      <w:bookmarkStart w:id="3553" w:name="_Toc13603"/>
      <w:bookmarkStart w:id="3554" w:name="_Toc17290"/>
      <w:bookmarkStart w:id="3555" w:name="_Toc13924"/>
      <w:bookmarkStart w:id="3556" w:name="_Toc282787474"/>
      <w:bookmarkStart w:id="3557" w:name="_Toc11163"/>
      <w:bookmarkStart w:id="3558" w:name="_Toc4412"/>
      <w:r>
        <w:rPr>
          <w:rFonts w:hint="eastAsia"/>
          <w:szCs w:val="28"/>
        </w:rPr>
        <w:t>9．施工安全、治安保卫和环境保护</w:t>
      </w:r>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p>
    <w:p>
      <w:pPr>
        <w:pStyle w:val="27"/>
        <w:spacing w:beforeLines="50" w:afterLines="50" w:line="420" w:lineRule="exact"/>
        <w:rPr>
          <w:sz w:val="21"/>
          <w:szCs w:val="21"/>
        </w:rPr>
      </w:pPr>
      <w:bookmarkStart w:id="3559" w:name="_Toc15548"/>
      <w:bookmarkStart w:id="3560" w:name="_Toc22216"/>
      <w:bookmarkStart w:id="3561" w:name="_Toc287853377"/>
      <w:bookmarkStart w:id="3562" w:name="_Toc282779028"/>
      <w:bookmarkStart w:id="3563" w:name="_Toc282779537"/>
      <w:bookmarkStart w:id="3564" w:name="_Toc26145"/>
      <w:bookmarkStart w:id="3565" w:name="_Toc19914"/>
      <w:bookmarkStart w:id="3566" w:name="_Toc15405"/>
      <w:bookmarkStart w:id="3567" w:name="_Toc152042452"/>
      <w:bookmarkStart w:id="3568" w:name="_Toc20735"/>
      <w:bookmarkStart w:id="3569" w:name="_Toc144974642"/>
      <w:bookmarkStart w:id="3570" w:name="_Toc283794225"/>
      <w:bookmarkStart w:id="3571" w:name="_Toc24663"/>
      <w:bookmarkStart w:id="3572" w:name="_Toc9224"/>
      <w:bookmarkStart w:id="3573" w:name="_Toc282787475"/>
      <w:bookmarkStart w:id="3574" w:name="_Toc237923853"/>
      <w:bookmarkStart w:id="3575" w:name="_Toc288491553"/>
      <w:bookmarkStart w:id="3576" w:name="_Toc179632692"/>
      <w:bookmarkStart w:id="3577" w:name="_Toc27502"/>
      <w:bookmarkStart w:id="3578" w:name="_Toc26557"/>
      <w:bookmarkStart w:id="3579" w:name="_Toc152045674"/>
      <w:bookmarkStart w:id="3580" w:name="_Toc288546677"/>
      <w:bookmarkStart w:id="3581" w:name="_Toc21719"/>
      <w:r>
        <w:rPr>
          <w:rFonts w:hint="eastAsia"/>
          <w:b/>
          <w:sz w:val="21"/>
          <w:szCs w:val="21"/>
        </w:rPr>
        <w:t>9.1</w:t>
      </w:r>
      <w:r>
        <w:rPr>
          <w:rFonts w:hint="eastAsia"/>
          <w:sz w:val="21"/>
          <w:szCs w:val="21"/>
        </w:rPr>
        <w:t xml:space="preserve">  发包人的施工安全责任</w:t>
      </w:r>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p>
    <w:p>
      <w:pPr>
        <w:spacing w:line="420" w:lineRule="exact"/>
        <w:ind w:firstLine="420" w:firstLineChars="200"/>
        <w:rPr>
          <w:szCs w:val="21"/>
        </w:rPr>
      </w:pPr>
      <w:r>
        <w:rPr>
          <w:rFonts w:hint="eastAsia"/>
          <w:szCs w:val="21"/>
        </w:rPr>
        <w:t>9.1.1  发包人应按合同约定履行安全职责，授权监理人按合同约定的安全工作内容监督、检查承包人安全工作的实施，组织承包人和有关单位进行安全检查。</w:t>
      </w:r>
    </w:p>
    <w:p>
      <w:pPr>
        <w:spacing w:line="420" w:lineRule="exact"/>
        <w:ind w:firstLine="420" w:firstLineChars="200"/>
        <w:rPr>
          <w:szCs w:val="21"/>
        </w:rPr>
      </w:pPr>
      <w:r>
        <w:rPr>
          <w:rFonts w:hint="eastAsia"/>
          <w:szCs w:val="21"/>
        </w:rPr>
        <w:t>9.1.2  发包人应对其现场机构雇佣的全部人员的工伤事故承担责任，但由于承包人原因造成发包人人员工伤的，应由承包人承担责任。</w:t>
      </w:r>
    </w:p>
    <w:p>
      <w:pPr>
        <w:spacing w:line="420" w:lineRule="exact"/>
        <w:ind w:firstLine="420" w:firstLineChars="200"/>
        <w:rPr>
          <w:szCs w:val="21"/>
        </w:rPr>
      </w:pPr>
      <w:r>
        <w:rPr>
          <w:rFonts w:hint="eastAsia"/>
          <w:szCs w:val="21"/>
        </w:rPr>
        <w:t>9.1.3  发包人应负责赔偿以下各种情况造成的第三者人身伤亡和财产损失：</w:t>
      </w:r>
    </w:p>
    <w:p>
      <w:pPr>
        <w:spacing w:line="420" w:lineRule="exact"/>
        <w:ind w:firstLine="420" w:firstLineChars="200"/>
        <w:rPr>
          <w:szCs w:val="21"/>
        </w:rPr>
      </w:pPr>
      <w:r>
        <w:rPr>
          <w:rFonts w:hint="eastAsia"/>
          <w:szCs w:val="21"/>
        </w:rPr>
        <w:t>（1）工程或工程的任何部分对土地的占用所造成的第三者财产损失；</w:t>
      </w:r>
    </w:p>
    <w:p>
      <w:pPr>
        <w:spacing w:line="420" w:lineRule="exact"/>
        <w:ind w:firstLine="420" w:firstLineChars="200"/>
        <w:rPr>
          <w:szCs w:val="21"/>
        </w:rPr>
      </w:pPr>
      <w:r>
        <w:rPr>
          <w:rFonts w:hint="eastAsia"/>
          <w:szCs w:val="21"/>
        </w:rPr>
        <w:t>（2）由于发包人原因在施工场地及其毗邻地带造成的第三者人身伤亡和财产损失。</w:t>
      </w:r>
    </w:p>
    <w:p>
      <w:pPr>
        <w:pStyle w:val="27"/>
        <w:spacing w:beforeLines="50" w:afterLines="50" w:line="420" w:lineRule="exact"/>
        <w:rPr>
          <w:sz w:val="21"/>
          <w:szCs w:val="21"/>
        </w:rPr>
      </w:pPr>
      <w:bookmarkStart w:id="3582" w:name="_Toc288546678"/>
      <w:bookmarkStart w:id="3583" w:name="_Toc283794226"/>
      <w:bookmarkStart w:id="3584" w:name="_Toc152045675"/>
      <w:bookmarkStart w:id="3585" w:name="_Toc18543"/>
      <w:bookmarkStart w:id="3586" w:name="_Toc179632693"/>
      <w:bookmarkStart w:id="3587" w:name="_Toc282779538"/>
      <w:bookmarkStart w:id="3588" w:name="_Toc2025"/>
      <w:bookmarkStart w:id="3589" w:name="_Toc144974643"/>
      <w:bookmarkStart w:id="3590" w:name="_Toc9652"/>
      <w:bookmarkStart w:id="3591" w:name="_Toc28726"/>
      <w:bookmarkStart w:id="3592" w:name="_Toc287853378"/>
      <w:bookmarkStart w:id="3593" w:name="_Toc14234"/>
      <w:bookmarkStart w:id="3594" w:name="_Toc26813"/>
      <w:bookmarkStart w:id="3595" w:name="_Toc237923854"/>
      <w:bookmarkStart w:id="3596" w:name="_Toc24206"/>
      <w:bookmarkStart w:id="3597" w:name="_Toc18283"/>
      <w:bookmarkStart w:id="3598" w:name="_Toc669"/>
      <w:bookmarkStart w:id="3599" w:name="_Toc288491554"/>
      <w:bookmarkStart w:id="3600" w:name="_Toc282779029"/>
      <w:bookmarkStart w:id="3601" w:name="_Toc17962"/>
      <w:bookmarkStart w:id="3602" w:name="_Toc152042453"/>
      <w:bookmarkStart w:id="3603" w:name="_Toc16442"/>
      <w:bookmarkStart w:id="3604" w:name="_Toc282787476"/>
      <w:r>
        <w:rPr>
          <w:rFonts w:hint="eastAsia"/>
          <w:b/>
          <w:sz w:val="21"/>
          <w:szCs w:val="21"/>
        </w:rPr>
        <w:t>9.2</w:t>
      </w:r>
      <w:r>
        <w:rPr>
          <w:rFonts w:hint="eastAsia"/>
          <w:sz w:val="21"/>
          <w:szCs w:val="21"/>
        </w:rPr>
        <w:t xml:space="preserve">  承包人的施工安全责任</w:t>
      </w:r>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p>
    <w:p>
      <w:pPr>
        <w:spacing w:line="420" w:lineRule="exact"/>
        <w:ind w:firstLine="420" w:firstLineChars="200"/>
        <w:rPr>
          <w:szCs w:val="21"/>
        </w:rPr>
      </w:pPr>
      <w:r>
        <w:rPr>
          <w:rFonts w:hint="eastAsia"/>
          <w:szCs w:val="21"/>
        </w:rPr>
        <w:t>9.2.1  承包人应按合同约定履行安全职责，严格执行国家、地方政府有关施工安全管理方面的法律、法规及规章制度，同时严格执行发包人制订的本项目安全生产管理方面的规章制度、安全检查程序及施工安全管理要求，以及监理人有关安全工作的指示。</w:t>
      </w:r>
    </w:p>
    <w:p>
      <w:pPr>
        <w:spacing w:line="420" w:lineRule="exact"/>
        <w:ind w:firstLine="420" w:firstLineChars="200"/>
        <w:rPr>
          <w:szCs w:val="21"/>
        </w:rPr>
      </w:pPr>
      <w:r>
        <w:rPr>
          <w:rFonts w:hint="eastAsia"/>
          <w:szCs w:val="21"/>
        </w:rPr>
        <w:t>承包人应根据本工程的实际安全施工要求，编制施工安全技术措施，并在签订合同协议书后28天内，报监理人和发包人批准。该施工安全技术措施包括（但不限于）施工安全保障体系，安全生产责任制，安全生产管理规章制度，安全防护施工方案，施工现场临时用电方案，施工安全评估，安全预控及保证措施方案，紧急应变措施，安全标识、警示和围护方案等。对影响安全的重要工序和危险性较大的工程应编制专项养护施工方案，并附安全验算结果，经承包人项目总工签字并报监理人和发包人批准后实施，由专职安全生产管理人员进行现场监督。</w:t>
      </w:r>
    </w:p>
    <w:p>
      <w:pPr>
        <w:spacing w:line="420" w:lineRule="exact"/>
        <w:ind w:firstLine="420" w:firstLineChars="200"/>
        <w:rPr>
          <w:szCs w:val="21"/>
        </w:rPr>
      </w:pPr>
      <w:r>
        <w:rPr>
          <w:rFonts w:hint="eastAsia"/>
          <w:szCs w:val="21"/>
        </w:rPr>
        <w:t>监理人和发包人在检查中发现有安全问题或有违反安全管理规章制度的情况时，可视为承包人违约，应按第22.1款的规定办理。</w:t>
      </w:r>
    </w:p>
    <w:p>
      <w:pPr>
        <w:spacing w:line="420" w:lineRule="exact"/>
        <w:ind w:firstLine="420" w:firstLineChars="200"/>
        <w:rPr>
          <w:szCs w:val="21"/>
        </w:rPr>
      </w:pPr>
      <w:r>
        <w:rPr>
          <w:rFonts w:hint="eastAsia"/>
          <w:szCs w:val="21"/>
        </w:rPr>
        <w:t>9.2.2  承包人应加强施工作业安全管理，特别应加强易燃、易爆材料、火工器材、有毒与腐蚀性材料和其它危险品的管理，以及对爆破作业和地下工程施工等危险作业的管理。</w:t>
      </w:r>
    </w:p>
    <w:p>
      <w:pPr>
        <w:spacing w:line="420" w:lineRule="exact"/>
        <w:ind w:firstLine="420" w:firstLineChars="200"/>
        <w:rPr>
          <w:szCs w:val="21"/>
        </w:rPr>
      </w:pPr>
      <w:r>
        <w:rPr>
          <w:rFonts w:hint="eastAsia"/>
          <w:szCs w:val="21"/>
        </w:rPr>
        <w:t>9.2.3  承包人应严格按照国家安全标准制定施工安全操作规程，配备必要的安全生产和劳动保护设施，加强对承包人人员的安全教育，并发放安全工作手册和劳动保护用具。</w:t>
      </w:r>
    </w:p>
    <w:p>
      <w:pPr>
        <w:spacing w:line="420" w:lineRule="exact"/>
        <w:ind w:firstLine="420" w:firstLineChars="200"/>
        <w:rPr>
          <w:szCs w:val="21"/>
        </w:rPr>
      </w:pPr>
      <w:r>
        <w:rPr>
          <w:rFonts w:hint="eastAsia"/>
          <w:szCs w:val="21"/>
        </w:rPr>
        <w:t>9.2.4  承包人应按监理人的指示制定应对灾害的紧急预案，报送监理人审批。承包人还应按预案做好安全检查，配置必要的救助物资和器材，切实保护好有关人员的人身和财产安全。</w:t>
      </w:r>
    </w:p>
    <w:p>
      <w:pPr>
        <w:spacing w:line="420" w:lineRule="exact"/>
        <w:ind w:firstLine="420" w:firstLineChars="200"/>
        <w:rPr>
          <w:szCs w:val="21"/>
        </w:rPr>
      </w:pPr>
      <w:r>
        <w:rPr>
          <w:rFonts w:hint="eastAsia"/>
          <w:szCs w:val="21"/>
        </w:rPr>
        <w:t>9.2.5  除项目专用合同条款另有约定外，安全生产费用应为投标价（不含安全生产费及建筑工程一切险及第三者责任险的保险费）的1%。安全生产费用应用于施工安全防护用具及设施的采购和更新、安全施工措施的落实、安全生产条件的改善，不得挪作它用。如承包人在此基础上增加安全生产费用以满足项目施工需要，则承包人应在本项目工程量清单其它相关子目的单价或总额价中予以考虑，发包人不再另行支付。因采取合同未约定的特殊防护措施增加的费用，由监理人按第3.5款商定或确定。</w:t>
      </w:r>
    </w:p>
    <w:p>
      <w:pPr>
        <w:spacing w:line="420" w:lineRule="exact"/>
        <w:ind w:firstLine="420" w:firstLineChars="200"/>
        <w:rPr>
          <w:szCs w:val="21"/>
        </w:rPr>
      </w:pPr>
      <w:r>
        <w:rPr>
          <w:rFonts w:hint="eastAsia"/>
          <w:szCs w:val="21"/>
        </w:rPr>
        <w:t>9.2.6  承包人应对其履行合同所雇佣的全部人员，包括分包人人员的工伤事故承担责任，但由于发包人原因造成承包人人员工伤事故的，应由发包人承担责任。</w:t>
      </w:r>
    </w:p>
    <w:p>
      <w:pPr>
        <w:spacing w:line="420" w:lineRule="exact"/>
        <w:ind w:firstLine="420" w:firstLineChars="200"/>
        <w:rPr>
          <w:szCs w:val="21"/>
        </w:rPr>
      </w:pPr>
      <w:r>
        <w:rPr>
          <w:rFonts w:hint="eastAsia"/>
          <w:szCs w:val="21"/>
        </w:rPr>
        <w:t>9.2.7  由于承包人原因在施工场地内及其毗邻地带造成的第三者人员伤亡和财产损失，由承包人负责赔偿。</w:t>
      </w:r>
    </w:p>
    <w:p>
      <w:pPr>
        <w:spacing w:line="420" w:lineRule="exact"/>
        <w:ind w:firstLine="420" w:firstLineChars="200"/>
        <w:rPr>
          <w:szCs w:val="21"/>
        </w:rPr>
      </w:pPr>
      <w:r>
        <w:rPr>
          <w:rFonts w:hint="eastAsia"/>
          <w:szCs w:val="21"/>
        </w:rPr>
        <w:t>9.2.8  在通航水域施工时，承包人应与当地主管部门取得联系，设置必要的导航标志，及时发布航行通告，确保施工水域安全。</w:t>
      </w:r>
    </w:p>
    <w:p>
      <w:pPr>
        <w:spacing w:line="420" w:lineRule="exact"/>
        <w:ind w:firstLine="420" w:firstLineChars="200"/>
        <w:rPr>
          <w:szCs w:val="21"/>
        </w:rPr>
      </w:pPr>
      <w:r>
        <w:rPr>
          <w:rFonts w:hint="eastAsia"/>
          <w:szCs w:val="21"/>
        </w:rPr>
        <w:t>9.2.9  在整个施工过程中对承包人采取的施工安全措施，发包人和监理人有权监督，并向承包人提出整改要求。如果由于承包人未能对其负责的上述事项采取各种必要的措施而导致或发生与此有关的人身伤亡、罚款、索赔、损失补偿、诉讼费用及其它一切责任应由承包人负责。</w:t>
      </w:r>
    </w:p>
    <w:p>
      <w:pPr>
        <w:pStyle w:val="27"/>
        <w:spacing w:beforeLines="50" w:afterLines="50" w:line="420" w:lineRule="exact"/>
        <w:rPr>
          <w:sz w:val="21"/>
          <w:szCs w:val="21"/>
        </w:rPr>
      </w:pPr>
      <w:bookmarkStart w:id="3605" w:name="_Toc282779539"/>
      <w:bookmarkStart w:id="3606" w:name="_Toc283794227"/>
      <w:bookmarkStart w:id="3607" w:name="_Toc1600"/>
      <w:bookmarkStart w:id="3608" w:name="_Toc26866"/>
      <w:bookmarkStart w:id="3609" w:name="_Toc179632694"/>
      <w:bookmarkStart w:id="3610" w:name="_Toc152045676"/>
      <w:bookmarkStart w:id="3611" w:name="_Toc287853379"/>
      <w:bookmarkStart w:id="3612" w:name="_Toc282787477"/>
      <w:bookmarkStart w:id="3613" w:name="_Toc288546679"/>
      <w:bookmarkStart w:id="3614" w:name="_Toc14020"/>
      <w:bookmarkStart w:id="3615" w:name="_Toc24242"/>
      <w:bookmarkStart w:id="3616" w:name="_Toc29376"/>
      <w:bookmarkStart w:id="3617" w:name="_Toc20748"/>
      <w:bookmarkStart w:id="3618" w:name="_Toc13622"/>
      <w:bookmarkStart w:id="3619" w:name="_Toc237923855"/>
      <w:bookmarkStart w:id="3620" w:name="_Toc6330"/>
      <w:bookmarkStart w:id="3621" w:name="_Toc11375"/>
      <w:bookmarkStart w:id="3622" w:name="_Toc288491555"/>
      <w:bookmarkStart w:id="3623" w:name="_Toc152042454"/>
      <w:bookmarkStart w:id="3624" w:name="_Toc24598"/>
      <w:bookmarkStart w:id="3625" w:name="_Toc282779030"/>
      <w:bookmarkStart w:id="3626" w:name="_Toc28071"/>
      <w:bookmarkStart w:id="3627" w:name="_Toc144974644"/>
      <w:r>
        <w:rPr>
          <w:rFonts w:hint="eastAsia"/>
          <w:b/>
          <w:sz w:val="21"/>
          <w:szCs w:val="21"/>
        </w:rPr>
        <w:t>9.3</w:t>
      </w:r>
      <w:r>
        <w:rPr>
          <w:rFonts w:hint="eastAsia"/>
          <w:sz w:val="21"/>
          <w:szCs w:val="21"/>
        </w:rPr>
        <w:t xml:space="preserve">  治安保卫</w:t>
      </w:r>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p>
    <w:p>
      <w:pPr>
        <w:spacing w:line="420" w:lineRule="exact"/>
        <w:ind w:firstLine="420" w:firstLineChars="200"/>
        <w:rPr>
          <w:szCs w:val="21"/>
        </w:rPr>
      </w:pPr>
      <w:r>
        <w:rPr>
          <w:rFonts w:hint="eastAsia"/>
          <w:szCs w:val="21"/>
        </w:rPr>
        <w:t>9.3.1  除合同另有约定外，发包人应与当地公安部门协商，在现场建立治安管理机构或联防组织，统一管理施工场地的治安保卫事项，履行合同工程的治安保卫职责。</w:t>
      </w:r>
    </w:p>
    <w:p>
      <w:pPr>
        <w:spacing w:line="420" w:lineRule="exact"/>
        <w:ind w:firstLine="420" w:firstLineChars="200"/>
        <w:rPr>
          <w:szCs w:val="21"/>
        </w:rPr>
      </w:pPr>
      <w:r>
        <w:rPr>
          <w:rFonts w:hint="eastAsia"/>
          <w:szCs w:val="21"/>
        </w:rPr>
        <w:t>9.3.2  发包人和承包人除应协助现场治安管理机构或联防组织维护施工场地的社会治安外，还应做好包括生活区在内的各自管辖区的治安保卫工作。</w:t>
      </w:r>
    </w:p>
    <w:p>
      <w:pPr>
        <w:spacing w:line="420" w:lineRule="exact"/>
        <w:ind w:firstLine="420" w:firstLineChars="200"/>
        <w:rPr>
          <w:szCs w:val="21"/>
        </w:rPr>
      </w:pPr>
      <w:r>
        <w:rPr>
          <w:rFonts w:hint="eastAsia"/>
          <w:szCs w:val="21"/>
        </w:rPr>
        <w:t>9.3.3  除合同另有约定外，发包人和承包人应在工程开工后，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减少财产损失和避免人员伤亡。</w:t>
      </w:r>
    </w:p>
    <w:p>
      <w:pPr>
        <w:pStyle w:val="27"/>
        <w:spacing w:beforeLines="50" w:afterLines="50" w:line="420" w:lineRule="exact"/>
        <w:rPr>
          <w:sz w:val="21"/>
          <w:szCs w:val="21"/>
        </w:rPr>
      </w:pPr>
      <w:bookmarkStart w:id="3628" w:name="_Toc10126"/>
      <w:bookmarkStart w:id="3629" w:name="_Toc283794228"/>
      <w:bookmarkStart w:id="3630" w:name="_Toc19448"/>
      <w:bookmarkStart w:id="3631" w:name="_Toc282779540"/>
      <w:bookmarkStart w:id="3632" w:name="_Toc288546680"/>
      <w:bookmarkStart w:id="3633" w:name="_Toc179632695"/>
      <w:bookmarkStart w:id="3634" w:name="_Toc144974645"/>
      <w:bookmarkStart w:id="3635" w:name="_Toc31413"/>
      <w:bookmarkStart w:id="3636" w:name="_Toc287853380"/>
      <w:bookmarkStart w:id="3637" w:name="_Toc237923856"/>
      <w:bookmarkStart w:id="3638" w:name="_Toc31129"/>
      <w:bookmarkStart w:id="3639" w:name="_Toc24083"/>
      <w:bookmarkStart w:id="3640" w:name="_Toc152042455"/>
      <w:bookmarkStart w:id="3641" w:name="_Toc24836"/>
      <w:bookmarkStart w:id="3642" w:name="_Toc17964"/>
      <w:bookmarkStart w:id="3643" w:name="_Toc2079"/>
      <w:bookmarkStart w:id="3644" w:name="_Toc282787478"/>
      <w:bookmarkStart w:id="3645" w:name="_Toc29240"/>
      <w:bookmarkStart w:id="3646" w:name="_Toc152045677"/>
      <w:bookmarkStart w:id="3647" w:name="_Toc9567"/>
      <w:bookmarkStart w:id="3648" w:name="_Toc13376"/>
      <w:bookmarkStart w:id="3649" w:name="_Toc282779031"/>
      <w:bookmarkStart w:id="3650" w:name="_Toc288491556"/>
      <w:r>
        <w:rPr>
          <w:rFonts w:hint="eastAsia"/>
          <w:b/>
          <w:sz w:val="21"/>
          <w:szCs w:val="21"/>
        </w:rPr>
        <w:t>9.4</w:t>
      </w:r>
      <w:r>
        <w:rPr>
          <w:rFonts w:hint="eastAsia"/>
          <w:sz w:val="21"/>
          <w:szCs w:val="21"/>
        </w:rPr>
        <w:t xml:space="preserve">  环境保护</w:t>
      </w:r>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p>
    <w:p>
      <w:pPr>
        <w:spacing w:line="420" w:lineRule="exact"/>
        <w:ind w:firstLine="420" w:firstLineChars="200"/>
        <w:rPr>
          <w:szCs w:val="21"/>
        </w:rPr>
      </w:pPr>
      <w:r>
        <w:rPr>
          <w:rFonts w:hint="eastAsia"/>
          <w:szCs w:val="21"/>
        </w:rPr>
        <w:t>9.4.1  承包人在施工过程中，应遵守有关环境保护的法律，履行合同约定的环境保护义务，并对违反法律和合同约定义务所造成的环境破坏、人身伤害和财产损失负责。</w:t>
      </w:r>
    </w:p>
    <w:p>
      <w:pPr>
        <w:spacing w:line="420" w:lineRule="exact"/>
        <w:ind w:firstLine="420" w:firstLineChars="200"/>
        <w:rPr>
          <w:szCs w:val="21"/>
        </w:rPr>
      </w:pPr>
      <w:r>
        <w:rPr>
          <w:rFonts w:hint="eastAsia"/>
          <w:szCs w:val="21"/>
        </w:rPr>
        <w:t>9.4.2  承包人应按合同约定的环保工作内容，编制施工环保措施计划，报送监理人审批。</w:t>
      </w:r>
    </w:p>
    <w:p>
      <w:pPr>
        <w:spacing w:line="420" w:lineRule="exact"/>
        <w:ind w:firstLine="420" w:firstLineChars="200"/>
        <w:rPr>
          <w:szCs w:val="21"/>
        </w:rPr>
      </w:pPr>
      <w:r>
        <w:rPr>
          <w:rFonts w:hint="eastAsia"/>
          <w:szCs w:val="21"/>
        </w:rPr>
        <w:t>9.4.3  承包人应按照批准的施工环保措施计划有序地堆放和处理施工废弃物，避免对环境造成破坏。因承包人任意堆放或弃置施工废弃物造成妨碍公共交通、影响城镇居民生活、降低河流行洪能力、危及居民安全、破坏周边环境，或者影响其它承包人施工等后果的，承包人应承担责任。</w:t>
      </w:r>
    </w:p>
    <w:p>
      <w:pPr>
        <w:spacing w:line="420" w:lineRule="exact"/>
        <w:ind w:firstLine="420" w:firstLineChars="200"/>
        <w:rPr>
          <w:szCs w:val="21"/>
        </w:rPr>
      </w:pPr>
      <w:r>
        <w:rPr>
          <w:rFonts w:hint="eastAsia"/>
          <w:szCs w:val="21"/>
        </w:rPr>
        <w:t>9.4.4  承包人应按合同约定采取有效措施，对施工开挖的边坡及时进行支护,维护排水设施，并进行水土保护，避免因施工造成的地质灾害。</w:t>
      </w:r>
    </w:p>
    <w:p>
      <w:pPr>
        <w:spacing w:line="420" w:lineRule="exact"/>
        <w:ind w:firstLine="420" w:firstLineChars="200"/>
        <w:rPr>
          <w:szCs w:val="21"/>
        </w:rPr>
      </w:pPr>
      <w:r>
        <w:rPr>
          <w:rFonts w:hint="eastAsia"/>
          <w:szCs w:val="21"/>
        </w:rPr>
        <w:t>9.4.5  承包人应按国家饮用水管理标准定期对饮用水源进行监测，防止施工活动污染饮用水源。</w:t>
      </w:r>
    </w:p>
    <w:p>
      <w:pPr>
        <w:spacing w:line="420" w:lineRule="exact"/>
        <w:ind w:firstLine="420" w:firstLineChars="200"/>
        <w:rPr>
          <w:szCs w:val="21"/>
        </w:rPr>
      </w:pPr>
      <w:r>
        <w:rPr>
          <w:rFonts w:hint="eastAsia"/>
          <w:szCs w:val="21"/>
        </w:rPr>
        <w:t>9.4.6  承包人应按合同约定，加强对噪声、粉尘、废气、废水和废油的控制，努力降低噪声，控制粉尘和废气浓度，做好废水和废油的治理和排放。</w:t>
      </w:r>
    </w:p>
    <w:p>
      <w:pPr>
        <w:spacing w:line="420" w:lineRule="exact"/>
        <w:ind w:firstLine="420" w:firstLineChars="200"/>
        <w:rPr>
          <w:szCs w:val="21"/>
        </w:rPr>
      </w:pPr>
      <w:r>
        <w:rPr>
          <w:rFonts w:hint="eastAsia"/>
          <w:szCs w:val="21"/>
        </w:rPr>
        <w:t>9.4.7  承包人应切实执行技术规范中有关环境保护方面的条款和规定。</w:t>
      </w:r>
    </w:p>
    <w:p>
      <w:pPr>
        <w:spacing w:line="420" w:lineRule="exact"/>
        <w:ind w:firstLine="420" w:firstLineChars="200"/>
        <w:rPr>
          <w:szCs w:val="21"/>
        </w:rPr>
      </w:pPr>
      <w:r>
        <w:rPr>
          <w:rFonts w:hint="eastAsia"/>
          <w:szCs w:val="21"/>
        </w:rPr>
        <w:t>（1）对于来自养护工程实施时的施工机械和运输车辆的施工噪声，为保护施工人员的健康，应遵守《中华人民共和国环境噪声污染防治法》并依据《工业企业噪声卫生标准》合理安排工作人员轮流操作筑路机械，减少接触高噪声的时间，或间歇安排高噪声的工作。对距噪声源较近的施工人员，除采取使用防护耳塞或头盔等有效措施外，还应当缩短其劳动时间。同时，要注意对机械的经常性保养，尽量使其噪声降低到最低水平。为保护施工现场附近居民的夜间休息，对居民区150m以内的施工现场，施工时间应加以控制。</w:t>
      </w:r>
    </w:p>
    <w:p>
      <w:pPr>
        <w:spacing w:line="420" w:lineRule="exact"/>
        <w:ind w:firstLine="420" w:firstLineChars="200"/>
        <w:rPr>
          <w:szCs w:val="21"/>
        </w:rPr>
      </w:pPr>
      <w:r>
        <w:rPr>
          <w:rFonts w:hint="eastAsia"/>
          <w:szCs w:val="21"/>
        </w:rPr>
        <w:t>（2）对于养护施工中粉尘的主要污染源——灰土拌和、施工车辆和筑路机械运行及运输产生的扬尘，应采取有效措施减轻其对施工现场的大气污染，保护人民健康，如：</w:t>
      </w:r>
    </w:p>
    <w:p>
      <w:pPr>
        <w:spacing w:line="420" w:lineRule="exact"/>
        <w:ind w:firstLine="420" w:firstLineChars="200"/>
        <w:rPr>
          <w:szCs w:val="21"/>
        </w:rPr>
      </w:pPr>
      <w:r>
        <w:rPr>
          <w:szCs w:val="21"/>
        </w:rPr>
        <w:t>a</w:t>
      </w:r>
      <w:r>
        <w:rPr>
          <w:rFonts w:hint="eastAsia"/>
          <w:szCs w:val="21"/>
        </w:rPr>
        <w:t>．拌和设备应有较好的密封，或有防尘设备。</w:t>
      </w:r>
    </w:p>
    <w:p>
      <w:pPr>
        <w:spacing w:line="420" w:lineRule="exact"/>
        <w:ind w:firstLine="420" w:firstLineChars="200"/>
        <w:rPr>
          <w:szCs w:val="21"/>
        </w:rPr>
      </w:pPr>
      <w:r>
        <w:rPr>
          <w:szCs w:val="21"/>
        </w:rPr>
        <w:t>b</w:t>
      </w:r>
      <w:r>
        <w:rPr>
          <w:rFonts w:hint="eastAsia"/>
          <w:szCs w:val="21"/>
        </w:rPr>
        <w:t>．施工通道、沥青混凝土拌和站及灰土拌和站应经常进行洒水降尘。</w:t>
      </w:r>
    </w:p>
    <w:p>
      <w:pPr>
        <w:spacing w:line="420" w:lineRule="exact"/>
        <w:ind w:firstLine="420" w:firstLineChars="200"/>
        <w:rPr>
          <w:szCs w:val="21"/>
        </w:rPr>
      </w:pPr>
      <w:r>
        <w:rPr>
          <w:szCs w:val="21"/>
        </w:rPr>
        <w:t>c</w:t>
      </w:r>
      <w:r>
        <w:rPr>
          <w:rFonts w:hint="eastAsia"/>
          <w:szCs w:val="21"/>
        </w:rPr>
        <w:t>．路面施工应注意保持水分，以免扬尘。</w:t>
      </w:r>
    </w:p>
    <w:p>
      <w:pPr>
        <w:spacing w:line="420" w:lineRule="exact"/>
        <w:ind w:firstLine="420" w:firstLineChars="200"/>
        <w:rPr>
          <w:szCs w:val="21"/>
        </w:rPr>
      </w:pPr>
      <w:r>
        <w:rPr>
          <w:rFonts w:hint="eastAsia"/>
          <w:szCs w:val="21"/>
        </w:rPr>
        <w:t>（3）采取可靠措施保证原有交通的正常通行，维持沿线村镇的居民饮水、农田灌溉、生产生活用电及通信等管线的正常使用。</w:t>
      </w:r>
    </w:p>
    <w:p>
      <w:pPr>
        <w:spacing w:line="420" w:lineRule="exact"/>
        <w:ind w:firstLine="420" w:firstLineChars="200"/>
        <w:rPr>
          <w:szCs w:val="21"/>
        </w:rPr>
      </w:pPr>
      <w:r>
        <w:rPr>
          <w:rFonts w:hint="eastAsia"/>
          <w:szCs w:val="21"/>
        </w:rPr>
        <w:t>9.4.8  在养护工程施工过程中对承包人采取的环境保护措施，发包人和监理人有权监督，并向承包人提出整改要求，如果由于承包人未能对其负责的上述事项采取各种必要的措施而导致或发生与此有关的人身伤亡、罚款、索赔、损失补偿、诉讼费用及其它一切责任应由承包人负责。</w:t>
      </w:r>
    </w:p>
    <w:p>
      <w:pPr>
        <w:spacing w:line="420" w:lineRule="exact"/>
        <w:ind w:firstLine="420" w:firstLineChars="200"/>
        <w:rPr>
          <w:szCs w:val="21"/>
        </w:rPr>
      </w:pPr>
      <w:r>
        <w:rPr>
          <w:rFonts w:hint="eastAsia"/>
          <w:szCs w:val="21"/>
        </w:rPr>
        <w:t>9.4.9  在养护工程施工期间，承包人应随时保持现场整洁，施工设备和材料、工程设备应整齐妥善存放和储存，废料与垃圾及不再需要的临时设施应及时从现场清除、拆除运走。</w:t>
      </w:r>
    </w:p>
    <w:p>
      <w:pPr>
        <w:spacing w:line="420" w:lineRule="exact"/>
        <w:ind w:firstLine="420" w:firstLineChars="200"/>
        <w:rPr>
          <w:szCs w:val="21"/>
        </w:rPr>
      </w:pPr>
      <w:r>
        <w:rPr>
          <w:rFonts w:hint="eastAsia"/>
          <w:szCs w:val="21"/>
        </w:rPr>
        <w:t>9.4.10  承包人应严格按照国家有关法规要求，做好施工过程中的生态保护和水土保持工作。施工中要尽可能减少对原地面的扰动，减少对地面草木的破坏，需要爆破作业的，应按规定进行控爆设计。雨季填筑路基应随挖、随填、随压，要完善施工中的临时排水系统，加强施工便道的管理。取（弃）土场必须先挡后弃，严禁在指定的取（弃）土场以外的地方乱挖乱弃。</w:t>
      </w:r>
    </w:p>
    <w:p>
      <w:pPr>
        <w:pStyle w:val="27"/>
        <w:spacing w:beforeLines="50" w:afterLines="50" w:line="420" w:lineRule="exact"/>
        <w:rPr>
          <w:sz w:val="21"/>
          <w:szCs w:val="21"/>
        </w:rPr>
      </w:pPr>
      <w:bookmarkStart w:id="3651" w:name="_Toc282779032"/>
      <w:bookmarkStart w:id="3652" w:name="_Toc144974646"/>
      <w:bookmarkStart w:id="3653" w:name="_Toc288491557"/>
      <w:bookmarkStart w:id="3654" w:name="_Toc287853381"/>
      <w:bookmarkStart w:id="3655" w:name="_Toc28664"/>
      <w:bookmarkStart w:id="3656" w:name="_Toc282787479"/>
      <w:bookmarkStart w:id="3657" w:name="_Toc13146"/>
      <w:bookmarkStart w:id="3658" w:name="_Toc152045678"/>
      <w:bookmarkStart w:id="3659" w:name="_Toc237923857"/>
      <w:bookmarkStart w:id="3660" w:name="_Toc288546681"/>
      <w:bookmarkStart w:id="3661" w:name="_Toc18010"/>
      <w:bookmarkStart w:id="3662" w:name="_Toc152042456"/>
      <w:bookmarkStart w:id="3663" w:name="_Toc23198"/>
      <w:bookmarkStart w:id="3664" w:name="_Toc282779541"/>
      <w:bookmarkStart w:id="3665" w:name="_Toc11737"/>
      <w:bookmarkStart w:id="3666" w:name="_Toc179632696"/>
      <w:bookmarkStart w:id="3667" w:name="_Toc836"/>
      <w:bookmarkStart w:id="3668" w:name="_Toc4990"/>
      <w:bookmarkStart w:id="3669" w:name="_Toc19316"/>
      <w:bookmarkStart w:id="3670" w:name="_Toc9429"/>
      <w:bookmarkStart w:id="3671" w:name="_Toc11475"/>
      <w:bookmarkStart w:id="3672" w:name="_Toc1068"/>
      <w:bookmarkStart w:id="3673" w:name="_Toc283794229"/>
      <w:r>
        <w:rPr>
          <w:rFonts w:hint="eastAsia"/>
          <w:b/>
          <w:sz w:val="21"/>
          <w:szCs w:val="21"/>
        </w:rPr>
        <w:t>9.5</w:t>
      </w:r>
      <w:r>
        <w:rPr>
          <w:rFonts w:hint="eastAsia"/>
          <w:sz w:val="21"/>
          <w:szCs w:val="21"/>
        </w:rPr>
        <w:t xml:space="preserve">  事故处理</w:t>
      </w:r>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p>
    <w:p>
      <w:pPr>
        <w:spacing w:line="420" w:lineRule="exact"/>
        <w:ind w:firstLine="420" w:firstLineChars="200"/>
        <w:rPr>
          <w:szCs w:val="21"/>
        </w:rPr>
      </w:pPr>
      <w:r>
        <w:rPr>
          <w:rFonts w:hint="eastAsia"/>
          <w:szCs w:val="21"/>
        </w:rPr>
        <w:t>工程施工过程中发生事故的，承包人应立即通知监理人，监理人应立即通知发包人。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pPr>
        <w:pStyle w:val="28"/>
        <w:spacing w:beforeLines="50" w:afterLines="50" w:line="420" w:lineRule="exact"/>
        <w:rPr>
          <w:szCs w:val="28"/>
        </w:rPr>
      </w:pPr>
      <w:bookmarkStart w:id="3674" w:name="_Toc25644"/>
      <w:bookmarkStart w:id="3675" w:name="_Toc9382"/>
      <w:bookmarkStart w:id="3676" w:name="_Toc237923858"/>
      <w:bookmarkStart w:id="3677" w:name="_Toc7316"/>
      <w:bookmarkStart w:id="3678" w:name="_Toc282787480"/>
      <w:bookmarkStart w:id="3679" w:name="_Toc179632697"/>
      <w:bookmarkStart w:id="3680" w:name="_Toc14675"/>
      <w:bookmarkStart w:id="3681" w:name="_Toc20020"/>
      <w:bookmarkStart w:id="3682" w:name="_Toc282779033"/>
      <w:bookmarkStart w:id="3683" w:name="_Toc287853382"/>
      <w:bookmarkStart w:id="3684" w:name="_Toc283794230"/>
      <w:bookmarkStart w:id="3685" w:name="_Toc152045679"/>
      <w:bookmarkStart w:id="3686" w:name="_Toc4388"/>
      <w:bookmarkStart w:id="3687" w:name="_Toc288546682"/>
      <w:bookmarkStart w:id="3688" w:name="_Toc25294"/>
      <w:bookmarkStart w:id="3689" w:name="_Toc144974647"/>
      <w:bookmarkStart w:id="3690" w:name="_Toc152042457"/>
      <w:bookmarkStart w:id="3691" w:name="_Toc282779542"/>
      <w:bookmarkStart w:id="3692" w:name="_Toc288491558"/>
      <w:bookmarkStart w:id="3693" w:name="_Toc9479"/>
      <w:bookmarkStart w:id="3694" w:name="_Toc4943"/>
      <w:bookmarkStart w:id="3695" w:name="_Toc1432"/>
      <w:bookmarkStart w:id="3696" w:name="_Toc8464"/>
      <w:r>
        <w:rPr>
          <w:rFonts w:hint="eastAsia"/>
          <w:szCs w:val="28"/>
        </w:rPr>
        <w:t>10．进度计划</w:t>
      </w:r>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p>
    <w:p>
      <w:pPr>
        <w:pStyle w:val="27"/>
        <w:spacing w:beforeLines="50" w:afterLines="50" w:line="420" w:lineRule="exact"/>
        <w:rPr>
          <w:sz w:val="21"/>
          <w:szCs w:val="21"/>
        </w:rPr>
      </w:pPr>
      <w:bookmarkStart w:id="3697" w:name="_Toc152042458"/>
      <w:bookmarkStart w:id="3698" w:name="_Toc3031"/>
      <w:bookmarkStart w:id="3699" w:name="_Toc282779034"/>
      <w:bookmarkStart w:id="3700" w:name="_Toc24264"/>
      <w:bookmarkStart w:id="3701" w:name="_Toc31859"/>
      <w:bookmarkStart w:id="3702" w:name="_Toc23226"/>
      <w:bookmarkStart w:id="3703" w:name="_Toc6443"/>
      <w:bookmarkStart w:id="3704" w:name="_Toc283794231"/>
      <w:bookmarkStart w:id="3705" w:name="_Toc8324"/>
      <w:bookmarkStart w:id="3706" w:name="_Toc288491559"/>
      <w:bookmarkStart w:id="3707" w:name="_Toc288546683"/>
      <w:bookmarkStart w:id="3708" w:name="_Toc10260"/>
      <w:bookmarkStart w:id="3709" w:name="_Toc282787481"/>
      <w:bookmarkStart w:id="3710" w:name="_Toc152045680"/>
      <w:bookmarkStart w:id="3711" w:name="_Toc29355"/>
      <w:bookmarkStart w:id="3712" w:name="_Toc144974648"/>
      <w:bookmarkStart w:id="3713" w:name="_Toc20116"/>
      <w:bookmarkStart w:id="3714" w:name="_Toc287853383"/>
      <w:bookmarkStart w:id="3715" w:name="_Toc179632698"/>
      <w:bookmarkStart w:id="3716" w:name="_Toc17105"/>
      <w:bookmarkStart w:id="3717" w:name="_Toc282779543"/>
      <w:bookmarkStart w:id="3718" w:name="_Toc6456"/>
      <w:bookmarkStart w:id="3719" w:name="_Toc237923859"/>
      <w:r>
        <w:rPr>
          <w:rFonts w:hint="eastAsia"/>
          <w:b/>
          <w:sz w:val="21"/>
          <w:szCs w:val="21"/>
        </w:rPr>
        <w:t>10.1</w:t>
      </w:r>
      <w:r>
        <w:rPr>
          <w:rFonts w:hint="eastAsia"/>
          <w:sz w:val="21"/>
          <w:szCs w:val="21"/>
        </w:rPr>
        <w:t xml:space="preserve">  合同进度计划</w:t>
      </w:r>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p>
    <w:p>
      <w:pPr>
        <w:spacing w:line="420" w:lineRule="exact"/>
        <w:ind w:firstLine="420" w:firstLineChars="200"/>
        <w:rPr>
          <w:szCs w:val="21"/>
        </w:rPr>
      </w:pPr>
      <w:r>
        <w:rPr>
          <w:rFonts w:hint="eastAsia"/>
          <w:szCs w:val="21"/>
        </w:rPr>
        <w:t>承包人应按专用合同条款约定的内容和期限，编制详细的施工进度计划和施工方案说明报送监理人。监理人应在专用合同条款约定的期限内批复或提出修改意见，否则该进度计划视为已得到批准。经监理人批准的施工进度计划称合同进度计划，是控制合同工程进度的依据。承包人还应根据合同进度计划，编制更为详细的分阶段或分项进度计划，报监理人审批。</w:t>
      </w:r>
    </w:p>
    <w:p>
      <w:pPr>
        <w:spacing w:line="420" w:lineRule="exact"/>
        <w:ind w:firstLine="420" w:firstLineChars="200"/>
        <w:rPr>
          <w:szCs w:val="21"/>
        </w:rPr>
      </w:pPr>
      <w:r>
        <w:rPr>
          <w:rFonts w:hint="eastAsia" w:hAnsi="宋体"/>
          <w:szCs w:val="21"/>
        </w:rPr>
        <w:t>承包人在签订合同协议书后21天之内，向监理人提交2份其格式和内容符合监理人规定的养护工程施工计划，以及为完成该计划而建议采用的工作安排和施工方案说明。监理人应在收到该计划后的14天内审查同意或提出修改意见。</w:t>
      </w:r>
    </w:p>
    <w:p>
      <w:pPr>
        <w:pStyle w:val="27"/>
        <w:spacing w:beforeLines="50" w:afterLines="50" w:line="420" w:lineRule="exact"/>
        <w:rPr>
          <w:sz w:val="21"/>
          <w:szCs w:val="21"/>
        </w:rPr>
      </w:pPr>
      <w:bookmarkStart w:id="3720" w:name="_Toc282779544"/>
      <w:bookmarkStart w:id="3721" w:name="_Toc152045681"/>
      <w:bookmarkStart w:id="3722" w:name="_Toc2374"/>
      <w:bookmarkStart w:id="3723" w:name="_Toc179632699"/>
      <w:bookmarkStart w:id="3724" w:name="_Toc144974649"/>
      <w:bookmarkStart w:id="3725" w:name="_Toc282787482"/>
      <w:bookmarkStart w:id="3726" w:name="_Toc9968"/>
      <w:bookmarkStart w:id="3727" w:name="_Toc19184"/>
      <w:bookmarkStart w:id="3728" w:name="_Toc612"/>
      <w:bookmarkStart w:id="3729" w:name="_Toc26131"/>
      <w:bookmarkStart w:id="3730" w:name="_Toc9954"/>
      <w:bookmarkStart w:id="3731" w:name="_Toc9092"/>
      <w:bookmarkStart w:id="3732" w:name="_Toc287853384"/>
      <w:bookmarkStart w:id="3733" w:name="_Toc288491560"/>
      <w:bookmarkStart w:id="3734" w:name="_Toc31454"/>
      <w:bookmarkStart w:id="3735" w:name="_Toc28165"/>
      <w:bookmarkStart w:id="3736" w:name="_Toc237923860"/>
      <w:bookmarkStart w:id="3737" w:name="_Toc288546684"/>
      <w:bookmarkStart w:id="3738" w:name="_Toc283794232"/>
      <w:bookmarkStart w:id="3739" w:name="_Toc11750"/>
      <w:bookmarkStart w:id="3740" w:name="_Toc3127"/>
      <w:bookmarkStart w:id="3741" w:name="_Toc282779035"/>
      <w:bookmarkStart w:id="3742" w:name="_Toc152042459"/>
      <w:r>
        <w:rPr>
          <w:rFonts w:hint="eastAsia"/>
          <w:b/>
          <w:sz w:val="21"/>
          <w:szCs w:val="21"/>
        </w:rPr>
        <w:t>10.2</w:t>
      </w:r>
      <w:r>
        <w:rPr>
          <w:rFonts w:hint="eastAsia"/>
          <w:sz w:val="21"/>
          <w:szCs w:val="21"/>
        </w:rPr>
        <w:t xml:space="preserve">  合同进度计划的修订</w:t>
      </w:r>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p>
    <w:p>
      <w:pPr>
        <w:spacing w:line="420" w:lineRule="exact"/>
        <w:ind w:firstLine="420" w:firstLineChars="200"/>
        <w:rPr>
          <w:szCs w:val="21"/>
        </w:rPr>
      </w:pPr>
      <w:r>
        <w:rPr>
          <w:rFonts w:hint="eastAsia"/>
          <w:szCs w:val="21"/>
        </w:rPr>
        <w:t>不论何种原因造成工程的实际进度与第10.1款的合同进度计划不符时，承包人可以在专用合同条款约定的期限内向监理人提交修订合同进度计划的申请报告，并附有关措施和相关资料，报监理人审批；监理人也可以直接向承包人作出修订合同进度计划的指示，承包人应按该指示修订合同进度计划，报监理人审批。监理人应在专用合同条款约定的期限内批复。监理人在批复前应获得发包人同意。</w:t>
      </w:r>
    </w:p>
    <w:p>
      <w:pPr>
        <w:pStyle w:val="28"/>
        <w:spacing w:beforeLines="50" w:afterLines="50" w:line="420" w:lineRule="exact"/>
        <w:rPr>
          <w:szCs w:val="28"/>
        </w:rPr>
      </w:pPr>
      <w:bookmarkStart w:id="3743" w:name="_Toc288546685"/>
      <w:bookmarkStart w:id="3744" w:name="_Toc22308"/>
      <w:bookmarkStart w:id="3745" w:name="_Toc1049"/>
      <w:bookmarkStart w:id="3746" w:name="_Toc237923861"/>
      <w:bookmarkStart w:id="3747" w:name="_Toc282779036"/>
      <w:bookmarkStart w:id="3748" w:name="_Toc13903"/>
      <w:bookmarkStart w:id="3749" w:name="_Toc12319"/>
      <w:bookmarkStart w:id="3750" w:name="_Toc288491561"/>
      <w:bookmarkStart w:id="3751" w:name="_Toc144974650"/>
      <w:bookmarkStart w:id="3752" w:name="_Toc28052"/>
      <w:bookmarkStart w:id="3753" w:name="_Toc282779545"/>
      <w:bookmarkStart w:id="3754" w:name="_Toc9848"/>
      <w:bookmarkStart w:id="3755" w:name="_Toc25893"/>
      <w:bookmarkStart w:id="3756" w:name="_Toc282787483"/>
      <w:bookmarkStart w:id="3757" w:name="_Toc287853385"/>
      <w:bookmarkStart w:id="3758" w:name="_Toc152045682"/>
      <w:bookmarkStart w:id="3759" w:name="_Toc13534"/>
      <w:bookmarkStart w:id="3760" w:name="_Toc152042460"/>
      <w:bookmarkStart w:id="3761" w:name="_Toc179632700"/>
      <w:bookmarkStart w:id="3762" w:name="_Toc283794233"/>
      <w:bookmarkStart w:id="3763" w:name="_Toc6321"/>
      <w:bookmarkStart w:id="3764" w:name="_Toc24781"/>
      <w:bookmarkStart w:id="3765" w:name="_Toc345"/>
      <w:r>
        <w:rPr>
          <w:rFonts w:hint="eastAsia"/>
          <w:szCs w:val="28"/>
        </w:rPr>
        <w:t>11. 开工和交工</w:t>
      </w:r>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p>
    <w:p>
      <w:pPr>
        <w:pStyle w:val="27"/>
        <w:spacing w:beforeLines="50" w:afterLines="50" w:line="420" w:lineRule="exact"/>
        <w:rPr>
          <w:sz w:val="21"/>
          <w:szCs w:val="21"/>
        </w:rPr>
      </w:pPr>
      <w:bookmarkStart w:id="3766" w:name="_Toc14964"/>
      <w:bookmarkStart w:id="3767" w:name="_Toc26421"/>
      <w:bookmarkStart w:id="3768" w:name="_Toc25293"/>
      <w:bookmarkStart w:id="3769" w:name="_Toc7083"/>
      <w:bookmarkStart w:id="3770" w:name="_Toc179632701"/>
      <w:bookmarkStart w:id="3771" w:name="_Toc10460"/>
      <w:bookmarkStart w:id="3772" w:name="_Toc6956"/>
      <w:bookmarkStart w:id="3773" w:name="_Toc283794234"/>
      <w:bookmarkStart w:id="3774" w:name="_Toc288491562"/>
      <w:bookmarkStart w:id="3775" w:name="_Toc20208"/>
      <w:bookmarkStart w:id="3776" w:name="_Toc17939"/>
      <w:bookmarkStart w:id="3777" w:name="_Toc282779037"/>
      <w:bookmarkStart w:id="3778" w:name="_Toc144974651"/>
      <w:bookmarkStart w:id="3779" w:name="_Toc288546686"/>
      <w:bookmarkStart w:id="3780" w:name="_Toc152042461"/>
      <w:bookmarkStart w:id="3781" w:name="_Toc282779546"/>
      <w:bookmarkStart w:id="3782" w:name="_Toc287853386"/>
      <w:bookmarkStart w:id="3783" w:name="_Toc282787484"/>
      <w:bookmarkStart w:id="3784" w:name="_Toc152045683"/>
      <w:bookmarkStart w:id="3785" w:name="_Toc17432"/>
      <w:bookmarkStart w:id="3786" w:name="_Toc14639"/>
      <w:bookmarkStart w:id="3787" w:name="_Toc5699"/>
      <w:bookmarkStart w:id="3788" w:name="_Toc237923862"/>
      <w:r>
        <w:rPr>
          <w:rFonts w:hint="eastAsia"/>
          <w:b/>
          <w:sz w:val="21"/>
          <w:szCs w:val="21"/>
        </w:rPr>
        <w:t>11.1</w:t>
      </w:r>
      <w:r>
        <w:rPr>
          <w:rFonts w:hint="eastAsia"/>
          <w:sz w:val="21"/>
          <w:szCs w:val="21"/>
        </w:rPr>
        <w:t xml:space="preserve">  开工</w:t>
      </w:r>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p>
    <w:p>
      <w:pPr>
        <w:spacing w:line="420" w:lineRule="exact"/>
        <w:ind w:firstLine="420" w:firstLineChars="200"/>
        <w:rPr>
          <w:szCs w:val="21"/>
        </w:rPr>
      </w:pPr>
      <w:r>
        <w:rPr>
          <w:rFonts w:hint="eastAsia"/>
          <w:szCs w:val="21"/>
        </w:rPr>
        <w:t>11.1.1  监理人应在开工日期7天前向承包人发出开工通知。监理人在发出开工通知前应获得发包人同意。工期自监理人发出的开工通知中载明的开工日期起计算。承包人应在开工日期后尽快施工。</w:t>
      </w:r>
    </w:p>
    <w:p>
      <w:pPr>
        <w:spacing w:line="420" w:lineRule="exact"/>
        <w:ind w:firstLine="420" w:firstLineChars="200"/>
        <w:rPr>
          <w:szCs w:val="21"/>
          <w:shd w:val="pct10" w:color="auto" w:fill="FFFFFF"/>
        </w:rPr>
      </w:pPr>
      <w:r>
        <w:rPr>
          <w:rFonts w:hint="eastAsia"/>
          <w:szCs w:val="21"/>
        </w:rPr>
        <w:t>11.1.2  承包人应按第10.1款约定的合同进度计划，向监理人提交工程开工报审表，经监理人审批后执行。开工报审表应详细说明按合同进度计划正常施工所需的施工道路、临时设施、材料设备、施工人员等施工组织措施的落实情况以及工程的进度安排。监理人将在投标书附录的期限内发布进驻通知令，承包人应在投标书附录规定期限内进驻。</w:t>
      </w:r>
    </w:p>
    <w:p>
      <w:pPr>
        <w:pStyle w:val="27"/>
        <w:spacing w:beforeLines="50" w:afterLines="50" w:line="420" w:lineRule="exact"/>
        <w:rPr>
          <w:sz w:val="21"/>
          <w:szCs w:val="21"/>
        </w:rPr>
      </w:pPr>
      <w:bookmarkStart w:id="3789" w:name="_Toc288546687"/>
      <w:bookmarkStart w:id="3790" w:name="_Toc144974652"/>
      <w:bookmarkStart w:id="3791" w:name="_Toc31503"/>
      <w:bookmarkStart w:id="3792" w:name="_Toc31815"/>
      <w:bookmarkStart w:id="3793" w:name="_Toc24995"/>
      <w:bookmarkStart w:id="3794" w:name="_Toc152045684"/>
      <w:bookmarkStart w:id="3795" w:name="_Toc19648"/>
      <w:bookmarkStart w:id="3796" w:name="_Toc484"/>
      <w:bookmarkStart w:id="3797" w:name="_Toc1195"/>
      <w:bookmarkStart w:id="3798" w:name="_Toc282779038"/>
      <w:bookmarkStart w:id="3799" w:name="_Toc282787485"/>
      <w:bookmarkStart w:id="3800" w:name="_Toc288491563"/>
      <w:bookmarkStart w:id="3801" w:name="_Toc30943"/>
      <w:bookmarkStart w:id="3802" w:name="_Toc152042462"/>
      <w:bookmarkStart w:id="3803" w:name="_Toc14756"/>
      <w:bookmarkStart w:id="3804" w:name="_Toc237923863"/>
      <w:bookmarkStart w:id="3805" w:name="_Toc26717"/>
      <w:bookmarkStart w:id="3806" w:name="_Toc12660"/>
      <w:bookmarkStart w:id="3807" w:name="_Toc282779547"/>
      <w:bookmarkStart w:id="3808" w:name="_Toc16574"/>
      <w:bookmarkStart w:id="3809" w:name="_Toc179632702"/>
      <w:bookmarkStart w:id="3810" w:name="_Toc283794235"/>
      <w:bookmarkStart w:id="3811" w:name="_Toc287853387"/>
      <w:r>
        <w:rPr>
          <w:rFonts w:hint="eastAsia"/>
          <w:b/>
          <w:sz w:val="21"/>
          <w:szCs w:val="21"/>
        </w:rPr>
        <w:t>11.2</w:t>
      </w:r>
      <w:r>
        <w:rPr>
          <w:rFonts w:hint="eastAsia"/>
          <w:sz w:val="21"/>
          <w:szCs w:val="21"/>
        </w:rPr>
        <w:t xml:space="preserve">  交工</w:t>
      </w:r>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p>
    <w:p>
      <w:pPr>
        <w:spacing w:line="420" w:lineRule="exact"/>
        <w:ind w:firstLine="420" w:firstLineChars="200"/>
        <w:rPr>
          <w:szCs w:val="21"/>
        </w:rPr>
      </w:pPr>
      <w:r>
        <w:rPr>
          <w:rFonts w:hint="eastAsia"/>
          <w:szCs w:val="21"/>
        </w:rPr>
        <w:t>承包人应在第1.1.4.3目约定的期限内完成合同工程。实际交工日期在接收证书中写明。</w:t>
      </w:r>
    </w:p>
    <w:p>
      <w:pPr>
        <w:pStyle w:val="27"/>
        <w:spacing w:beforeLines="50" w:afterLines="50" w:line="420" w:lineRule="exact"/>
        <w:rPr>
          <w:sz w:val="21"/>
          <w:szCs w:val="21"/>
        </w:rPr>
      </w:pPr>
      <w:bookmarkStart w:id="3812" w:name="_Toc288546688"/>
      <w:bookmarkStart w:id="3813" w:name="_Toc14629"/>
      <w:bookmarkStart w:id="3814" w:name="_Toc152045685"/>
      <w:bookmarkStart w:id="3815" w:name="_Toc13968"/>
      <w:bookmarkStart w:id="3816" w:name="_Toc282779548"/>
      <w:bookmarkStart w:id="3817" w:name="_Toc2735"/>
      <w:bookmarkStart w:id="3818" w:name="_Toc23290"/>
      <w:bookmarkStart w:id="3819" w:name="_Toc237923864"/>
      <w:bookmarkStart w:id="3820" w:name="_Toc282787486"/>
      <w:bookmarkStart w:id="3821" w:name="_Toc6959"/>
      <w:bookmarkStart w:id="3822" w:name="_Toc23408"/>
      <w:bookmarkStart w:id="3823" w:name="_Toc5352"/>
      <w:bookmarkStart w:id="3824" w:name="_Toc25068"/>
      <w:bookmarkStart w:id="3825" w:name="_Toc19306"/>
      <w:bookmarkStart w:id="3826" w:name="_Toc5038"/>
      <w:bookmarkStart w:id="3827" w:name="_Toc287853388"/>
      <w:bookmarkStart w:id="3828" w:name="_Toc144974653"/>
      <w:bookmarkStart w:id="3829" w:name="_Toc179632703"/>
      <w:bookmarkStart w:id="3830" w:name="_Toc282779039"/>
      <w:bookmarkStart w:id="3831" w:name="_Toc6437"/>
      <w:bookmarkStart w:id="3832" w:name="_Toc288491564"/>
      <w:bookmarkStart w:id="3833" w:name="_Toc283794236"/>
      <w:bookmarkStart w:id="3834" w:name="_Toc152042463"/>
      <w:r>
        <w:rPr>
          <w:rFonts w:hint="eastAsia"/>
          <w:b/>
          <w:sz w:val="21"/>
          <w:szCs w:val="21"/>
        </w:rPr>
        <w:t>11.3</w:t>
      </w:r>
      <w:r>
        <w:rPr>
          <w:rFonts w:hint="eastAsia"/>
          <w:sz w:val="21"/>
          <w:szCs w:val="21"/>
        </w:rPr>
        <w:t xml:space="preserve">  发包人的工期延误</w:t>
      </w:r>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p>
    <w:p>
      <w:pPr>
        <w:spacing w:line="420" w:lineRule="exact"/>
        <w:ind w:firstLine="420" w:firstLineChars="200"/>
        <w:rPr>
          <w:szCs w:val="21"/>
        </w:rPr>
      </w:pPr>
      <w:r>
        <w:rPr>
          <w:rFonts w:hint="eastAsia"/>
          <w:szCs w:val="21"/>
        </w:rPr>
        <w:t>在履行合同过程中，由于发包人的下列原因造成工期延误的，承包人有权要求发包人延长工期和（或）增加费用，并支付合理利润。需要修订合同进度计划的，按照第10.2款的约定办理。</w:t>
      </w:r>
    </w:p>
    <w:p>
      <w:pPr>
        <w:spacing w:line="420" w:lineRule="exact"/>
        <w:ind w:firstLine="359" w:firstLineChars="171"/>
        <w:rPr>
          <w:szCs w:val="21"/>
        </w:rPr>
      </w:pPr>
      <w:r>
        <w:rPr>
          <w:rFonts w:hint="eastAsia"/>
          <w:szCs w:val="21"/>
        </w:rPr>
        <w:t>（1）增加合同工作内容；</w:t>
      </w:r>
    </w:p>
    <w:p>
      <w:pPr>
        <w:spacing w:line="420" w:lineRule="exact"/>
        <w:ind w:firstLine="359" w:firstLineChars="171"/>
        <w:rPr>
          <w:szCs w:val="21"/>
        </w:rPr>
      </w:pPr>
      <w:r>
        <w:rPr>
          <w:rFonts w:hint="eastAsia"/>
          <w:szCs w:val="21"/>
        </w:rPr>
        <w:t>（2）改变合同中任何一项工作的质量要求或其它特性；</w:t>
      </w:r>
    </w:p>
    <w:p>
      <w:pPr>
        <w:spacing w:line="420" w:lineRule="exact"/>
        <w:ind w:firstLine="359" w:firstLineChars="171"/>
        <w:rPr>
          <w:szCs w:val="21"/>
        </w:rPr>
      </w:pPr>
      <w:r>
        <w:rPr>
          <w:rFonts w:hint="eastAsia"/>
          <w:szCs w:val="21"/>
        </w:rPr>
        <w:t>（3）发包人迟延提供材料、工程设备或变更交货地点的；</w:t>
      </w:r>
    </w:p>
    <w:p>
      <w:pPr>
        <w:spacing w:line="420" w:lineRule="exact"/>
        <w:ind w:firstLine="359" w:firstLineChars="171"/>
        <w:rPr>
          <w:szCs w:val="21"/>
        </w:rPr>
      </w:pPr>
      <w:r>
        <w:rPr>
          <w:rFonts w:hint="eastAsia"/>
          <w:szCs w:val="21"/>
        </w:rPr>
        <w:t>（4）因发包人原因导致的暂停施工；</w:t>
      </w:r>
    </w:p>
    <w:p>
      <w:pPr>
        <w:spacing w:line="420" w:lineRule="exact"/>
        <w:ind w:firstLine="359" w:firstLineChars="171"/>
        <w:rPr>
          <w:szCs w:val="21"/>
        </w:rPr>
      </w:pPr>
      <w:r>
        <w:rPr>
          <w:rFonts w:hint="eastAsia"/>
          <w:szCs w:val="21"/>
        </w:rPr>
        <w:t>（5）提供图纸延误；</w:t>
      </w:r>
    </w:p>
    <w:p>
      <w:pPr>
        <w:spacing w:line="420" w:lineRule="exact"/>
        <w:ind w:firstLine="359" w:firstLineChars="171"/>
        <w:rPr>
          <w:szCs w:val="21"/>
        </w:rPr>
      </w:pPr>
      <w:r>
        <w:rPr>
          <w:rFonts w:hint="eastAsia"/>
          <w:szCs w:val="21"/>
        </w:rPr>
        <w:t>（6）未按合同约定及时支付预付款、进度款；</w:t>
      </w:r>
    </w:p>
    <w:p>
      <w:pPr>
        <w:spacing w:line="420" w:lineRule="exact"/>
        <w:ind w:firstLine="359" w:firstLineChars="171"/>
        <w:rPr>
          <w:szCs w:val="21"/>
        </w:rPr>
      </w:pPr>
      <w:r>
        <w:rPr>
          <w:rFonts w:hint="eastAsia"/>
          <w:szCs w:val="21"/>
        </w:rPr>
        <w:t>（7）发包人造成工期延误的其它原因。</w:t>
      </w:r>
    </w:p>
    <w:p>
      <w:pPr>
        <w:pStyle w:val="27"/>
        <w:spacing w:beforeLines="50" w:afterLines="50" w:line="420" w:lineRule="exact"/>
        <w:rPr>
          <w:sz w:val="21"/>
          <w:szCs w:val="21"/>
        </w:rPr>
      </w:pPr>
      <w:bookmarkStart w:id="3835" w:name="_Toc14002"/>
      <w:bookmarkStart w:id="3836" w:name="_Toc288546689"/>
      <w:bookmarkStart w:id="3837" w:name="_Toc25405"/>
      <w:bookmarkStart w:id="3838" w:name="_Toc8465"/>
      <w:bookmarkStart w:id="3839" w:name="_Toc152045686"/>
      <w:bookmarkStart w:id="3840" w:name="_Toc282787487"/>
      <w:bookmarkStart w:id="3841" w:name="_Toc288491565"/>
      <w:bookmarkStart w:id="3842" w:name="_Toc21993"/>
      <w:bookmarkStart w:id="3843" w:name="_Toc283794237"/>
      <w:bookmarkStart w:id="3844" w:name="_Toc21403"/>
      <w:bookmarkStart w:id="3845" w:name="_Toc13148"/>
      <w:bookmarkStart w:id="3846" w:name="_Toc28507"/>
      <w:bookmarkStart w:id="3847" w:name="_Toc9195"/>
      <w:bookmarkStart w:id="3848" w:name="_Toc25666"/>
      <w:bookmarkStart w:id="3849" w:name="_Toc282779040"/>
      <w:bookmarkStart w:id="3850" w:name="_Toc287853389"/>
      <w:bookmarkStart w:id="3851" w:name="_Toc237923865"/>
      <w:bookmarkStart w:id="3852" w:name="_Toc282779549"/>
      <w:bookmarkStart w:id="3853" w:name="_Toc144974654"/>
      <w:bookmarkStart w:id="3854" w:name="_Toc152042464"/>
      <w:bookmarkStart w:id="3855" w:name="_Toc1392"/>
      <w:bookmarkStart w:id="3856" w:name="_Toc1991"/>
      <w:bookmarkStart w:id="3857" w:name="_Toc179632704"/>
      <w:r>
        <w:rPr>
          <w:rFonts w:hint="eastAsia"/>
          <w:b/>
          <w:sz w:val="21"/>
          <w:szCs w:val="21"/>
        </w:rPr>
        <w:t>11.4</w:t>
      </w:r>
      <w:r>
        <w:rPr>
          <w:rFonts w:hint="eastAsia"/>
          <w:sz w:val="21"/>
          <w:szCs w:val="21"/>
        </w:rPr>
        <w:t xml:space="preserve">  异常恶劣的气候条件</w:t>
      </w:r>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p>
    <w:p>
      <w:pPr>
        <w:spacing w:line="420" w:lineRule="exact"/>
        <w:ind w:firstLine="359" w:firstLineChars="171"/>
        <w:rPr>
          <w:szCs w:val="21"/>
        </w:rPr>
      </w:pPr>
      <w:r>
        <w:rPr>
          <w:rFonts w:hint="eastAsia"/>
          <w:szCs w:val="21"/>
        </w:rPr>
        <w:t>由于出现专用合同条款规定的异常恶劣气候的条件导致工期延误的，承包人有权要求发包人延长工期。</w:t>
      </w:r>
    </w:p>
    <w:p>
      <w:pPr>
        <w:pStyle w:val="27"/>
        <w:spacing w:beforeLines="50" w:afterLines="50" w:line="420" w:lineRule="exact"/>
        <w:rPr>
          <w:sz w:val="21"/>
          <w:szCs w:val="21"/>
        </w:rPr>
      </w:pPr>
      <w:bookmarkStart w:id="3858" w:name="_Toc17861"/>
      <w:bookmarkStart w:id="3859" w:name="_Toc282779041"/>
      <w:bookmarkStart w:id="3860" w:name="_Toc288546690"/>
      <w:bookmarkStart w:id="3861" w:name="_Toc12506"/>
      <w:bookmarkStart w:id="3862" w:name="_Toc29656"/>
      <w:bookmarkStart w:id="3863" w:name="_Toc152042465"/>
      <w:bookmarkStart w:id="3864" w:name="_Toc282787488"/>
      <w:bookmarkStart w:id="3865" w:name="_Toc282779550"/>
      <w:bookmarkStart w:id="3866" w:name="_Toc8298"/>
      <w:bookmarkStart w:id="3867" w:name="_Toc287853390"/>
      <w:bookmarkStart w:id="3868" w:name="_Toc179632705"/>
      <w:bookmarkStart w:id="3869" w:name="_Toc144974655"/>
      <w:bookmarkStart w:id="3870" w:name="_Toc283794238"/>
      <w:bookmarkStart w:id="3871" w:name="_Toc31803"/>
      <w:bookmarkStart w:id="3872" w:name="_Toc26434"/>
      <w:bookmarkStart w:id="3873" w:name="_Toc24195"/>
      <w:bookmarkStart w:id="3874" w:name="_Toc152045687"/>
      <w:bookmarkStart w:id="3875" w:name="_Toc237923866"/>
      <w:bookmarkStart w:id="3876" w:name="_Toc7696"/>
      <w:bookmarkStart w:id="3877" w:name="_Toc11044"/>
      <w:bookmarkStart w:id="3878" w:name="_Toc288491566"/>
      <w:bookmarkStart w:id="3879" w:name="_Toc29909"/>
      <w:bookmarkStart w:id="3880" w:name="_Toc21020"/>
      <w:r>
        <w:rPr>
          <w:rFonts w:hint="eastAsia"/>
          <w:b/>
          <w:sz w:val="21"/>
          <w:szCs w:val="21"/>
        </w:rPr>
        <w:t>11.5</w:t>
      </w:r>
      <w:r>
        <w:rPr>
          <w:rFonts w:hint="eastAsia"/>
          <w:sz w:val="21"/>
          <w:szCs w:val="21"/>
        </w:rPr>
        <w:t xml:space="preserve">  承包人的工期延误</w:t>
      </w:r>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p>
    <w:p>
      <w:pPr>
        <w:spacing w:line="420" w:lineRule="exact"/>
        <w:ind w:firstLine="420" w:firstLineChars="200"/>
        <w:rPr>
          <w:rFonts w:ascii="宋体" w:hAnsi="宋体"/>
          <w:szCs w:val="21"/>
        </w:rPr>
      </w:pPr>
      <w:r>
        <w:rPr>
          <w:rFonts w:hint="eastAsia"/>
          <w:szCs w:val="21"/>
        </w:rPr>
        <w:t>由于承包人原因，未能按合同进度计划完成工作，或监理人认为承包人施工进度不能满足合同工期要求的，承包人应采取措施加快进度，并承担加快进度所增加的费用。由于承包人原因造成工期延误，承包人应支付逾期交工违约金。逾期交工违约金的日期计算，</w:t>
      </w:r>
      <w:r>
        <w:rPr>
          <w:rFonts w:hint="eastAsia" w:ascii="宋体" w:hAnsi="宋体"/>
          <w:szCs w:val="21"/>
        </w:rPr>
        <w:t>自预定的交工日期起到养护工程合同的工程交工证书中写明的交工日期或已批准的延长工期止，按天计算。逾期交工违约金应不超过在投标书附录中写明的限额。发包人可以从应付或到期应付给承包人的任何款项中扣除此违约金，不排除采用其它扣款方法。</w:t>
      </w:r>
    </w:p>
    <w:p>
      <w:pPr>
        <w:spacing w:line="420" w:lineRule="exact"/>
        <w:ind w:firstLine="420" w:firstLineChars="200"/>
        <w:rPr>
          <w:szCs w:val="21"/>
        </w:rPr>
      </w:pPr>
      <w:r>
        <w:rPr>
          <w:rFonts w:hint="eastAsia"/>
          <w:szCs w:val="21"/>
        </w:rPr>
        <w:t>承包人支付逾期交工违约金，不免除承包人完成工程及修补缺陷的义务。</w:t>
      </w:r>
    </w:p>
    <w:p>
      <w:pPr>
        <w:pStyle w:val="27"/>
        <w:spacing w:beforeLines="50" w:afterLines="50" w:line="420" w:lineRule="exact"/>
        <w:rPr>
          <w:sz w:val="21"/>
          <w:szCs w:val="21"/>
        </w:rPr>
      </w:pPr>
      <w:bookmarkStart w:id="3881" w:name="_Toc144974656"/>
      <w:bookmarkStart w:id="3882" w:name="_Toc32397"/>
      <w:bookmarkStart w:id="3883" w:name="_Toc282779551"/>
      <w:bookmarkStart w:id="3884" w:name="_Toc17805"/>
      <w:bookmarkStart w:id="3885" w:name="_Toc179632706"/>
      <w:bookmarkStart w:id="3886" w:name="_Toc288546691"/>
      <w:bookmarkStart w:id="3887" w:name="_Toc10903"/>
      <w:bookmarkStart w:id="3888" w:name="_Toc27483"/>
      <w:bookmarkStart w:id="3889" w:name="_Toc282787489"/>
      <w:bookmarkStart w:id="3890" w:name="_Toc152042466"/>
      <w:bookmarkStart w:id="3891" w:name="_Toc237923867"/>
      <w:bookmarkStart w:id="3892" w:name="_Toc288491567"/>
      <w:bookmarkStart w:id="3893" w:name="_Toc287853391"/>
      <w:bookmarkStart w:id="3894" w:name="_Toc12328"/>
      <w:bookmarkStart w:id="3895" w:name="_Toc12457"/>
      <w:bookmarkStart w:id="3896" w:name="_Toc283794239"/>
      <w:bookmarkStart w:id="3897" w:name="_Toc6280"/>
      <w:bookmarkStart w:id="3898" w:name="_Toc11800"/>
      <w:bookmarkStart w:id="3899" w:name="_Toc16822"/>
      <w:bookmarkStart w:id="3900" w:name="_Toc14839"/>
      <w:bookmarkStart w:id="3901" w:name="_Toc282779042"/>
      <w:bookmarkStart w:id="3902" w:name="_Toc24630"/>
      <w:bookmarkStart w:id="3903" w:name="_Toc152045688"/>
      <w:r>
        <w:rPr>
          <w:rFonts w:hint="eastAsia"/>
          <w:b/>
          <w:sz w:val="21"/>
          <w:szCs w:val="21"/>
        </w:rPr>
        <w:t>11.6</w:t>
      </w:r>
      <w:bookmarkEnd w:id="3881"/>
      <w:bookmarkStart w:id="3904" w:name="_Toc144974657"/>
      <w:r>
        <w:rPr>
          <w:rFonts w:hint="eastAsia"/>
          <w:sz w:val="21"/>
          <w:szCs w:val="21"/>
        </w:rPr>
        <w:t xml:space="preserve">  工期提前</w:t>
      </w:r>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p>
    <w:p>
      <w:pPr>
        <w:spacing w:line="420" w:lineRule="exact"/>
        <w:ind w:firstLine="420" w:firstLineChars="200"/>
        <w:rPr>
          <w:szCs w:val="21"/>
        </w:rPr>
      </w:pPr>
      <w:r>
        <w:rPr>
          <w:rFonts w:hint="eastAsia"/>
          <w:szCs w:val="21"/>
        </w:rPr>
        <w:t>发包人要求承包人提前竣工，或承包人提出提前竣工的建议能够给发包人带来效益的，应由监理人与承包人共同协商采取加快工程进度的措施和修订合同进度计划。发包人应承担承包人由此增加的费用，并向承包人支付</w:t>
      </w:r>
      <w:r>
        <w:rPr>
          <w:rFonts w:hint="eastAsia" w:ascii="宋体" w:hAnsi="宋体"/>
          <w:szCs w:val="21"/>
        </w:rPr>
        <w:t>在投标书附录中写明</w:t>
      </w:r>
      <w:r>
        <w:rPr>
          <w:rFonts w:hint="eastAsia"/>
          <w:szCs w:val="21"/>
        </w:rPr>
        <w:t>的相应奖金。</w:t>
      </w:r>
    </w:p>
    <w:p>
      <w:pPr>
        <w:pStyle w:val="7"/>
        <w:spacing w:before="120" w:after="120" w:line="420" w:lineRule="exact"/>
        <w:rPr>
          <w:b w:val="0"/>
          <w:sz w:val="21"/>
          <w:szCs w:val="21"/>
        </w:rPr>
      </w:pPr>
      <w:bookmarkStart w:id="3905" w:name="_Toc282787490"/>
      <w:r>
        <w:rPr>
          <w:rFonts w:ascii="Times New Roman" w:hAnsi="Times New Roman"/>
          <w:sz w:val="21"/>
          <w:szCs w:val="21"/>
        </w:rPr>
        <w:t>11.7</w:t>
      </w:r>
      <w:r>
        <w:rPr>
          <w:rFonts w:hint="eastAsia"/>
          <w:b w:val="0"/>
          <w:sz w:val="21"/>
          <w:szCs w:val="21"/>
        </w:rPr>
        <w:t>工作时间的限制</w:t>
      </w:r>
      <w:bookmarkEnd w:id="3905"/>
    </w:p>
    <w:p>
      <w:pPr>
        <w:spacing w:line="420" w:lineRule="exact"/>
        <w:ind w:firstLine="420" w:firstLineChars="200"/>
        <w:rPr>
          <w:szCs w:val="21"/>
        </w:rPr>
      </w:pPr>
      <w:r>
        <w:rPr>
          <w:rFonts w:hint="eastAsia"/>
          <w:szCs w:val="21"/>
        </w:rPr>
        <w:t>承包人在夜间或国家规定的节假日进行公路养护工程的施工，应向监理人报告，以便监理人履行监理职责和义务。</w:t>
      </w:r>
    </w:p>
    <w:p>
      <w:pPr>
        <w:spacing w:line="420" w:lineRule="exact"/>
        <w:ind w:firstLine="420" w:firstLineChars="200"/>
        <w:rPr>
          <w:szCs w:val="21"/>
        </w:rPr>
      </w:pPr>
      <w:r>
        <w:rPr>
          <w:rFonts w:hint="eastAsia"/>
          <w:szCs w:val="21"/>
        </w:rPr>
        <w:t>但是，为了抢救生命或保护财产，或为了工程的安全、质量而不可避免地短暂作业，则不必事先向监理人报告。但承包人应在事后立即向监理人报告。</w:t>
      </w:r>
    </w:p>
    <w:p>
      <w:pPr>
        <w:spacing w:line="420" w:lineRule="exact"/>
        <w:ind w:firstLine="420" w:firstLineChars="200"/>
        <w:rPr>
          <w:szCs w:val="21"/>
        </w:rPr>
      </w:pPr>
      <w:r>
        <w:rPr>
          <w:rFonts w:hint="eastAsia"/>
          <w:szCs w:val="21"/>
        </w:rPr>
        <w:t>本款规定不适用于习惯上或施工本身要求实行连续生产的作业。</w:t>
      </w:r>
    </w:p>
    <w:p>
      <w:pPr>
        <w:pStyle w:val="28"/>
        <w:spacing w:beforeLines="50" w:afterLines="50" w:line="420" w:lineRule="exact"/>
        <w:rPr>
          <w:szCs w:val="28"/>
        </w:rPr>
      </w:pPr>
      <w:bookmarkStart w:id="3906" w:name="_Toc287853392"/>
      <w:bookmarkStart w:id="3907" w:name="_Toc283794240"/>
      <w:bookmarkStart w:id="3908" w:name="_Toc31365"/>
      <w:bookmarkStart w:id="3909" w:name="_Toc282779043"/>
      <w:bookmarkStart w:id="3910" w:name="_Toc14502"/>
      <w:bookmarkStart w:id="3911" w:name="_Toc16282"/>
      <w:bookmarkStart w:id="3912" w:name="_Toc288546692"/>
      <w:bookmarkStart w:id="3913" w:name="_Toc26865"/>
      <w:bookmarkStart w:id="3914" w:name="_Toc20214"/>
      <w:bookmarkStart w:id="3915" w:name="_Toc288491568"/>
      <w:bookmarkStart w:id="3916" w:name="_Toc19067"/>
      <w:bookmarkStart w:id="3917" w:name="_Toc21003"/>
      <w:bookmarkStart w:id="3918" w:name="_Toc282787491"/>
      <w:bookmarkStart w:id="3919" w:name="_Toc5039"/>
      <w:bookmarkStart w:id="3920" w:name="_Toc282779552"/>
      <w:bookmarkStart w:id="3921" w:name="_Toc23238"/>
      <w:bookmarkStart w:id="3922" w:name="_Toc4159"/>
      <w:bookmarkStart w:id="3923" w:name="_Toc31022"/>
      <w:bookmarkStart w:id="3924" w:name="_Toc179632708"/>
      <w:bookmarkStart w:id="3925" w:name="_Toc152042468"/>
      <w:bookmarkStart w:id="3926" w:name="_Toc237923869"/>
      <w:bookmarkStart w:id="3927" w:name="_Toc144974659"/>
      <w:bookmarkStart w:id="3928" w:name="_Toc152045690"/>
      <w:r>
        <w:rPr>
          <w:rFonts w:hint="eastAsia"/>
          <w:szCs w:val="28"/>
        </w:rPr>
        <w:t>12. 暂停施工</w:t>
      </w:r>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p>
    <w:p>
      <w:pPr>
        <w:pStyle w:val="27"/>
        <w:spacing w:beforeLines="50" w:afterLines="50" w:line="420" w:lineRule="exact"/>
        <w:rPr>
          <w:sz w:val="21"/>
          <w:szCs w:val="21"/>
        </w:rPr>
      </w:pPr>
      <w:bookmarkStart w:id="3929" w:name="_Toc13743"/>
      <w:bookmarkStart w:id="3930" w:name="_Toc17189"/>
      <w:bookmarkStart w:id="3931" w:name="_Toc12075"/>
      <w:bookmarkStart w:id="3932" w:name="_Toc8524"/>
      <w:bookmarkStart w:id="3933" w:name="_Toc287853393"/>
      <w:bookmarkStart w:id="3934" w:name="_Toc32720"/>
      <w:bookmarkStart w:id="3935" w:name="_Toc15556"/>
      <w:bookmarkStart w:id="3936" w:name="_Toc282787492"/>
      <w:bookmarkStart w:id="3937" w:name="_Toc282779044"/>
      <w:bookmarkStart w:id="3938" w:name="_Toc16185"/>
      <w:bookmarkStart w:id="3939" w:name="_Toc25947"/>
      <w:bookmarkStart w:id="3940" w:name="_Toc9348"/>
      <w:bookmarkStart w:id="3941" w:name="_Toc283794241"/>
      <w:bookmarkStart w:id="3942" w:name="_Toc288491569"/>
      <w:bookmarkStart w:id="3943" w:name="_Toc8053"/>
      <w:bookmarkStart w:id="3944" w:name="_Toc288546693"/>
      <w:bookmarkStart w:id="3945" w:name="_Toc21278"/>
      <w:bookmarkStart w:id="3946" w:name="_Toc282779553"/>
      <w:r>
        <w:rPr>
          <w:rFonts w:hint="eastAsia"/>
          <w:b/>
          <w:sz w:val="21"/>
          <w:szCs w:val="21"/>
        </w:rPr>
        <w:t>12.1</w:t>
      </w:r>
      <w:r>
        <w:rPr>
          <w:rFonts w:hint="eastAsia"/>
          <w:sz w:val="21"/>
          <w:szCs w:val="21"/>
        </w:rPr>
        <w:t xml:space="preserve">  承包人暂停施工的责任</w:t>
      </w:r>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p>
    <w:p>
      <w:pPr>
        <w:spacing w:line="420" w:lineRule="exact"/>
        <w:ind w:firstLine="420" w:firstLineChars="200"/>
        <w:rPr>
          <w:szCs w:val="21"/>
        </w:rPr>
      </w:pPr>
      <w:r>
        <w:rPr>
          <w:rFonts w:hint="eastAsia"/>
          <w:szCs w:val="21"/>
        </w:rPr>
        <w:t>因下列暂停施工增加的费用和（或）工期延误由承包人承担：</w:t>
      </w:r>
    </w:p>
    <w:p>
      <w:pPr>
        <w:spacing w:line="420" w:lineRule="exact"/>
        <w:ind w:firstLine="420" w:firstLineChars="200"/>
        <w:rPr>
          <w:szCs w:val="21"/>
        </w:rPr>
      </w:pPr>
      <w:r>
        <w:rPr>
          <w:rFonts w:hint="eastAsia"/>
          <w:szCs w:val="21"/>
        </w:rPr>
        <w:t>（1）承包人违约引起的暂停施工；</w:t>
      </w:r>
    </w:p>
    <w:p>
      <w:pPr>
        <w:spacing w:line="420" w:lineRule="exact"/>
        <w:ind w:firstLine="420" w:firstLineChars="200"/>
        <w:rPr>
          <w:szCs w:val="21"/>
        </w:rPr>
      </w:pPr>
      <w:r>
        <w:rPr>
          <w:rFonts w:hint="eastAsia"/>
          <w:szCs w:val="21"/>
        </w:rPr>
        <w:t>（2）由于承包人原因为工程合理施工和安全保障所必需的暂停施工；</w:t>
      </w:r>
    </w:p>
    <w:p>
      <w:pPr>
        <w:spacing w:line="420" w:lineRule="exact"/>
        <w:ind w:firstLine="420" w:firstLineChars="200"/>
        <w:rPr>
          <w:szCs w:val="21"/>
        </w:rPr>
      </w:pPr>
      <w:r>
        <w:rPr>
          <w:rFonts w:hint="eastAsia"/>
          <w:szCs w:val="21"/>
        </w:rPr>
        <w:t>（3）承包人擅自暂停施工；</w:t>
      </w:r>
    </w:p>
    <w:p>
      <w:pPr>
        <w:spacing w:line="420" w:lineRule="exact"/>
        <w:ind w:firstLine="420" w:firstLineChars="200"/>
        <w:rPr>
          <w:szCs w:val="21"/>
        </w:rPr>
      </w:pPr>
      <w:r>
        <w:rPr>
          <w:rFonts w:hint="eastAsia"/>
          <w:szCs w:val="21"/>
        </w:rPr>
        <w:t>（4）承包人其它原因引起的暂停施工；</w:t>
      </w:r>
    </w:p>
    <w:p>
      <w:pPr>
        <w:spacing w:line="420" w:lineRule="exact"/>
        <w:ind w:firstLine="420" w:firstLineChars="200"/>
        <w:rPr>
          <w:szCs w:val="21"/>
        </w:rPr>
      </w:pPr>
      <w:r>
        <w:rPr>
          <w:rFonts w:hint="eastAsia"/>
          <w:szCs w:val="21"/>
        </w:rPr>
        <w:t>（5）现场气候条件导致的必要停工（第11.4款规定的异常恶劣的气候条件除外）；</w:t>
      </w:r>
    </w:p>
    <w:p>
      <w:pPr>
        <w:spacing w:line="420" w:lineRule="exact"/>
        <w:ind w:firstLine="420" w:firstLineChars="200"/>
        <w:rPr>
          <w:szCs w:val="21"/>
        </w:rPr>
      </w:pPr>
      <w:r>
        <w:rPr>
          <w:rFonts w:hint="eastAsia"/>
          <w:szCs w:val="21"/>
        </w:rPr>
        <w:t>（6）项目专用合同条款可能约定的由承包人承担的其它暂停施工。</w:t>
      </w:r>
    </w:p>
    <w:p>
      <w:pPr>
        <w:pStyle w:val="27"/>
        <w:spacing w:beforeLines="50" w:afterLines="50" w:line="420" w:lineRule="exact"/>
        <w:rPr>
          <w:sz w:val="21"/>
          <w:szCs w:val="21"/>
        </w:rPr>
      </w:pPr>
      <w:bookmarkStart w:id="3947" w:name="_Toc179632709"/>
      <w:bookmarkStart w:id="3948" w:name="_Toc32162"/>
      <w:bookmarkStart w:id="3949" w:name="_Toc144974660"/>
      <w:bookmarkStart w:id="3950" w:name="_Toc16077"/>
      <w:bookmarkStart w:id="3951" w:name="_Toc8370"/>
      <w:bookmarkStart w:id="3952" w:name="_Toc288546694"/>
      <w:bookmarkStart w:id="3953" w:name="_Toc282787493"/>
      <w:bookmarkStart w:id="3954" w:name="_Toc287853394"/>
      <w:bookmarkStart w:id="3955" w:name="_Toc31097"/>
      <w:bookmarkStart w:id="3956" w:name="_Toc2909"/>
      <w:bookmarkStart w:id="3957" w:name="_Toc152045691"/>
      <w:bookmarkStart w:id="3958" w:name="_Toc282779554"/>
      <w:bookmarkStart w:id="3959" w:name="_Toc14460"/>
      <w:bookmarkStart w:id="3960" w:name="_Toc288491570"/>
      <w:bookmarkStart w:id="3961" w:name="_Toc8830"/>
      <w:bookmarkStart w:id="3962" w:name="_Toc14971"/>
      <w:bookmarkStart w:id="3963" w:name="_Toc20498"/>
      <w:bookmarkStart w:id="3964" w:name="_Toc12422"/>
      <w:bookmarkStart w:id="3965" w:name="_Toc152042469"/>
      <w:bookmarkStart w:id="3966" w:name="_Toc237923870"/>
      <w:bookmarkStart w:id="3967" w:name="_Toc282779045"/>
      <w:bookmarkStart w:id="3968" w:name="_Toc21246"/>
      <w:bookmarkStart w:id="3969" w:name="_Toc283794242"/>
      <w:r>
        <w:rPr>
          <w:rFonts w:hint="eastAsia"/>
          <w:b/>
          <w:sz w:val="21"/>
          <w:szCs w:val="21"/>
        </w:rPr>
        <w:t>12.2</w:t>
      </w:r>
      <w:r>
        <w:rPr>
          <w:rFonts w:hint="eastAsia"/>
          <w:sz w:val="21"/>
          <w:szCs w:val="21"/>
        </w:rPr>
        <w:t xml:space="preserve">  发包人暂停施工的责任</w:t>
      </w:r>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p>
    <w:p>
      <w:pPr>
        <w:spacing w:line="420" w:lineRule="exact"/>
        <w:ind w:firstLine="420" w:firstLineChars="200"/>
        <w:rPr>
          <w:szCs w:val="21"/>
        </w:rPr>
      </w:pPr>
      <w:r>
        <w:rPr>
          <w:rFonts w:hint="eastAsia"/>
          <w:szCs w:val="21"/>
        </w:rPr>
        <w:t>由于发包人原因引起的暂停施工造成工期延误的，承包人有权要求发包人延长工期和（或）增加费用，并支付合理利润。</w:t>
      </w:r>
    </w:p>
    <w:p>
      <w:pPr>
        <w:pStyle w:val="27"/>
        <w:spacing w:beforeLines="50" w:afterLines="50" w:line="420" w:lineRule="exact"/>
        <w:rPr>
          <w:sz w:val="21"/>
          <w:szCs w:val="21"/>
        </w:rPr>
      </w:pPr>
      <w:bookmarkStart w:id="3970" w:name="_Toc11430"/>
      <w:bookmarkStart w:id="3971" w:name="_Toc152042470"/>
      <w:bookmarkStart w:id="3972" w:name="_Toc237923871"/>
      <w:bookmarkStart w:id="3973" w:name="_Toc6212"/>
      <w:bookmarkStart w:id="3974" w:name="_Toc152045692"/>
      <w:bookmarkStart w:id="3975" w:name="_Toc7093"/>
      <w:bookmarkStart w:id="3976" w:name="_Toc25504"/>
      <w:bookmarkStart w:id="3977" w:name="_Toc9687"/>
      <w:bookmarkStart w:id="3978" w:name="_Toc282779046"/>
      <w:bookmarkStart w:id="3979" w:name="_Toc288546695"/>
      <w:bookmarkStart w:id="3980" w:name="_Toc2840"/>
      <w:bookmarkStart w:id="3981" w:name="_Toc283794243"/>
      <w:bookmarkStart w:id="3982" w:name="_Toc287853395"/>
      <w:bookmarkStart w:id="3983" w:name="_Toc4867"/>
      <w:bookmarkStart w:id="3984" w:name="_Toc144974661"/>
      <w:bookmarkStart w:id="3985" w:name="_Toc20034"/>
      <w:bookmarkStart w:id="3986" w:name="_Toc28251"/>
      <w:bookmarkStart w:id="3987" w:name="_Toc282787494"/>
      <w:bookmarkStart w:id="3988" w:name="_Toc288491571"/>
      <w:bookmarkStart w:id="3989" w:name="_Toc3221"/>
      <w:bookmarkStart w:id="3990" w:name="_Toc25341"/>
      <w:bookmarkStart w:id="3991" w:name="_Toc179632710"/>
      <w:bookmarkStart w:id="3992" w:name="_Toc282779555"/>
      <w:r>
        <w:rPr>
          <w:rFonts w:hint="eastAsia"/>
          <w:b/>
          <w:sz w:val="21"/>
          <w:szCs w:val="21"/>
        </w:rPr>
        <w:t>12.3</w:t>
      </w:r>
      <w:r>
        <w:rPr>
          <w:rFonts w:hint="eastAsia"/>
          <w:sz w:val="21"/>
          <w:szCs w:val="21"/>
        </w:rPr>
        <w:t xml:space="preserve">  监理人暂停施工指示</w:t>
      </w:r>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p>
    <w:p>
      <w:pPr>
        <w:spacing w:line="420" w:lineRule="exact"/>
        <w:ind w:firstLine="420" w:firstLineChars="200"/>
        <w:rPr>
          <w:szCs w:val="21"/>
        </w:rPr>
      </w:pPr>
      <w:r>
        <w:rPr>
          <w:rFonts w:hint="eastAsia"/>
          <w:szCs w:val="21"/>
        </w:rPr>
        <w:t>12.3.1  监理人认为有必要时，可向承包人作出暂停施工的指示，承包人应按监理人指示暂停施工。不论由于何种原因引起的暂停施工，暂停施工期间承包人应负责妥善保护工程并提供安全保障。</w:t>
      </w:r>
    </w:p>
    <w:p>
      <w:pPr>
        <w:spacing w:line="420" w:lineRule="exact"/>
        <w:ind w:firstLine="420" w:firstLineChars="200"/>
        <w:rPr>
          <w:szCs w:val="21"/>
        </w:rPr>
      </w:pPr>
      <w:r>
        <w:rPr>
          <w:rFonts w:hint="eastAsia"/>
          <w:szCs w:val="21"/>
        </w:rPr>
        <w:t>12.3.2  由于发包人的原因发生暂停施工的紧急情况，且监理人未及时下达暂停施工指示的，承包人可先暂停施工，并及时向监理人提出暂停施工的书面请求。监理人应在接到书面请求后的24小时内予以答复，逾期未答复的，视为同意承包人的暂停施工请求。</w:t>
      </w:r>
    </w:p>
    <w:p>
      <w:pPr>
        <w:pStyle w:val="27"/>
        <w:spacing w:beforeLines="50" w:afterLines="50" w:line="420" w:lineRule="exact"/>
        <w:rPr>
          <w:sz w:val="21"/>
          <w:szCs w:val="21"/>
        </w:rPr>
      </w:pPr>
      <w:bookmarkStart w:id="3993" w:name="_Toc144974662"/>
      <w:bookmarkStart w:id="3994" w:name="_Toc27626"/>
      <w:bookmarkStart w:id="3995" w:name="_Toc794"/>
      <w:bookmarkStart w:id="3996" w:name="_Toc237923872"/>
      <w:bookmarkStart w:id="3997" w:name="_Toc22964"/>
      <w:bookmarkStart w:id="3998" w:name="_Toc1979"/>
      <w:bookmarkStart w:id="3999" w:name="_Toc22965"/>
      <w:bookmarkStart w:id="4000" w:name="_Toc288546696"/>
      <w:bookmarkStart w:id="4001" w:name="_Toc283794244"/>
      <w:bookmarkStart w:id="4002" w:name="_Toc19665"/>
      <w:bookmarkStart w:id="4003" w:name="_Toc288491572"/>
      <w:bookmarkStart w:id="4004" w:name="_Toc282779556"/>
      <w:bookmarkStart w:id="4005" w:name="_Toc24864"/>
      <w:bookmarkStart w:id="4006" w:name="_Toc179632711"/>
      <w:bookmarkStart w:id="4007" w:name="_Toc17486"/>
      <w:bookmarkStart w:id="4008" w:name="_Toc21478"/>
      <w:bookmarkStart w:id="4009" w:name="_Toc14131"/>
      <w:bookmarkStart w:id="4010" w:name="_Toc152042471"/>
      <w:bookmarkStart w:id="4011" w:name="_Toc152045693"/>
      <w:bookmarkStart w:id="4012" w:name="_Toc282787495"/>
      <w:bookmarkStart w:id="4013" w:name="_Toc287853396"/>
      <w:bookmarkStart w:id="4014" w:name="_Toc11531"/>
      <w:bookmarkStart w:id="4015" w:name="_Toc282779047"/>
      <w:r>
        <w:rPr>
          <w:rFonts w:hint="eastAsia"/>
          <w:b/>
          <w:sz w:val="21"/>
          <w:szCs w:val="21"/>
        </w:rPr>
        <w:t>12.4</w:t>
      </w:r>
      <w:r>
        <w:rPr>
          <w:rFonts w:hint="eastAsia"/>
          <w:sz w:val="21"/>
          <w:szCs w:val="21"/>
        </w:rPr>
        <w:t xml:space="preserve">  暂停施工后的复工</w:t>
      </w:r>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p>
    <w:p>
      <w:pPr>
        <w:spacing w:line="420" w:lineRule="exact"/>
        <w:ind w:firstLine="420" w:firstLineChars="200"/>
        <w:rPr>
          <w:szCs w:val="21"/>
        </w:rPr>
      </w:pPr>
      <w:r>
        <w:rPr>
          <w:rFonts w:hint="eastAsia"/>
          <w:szCs w:val="21"/>
        </w:rPr>
        <w:t>12.4.1  暂停施工后，监理人应与发包人和承包人协商，采取有效措施积极消除暂停施工的影响。当工程具备复工条件时，监理人应立即向承包人发出复工通知。承包人收到复工通知后，应在监理人指定的期限内复工。</w:t>
      </w:r>
    </w:p>
    <w:p>
      <w:pPr>
        <w:spacing w:line="420" w:lineRule="exact"/>
        <w:ind w:firstLine="420" w:firstLineChars="200"/>
        <w:rPr>
          <w:szCs w:val="21"/>
        </w:rPr>
      </w:pPr>
      <w:r>
        <w:rPr>
          <w:rFonts w:hint="eastAsia"/>
          <w:szCs w:val="21"/>
        </w:rPr>
        <w:t>12.4.2  承包人无故拖延和拒绝复工的，由此增加的费用和工期延误由承包人承担；因发包人原因无法按时复工的，承包人有权要求发包人延长工期和（或）增加费用，并支付合理利润。</w:t>
      </w:r>
    </w:p>
    <w:p>
      <w:pPr>
        <w:pStyle w:val="27"/>
        <w:spacing w:beforeLines="50" w:afterLines="50" w:line="420" w:lineRule="exact"/>
        <w:rPr>
          <w:sz w:val="21"/>
          <w:szCs w:val="21"/>
        </w:rPr>
      </w:pPr>
      <w:bookmarkStart w:id="4016" w:name="_Toc152045694"/>
      <w:bookmarkStart w:id="4017" w:name="_Toc282779557"/>
      <w:bookmarkStart w:id="4018" w:name="_Toc288546697"/>
      <w:bookmarkStart w:id="4019" w:name="_Toc144974663"/>
      <w:bookmarkStart w:id="4020" w:name="_Toc4945"/>
      <w:bookmarkStart w:id="4021" w:name="_Toc152042472"/>
      <w:bookmarkStart w:id="4022" w:name="_Toc288491573"/>
      <w:bookmarkStart w:id="4023" w:name="_Toc10505"/>
      <w:bookmarkStart w:id="4024" w:name="_Toc283794245"/>
      <w:bookmarkStart w:id="4025" w:name="_Toc237923873"/>
      <w:bookmarkStart w:id="4026" w:name="_Toc287853397"/>
      <w:bookmarkStart w:id="4027" w:name="_Toc28055"/>
      <w:bookmarkStart w:id="4028" w:name="_Toc21510"/>
      <w:bookmarkStart w:id="4029" w:name="_Toc14671"/>
      <w:bookmarkStart w:id="4030" w:name="_Toc19917"/>
      <w:bookmarkStart w:id="4031" w:name="_Toc282787496"/>
      <w:bookmarkStart w:id="4032" w:name="_Toc29829"/>
      <w:bookmarkStart w:id="4033" w:name="_Toc282779048"/>
      <w:bookmarkStart w:id="4034" w:name="_Toc24290"/>
      <w:bookmarkStart w:id="4035" w:name="_Toc32155"/>
      <w:bookmarkStart w:id="4036" w:name="_Toc9518"/>
      <w:bookmarkStart w:id="4037" w:name="_Toc179632712"/>
      <w:bookmarkStart w:id="4038" w:name="_Toc14430"/>
      <w:r>
        <w:rPr>
          <w:rFonts w:hint="eastAsia"/>
          <w:b/>
          <w:sz w:val="21"/>
          <w:szCs w:val="21"/>
        </w:rPr>
        <w:t>12.5</w:t>
      </w:r>
      <w:r>
        <w:rPr>
          <w:sz w:val="21"/>
          <w:szCs w:val="21"/>
        </w:rPr>
        <w:t>暂停施工</w:t>
      </w:r>
      <w:r>
        <w:rPr>
          <w:rFonts w:hint="eastAsia"/>
          <w:sz w:val="21"/>
          <w:szCs w:val="21"/>
        </w:rPr>
        <w:t>持续56天以上</w:t>
      </w:r>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p>
    <w:p>
      <w:pPr>
        <w:spacing w:line="420" w:lineRule="exact"/>
        <w:ind w:firstLine="411" w:firstLineChars="196"/>
        <w:rPr>
          <w:szCs w:val="21"/>
        </w:rPr>
      </w:pPr>
      <w:r>
        <w:rPr>
          <w:rFonts w:hint="eastAsia"/>
          <w:szCs w:val="21"/>
        </w:rPr>
        <w:t xml:space="preserve">12.5.1  </w:t>
      </w:r>
      <w:r>
        <w:rPr>
          <w:szCs w:val="21"/>
        </w:rPr>
        <w:t>监理人</w:t>
      </w:r>
      <w:r>
        <w:rPr>
          <w:rFonts w:hint="eastAsia"/>
          <w:szCs w:val="21"/>
        </w:rPr>
        <w:t>发出</w:t>
      </w:r>
      <w:r>
        <w:rPr>
          <w:szCs w:val="21"/>
        </w:rPr>
        <w:t>暂停施工指示</w:t>
      </w:r>
      <w:r>
        <w:rPr>
          <w:rFonts w:hint="eastAsia"/>
          <w:szCs w:val="21"/>
        </w:rPr>
        <w:t>后56天内未向</w:t>
      </w:r>
      <w:r>
        <w:rPr>
          <w:szCs w:val="21"/>
        </w:rPr>
        <w:t>承包人</w:t>
      </w:r>
      <w:r>
        <w:rPr>
          <w:rFonts w:hint="eastAsia"/>
          <w:szCs w:val="21"/>
        </w:rPr>
        <w:t>发出复工通知，除了该项停工属于第12.1款的情况外，</w:t>
      </w:r>
      <w:r>
        <w:rPr>
          <w:szCs w:val="21"/>
        </w:rPr>
        <w:t>承包人</w:t>
      </w:r>
      <w:r>
        <w:rPr>
          <w:rFonts w:hint="eastAsia"/>
          <w:szCs w:val="21"/>
        </w:rPr>
        <w:t>可向</w:t>
      </w:r>
      <w:r>
        <w:rPr>
          <w:szCs w:val="21"/>
        </w:rPr>
        <w:t>监理人</w:t>
      </w:r>
      <w:r>
        <w:rPr>
          <w:rFonts w:hint="eastAsia"/>
          <w:szCs w:val="21"/>
        </w:rPr>
        <w:t>提交书面通知，要求</w:t>
      </w:r>
      <w:r>
        <w:rPr>
          <w:szCs w:val="21"/>
        </w:rPr>
        <w:t>监理人</w:t>
      </w:r>
      <w:r>
        <w:rPr>
          <w:rFonts w:hint="eastAsia"/>
          <w:szCs w:val="21"/>
        </w:rPr>
        <w:t>在收到书面通知后28天内准许已</w:t>
      </w:r>
      <w:r>
        <w:rPr>
          <w:szCs w:val="21"/>
        </w:rPr>
        <w:t>暂停施工</w:t>
      </w:r>
      <w:r>
        <w:rPr>
          <w:rFonts w:hint="eastAsia"/>
          <w:szCs w:val="21"/>
        </w:rPr>
        <w:t>的工程或其中一部分工程继续施工。如</w:t>
      </w:r>
      <w:r>
        <w:rPr>
          <w:szCs w:val="21"/>
        </w:rPr>
        <w:t>监理人</w:t>
      </w:r>
      <w:r>
        <w:rPr>
          <w:rFonts w:hint="eastAsia"/>
          <w:szCs w:val="21"/>
        </w:rPr>
        <w:t>逾期不予批准，则承包人可以通知</w:t>
      </w:r>
      <w:r>
        <w:rPr>
          <w:szCs w:val="21"/>
        </w:rPr>
        <w:t>监理人</w:t>
      </w:r>
      <w:r>
        <w:rPr>
          <w:rFonts w:hint="eastAsia"/>
          <w:szCs w:val="21"/>
        </w:rPr>
        <w:t>，将工程受影响的部分视为按第15.1（1）项的可取消工作。如</w:t>
      </w:r>
      <w:r>
        <w:rPr>
          <w:szCs w:val="21"/>
        </w:rPr>
        <w:t>暂停施工</w:t>
      </w:r>
      <w:r>
        <w:rPr>
          <w:rFonts w:hint="eastAsia"/>
          <w:szCs w:val="21"/>
        </w:rPr>
        <w:t>影响到整个工程，可视为发包人违约，应按第22.2款的规定办理。</w:t>
      </w:r>
    </w:p>
    <w:p>
      <w:pPr>
        <w:spacing w:line="420" w:lineRule="exact"/>
        <w:ind w:firstLine="420" w:firstLineChars="200"/>
        <w:rPr>
          <w:szCs w:val="21"/>
        </w:rPr>
      </w:pPr>
      <w:r>
        <w:rPr>
          <w:rFonts w:hint="eastAsia"/>
          <w:szCs w:val="21"/>
        </w:rPr>
        <w:t>12.5.2  由于</w:t>
      </w:r>
      <w:r>
        <w:rPr>
          <w:szCs w:val="21"/>
        </w:rPr>
        <w:t>承包人</w:t>
      </w:r>
      <w:r>
        <w:rPr>
          <w:rFonts w:hint="eastAsia"/>
          <w:szCs w:val="21"/>
        </w:rPr>
        <w:t>责任引起的</w:t>
      </w:r>
      <w:r>
        <w:rPr>
          <w:szCs w:val="21"/>
        </w:rPr>
        <w:t>暂停施工</w:t>
      </w:r>
      <w:r>
        <w:rPr>
          <w:rFonts w:hint="eastAsia"/>
          <w:szCs w:val="21"/>
        </w:rPr>
        <w:t>，如</w:t>
      </w:r>
      <w:r>
        <w:rPr>
          <w:szCs w:val="21"/>
        </w:rPr>
        <w:t>承包人</w:t>
      </w:r>
      <w:r>
        <w:rPr>
          <w:rFonts w:hint="eastAsia"/>
          <w:szCs w:val="21"/>
        </w:rPr>
        <w:t>在收到</w:t>
      </w:r>
      <w:r>
        <w:rPr>
          <w:szCs w:val="21"/>
        </w:rPr>
        <w:t>监理人暂停施工指示</w:t>
      </w:r>
      <w:r>
        <w:rPr>
          <w:rFonts w:hint="eastAsia"/>
          <w:szCs w:val="21"/>
        </w:rPr>
        <w:t>后56天内不认真采取有效的复工措施，造成工期延误，可视为</w:t>
      </w:r>
      <w:r>
        <w:rPr>
          <w:szCs w:val="21"/>
        </w:rPr>
        <w:t>承包人</w:t>
      </w:r>
      <w:r>
        <w:rPr>
          <w:rFonts w:hint="eastAsia"/>
          <w:szCs w:val="21"/>
        </w:rPr>
        <w:t>违约，应按第22.1款的规定办理。</w:t>
      </w:r>
    </w:p>
    <w:p>
      <w:pPr>
        <w:pStyle w:val="28"/>
        <w:spacing w:beforeLines="50" w:afterLines="50" w:line="420" w:lineRule="exact"/>
        <w:rPr>
          <w:szCs w:val="28"/>
        </w:rPr>
      </w:pPr>
      <w:bookmarkStart w:id="4039" w:name="_Toc282779049"/>
      <w:bookmarkStart w:id="4040" w:name="_Toc5455"/>
      <w:bookmarkStart w:id="4041" w:name="_Toc282779558"/>
      <w:bookmarkStart w:id="4042" w:name="_Toc282787497"/>
      <w:bookmarkStart w:id="4043" w:name="_Toc6337"/>
      <w:bookmarkStart w:id="4044" w:name="_Toc288491574"/>
      <w:bookmarkStart w:id="4045" w:name="_Toc283794246"/>
      <w:bookmarkStart w:id="4046" w:name="_Toc5850"/>
      <w:bookmarkStart w:id="4047" w:name="_Toc7593"/>
      <w:bookmarkStart w:id="4048" w:name="_Toc9410"/>
      <w:bookmarkStart w:id="4049" w:name="_Toc152042473"/>
      <w:bookmarkStart w:id="4050" w:name="_Toc27641"/>
      <w:bookmarkStart w:id="4051" w:name="_Toc152045695"/>
      <w:bookmarkStart w:id="4052" w:name="_Toc30198"/>
      <w:bookmarkStart w:id="4053" w:name="_Toc30820"/>
      <w:bookmarkStart w:id="4054" w:name="_Toc288546698"/>
      <w:bookmarkStart w:id="4055" w:name="_Toc21657"/>
      <w:bookmarkStart w:id="4056" w:name="_Toc179632713"/>
      <w:bookmarkStart w:id="4057" w:name="_Toc144974664"/>
      <w:bookmarkStart w:id="4058" w:name="_Toc287853398"/>
      <w:bookmarkStart w:id="4059" w:name="_Toc23838"/>
      <w:bookmarkStart w:id="4060" w:name="_Toc237923874"/>
      <w:bookmarkStart w:id="4061" w:name="_Toc12206"/>
      <w:r>
        <w:rPr>
          <w:rFonts w:hint="eastAsia"/>
          <w:szCs w:val="28"/>
        </w:rPr>
        <w:t>13．工程质量</w:t>
      </w:r>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p>
    <w:p>
      <w:pPr>
        <w:pStyle w:val="27"/>
        <w:spacing w:beforeLines="50" w:afterLines="50" w:line="420" w:lineRule="exact"/>
        <w:rPr>
          <w:sz w:val="21"/>
          <w:szCs w:val="21"/>
        </w:rPr>
      </w:pPr>
      <w:bookmarkStart w:id="4062" w:name="_Toc22745"/>
      <w:bookmarkStart w:id="4063" w:name="_Toc32610"/>
      <w:bookmarkStart w:id="4064" w:name="_Toc237923875"/>
      <w:bookmarkStart w:id="4065" w:name="_Toc282779559"/>
      <w:bookmarkStart w:id="4066" w:name="_Toc152042474"/>
      <w:bookmarkStart w:id="4067" w:name="_Toc288491575"/>
      <w:bookmarkStart w:id="4068" w:name="_Toc283794247"/>
      <w:bookmarkStart w:id="4069" w:name="_Toc28345"/>
      <w:bookmarkStart w:id="4070" w:name="_Toc22804"/>
      <w:bookmarkStart w:id="4071" w:name="_Toc144974665"/>
      <w:bookmarkStart w:id="4072" w:name="_Toc282787498"/>
      <w:bookmarkStart w:id="4073" w:name="_Toc23722"/>
      <w:bookmarkStart w:id="4074" w:name="_Toc28655"/>
      <w:bookmarkStart w:id="4075" w:name="_Toc5203"/>
      <w:bookmarkStart w:id="4076" w:name="_Toc14125"/>
      <w:bookmarkStart w:id="4077" w:name="_Toc17949"/>
      <w:bookmarkStart w:id="4078" w:name="_Toc288546699"/>
      <w:bookmarkStart w:id="4079" w:name="_Toc179632714"/>
      <w:bookmarkStart w:id="4080" w:name="_Toc152045696"/>
      <w:bookmarkStart w:id="4081" w:name="_Toc282779050"/>
      <w:bookmarkStart w:id="4082" w:name="_Toc287853399"/>
      <w:bookmarkStart w:id="4083" w:name="_Toc24281"/>
      <w:bookmarkStart w:id="4084" w:name="_Toc6758"/>
      <w:r>
        <w:rPr>
          <w:rFonts w:hint="eastAsia"/>
          <w:b/>
          <w:sz w:val="21"/>
          <w:szCs w:val="21"/>
        </w:rPr>
        <w:t>13.1</w:t>
      </w:r>
      <w:r>
        <w:rPr>
          <w:rFonts w:hint="eastAsia"/>
          <w:sz w:val="21"/>
          <w:szCs w:val="21"/>
        </w:rPr>
        <w:t xml:space="preserve">  工程质量要求</w:t>
      </w:r>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p>
    <w:p>
      <w:pPr>
        <w:spacing w:line="420" w:lineRule="exact"/>
        <w:ind w:firstLine="420" w:firstLineChars="200"/>
        <w:rPr>
          <w:szCs w:val="21"/>
        </w:rPr>
      </w:pPr>
      <w:r>
        <w:rPr>
          <w:rFonts w:hint="eastAsia"/>
          <w:szCs w:val="21"/>
        </w:rPr>
        <w:t>13.1.1  工程质量验收按验收标准执行。（适用于小修保养工程）</w:t>
      </w:r>
    </w:p>
    <w:p>
      <w:pPr>
        <w:spacing w:line="420" w:lineRule="exact"/>
        <w:ind w:firstLine="420" w:firstLineChars="200"/>
        <w:rPr>
          <w:szCs w:val="21"/>
        </w:rPr>
      </w:pPr>
      <w:r>
        <w:rPr>
          <w:rFonts w:hint="eastAsia"/>
          <w:szCs w:val="21"/>
        </w:rPr>
        <w:t>已完成合同规定的养护工程质量，按技术规范及《公路养护技术状况标准》进行检测、调查和评定。公路养护质量指数（MQI）应经常保持在90分以上。</w:t>
      </w:r>
    </w:p>
    <w:p>
      <w:pPr>
        <w:spacing w:line="420" w:lineRule="exact"/>
        <w:ind w:firstLine="420" w:firstLineChars="200"/>
        <w:rPr>
          <w:szCs w:val="21"/>
        </w:rPr>
      </w:pPr>
      <w:r>
        <w:rPr>
          <w:rFonts w:hint="eastAsia"/>
          <w:szCs w:val="21"/>
        </w:rPr>
        <w:t>13.1.1  工程质量验收按验收标准执行。（适用于大中修养护工程）</w:t>
      </w:r>
    </w:p>
    <w:p>
      <w:pPr>
        <w:spacing w:line="420" w:lineRule="exact"/>
        <w:ind w:firstLine="420" w:firstLineChars="200"/>
        <w:rPr>
          <w:szCs w:val="21"/>
        </w:rPr>
      </w:pPr>
      <w:r>
        <w:rPr>
          <w:rFonts w:hint="eastAsia"/>
          <w:szCs w:val="21"/>
        </w:rPr>
        <w:t>工程质量验收按技术规范及《公路工程质量检验评定标准》执行。</w:t>
      </w:r>
    </w:p>
    <w:p>
      <w:pPr>
        <w:spacing w:line="420" w:lineRule="exact"/>
        <w:ind w:firstLine="420" w:firstLineChars="200"/>
        <w:rPr>
          <w:szCs w:val="21"/>
        </w:rPr>
      </w:pPr>
      <w:r>
        <w:rPr>
          <w:rFonts w:hint="eastAsia"/>
          <w:szCs w:val="21"/>
        </w:rPr>
        <w:t>工程质量目标为：</w:t>
      </w:r>
      <w:r>
        <w:rPr>
          <w:rFonts w:hAnsi="宋体"/>
          <w:szCs w:val="21"/>
        </w:rPr>
        <w:t>交工验收工程质量评定</w:t>
      </w:r>
      <w:r>
        <w:rPr>
          <w:rFonts w:hint="eastAsia" w:hAnsi="宋体"/>
          <w:szCs w:val="21"/>
        </w:rPr>
        <w:t>得分大于等于</w:t>
      </w:r>
      <w:r>
        <w:rPr>
          <w:szCs w:val="21"/>
        </w:rPr>
        <w:t>90</w:t>
      </w:r>
      <w:r>
        <w:rPr>
          <w:rFonts w:hAnsi="宋体"/>
          <w:szCs w:val="21"/>
        </w:rPr>
        <w:t>分</w:t>
      </w:r>
      <w:r>
        <w:rPr>
          <w:rFonts w:hint="eastAsia" w:hAnsi="宋体"/>
          <w:szCs w:val="21"/>
        </w:rPr>
        <w:t>为优良；小于90分且大于等于75分为合格；小于75分为不合格。</w:t>
      </w:r>
      <w:r>
        <w:rPr>
          <w:rFonts w:hint="eastAsia"/>
          <w:szCs w:val="21"/>
        </w:rPr>
        <w:t>承包人应为本合同的施工建立强有力的质保系统和质检系统，认真执行国家、交通运输部和浙江省交通运输厅有关加强质量管理的法规和文件，开展全面质量管理，确保工程质量达到质量目标。</w:t>
      </w:r>
    </w:p>
    <w:p>
      <w:pPr>
        <w:spacing w:line="420" w:lineRule="exact"/>
        <w:ind w:firstLine="420" w:firstLineChars="200"/>
        <w:rPr>
          <w:szCs w:val="21"/>
        </w:rPr>
      </w:pPr>
      <w:r>
        <w:rPr>
          <w:rFonts w:hint="eastAsia"/>
          <w:szCs w:val="21"/>
        </w:rPr>
        <w:t>13.1.2  因承包人原因造成工程质量达不到合同约定验收标准的，监理人有权要求承包人返工直至符合合同要求为止，由此造成的费用增加和（或）工期延误由承包人承担。</w:t>
      </w:r>
    </w:p>
    <w:p>
      <w:pPr>
        <w:spacing w:line="420" w:lineRule="exact"/>
        <w:ind w:firstLine="420" w:firstLineChars="200"/>
        <w:rPr>
          <w:szCs w:val="21"/>
        </w:rPr>
      </w:pPr>
      <w:r>
        <w:rPr>
          <w:rFonts w:hint="eastAsia"/>
          <w:szCs w:val="21"/>
        </w:rPr>
        <w:t>13.1.3  因发包人原因造成工程质量达不到合同约定验收标准的，发包人应承担由于承包人返工造成的费用增加和（或）工期延误，并支付承包人合理利润。</w:t>
      </w:r>
    </w:p>
    <w:p>
      <w:pPr>
        <w:pStyle w:val="27"/>
        <w:spacing w:beforeLines="50" w:afterLines="50" w:line="420" w:lineRule="exact"/>
        <w:rPr>
          <w:sz w:val="21"/>
          <w:szCs w:val="21"/>
        </w:rPr>
      </w:pPr>
      <w:bookmarkStart w:id="4085" w:name="_Toc282779560"/>
      <w:bookmarkStart w:id="4086" w:name="_Toc13537"/>
      <w:bookmarkStart w:id="4087" w:name="_Toc283794248"/>
      <w:bookmarkStart w:id="4088" w:name="_Toc1977"/>
      <w:bookmarkStart w:id="4089" w:name="_Toc282779051"/>
      <w:bookmarkStart w:id="4090" w:name="_Toc179632715"/>
      <w:bookmarkStart w:id="4091" w:name="_Toc17367"/>
      <w:bookmarkStart w:id="4092" w:name="_Toc18336"/>
      <w:bookmarkStart w:id="4093" w:name="_Toc10725"/>
      <w:bookmarkStart w:id="4094" w:name="_Toc31961"/>
      <w:bookmarkStart w:id="4095" w:name="_Toc152042475"/>
      <w:bookmarkStart w:id="4096" w:name="_Toc288491576"/>
      <w:bookmarkStart w:id="4097" w:name="_Toc282787499"/>
      <w:bookmarkStart w:id="4098" w:name="_Toc288546700"/>
      <w:bookmarkStart w:id="4099" w:name="_Toc25392"/>
      <w:bookmarkStart w:id="4100" w:name="_Toc17593"/>
      <w:bookmarkStart w:id="4101" w:name="_Toc21019"/>
      <w:bookmarkStart w:id="4102" w:name="_Toc237923876"/>
      <w:bookmarkStart w:id="4103" w:name="_Toc10599"/>
      <w:bookmarkStart w:id="4104" w:name="_Toc152045697"/>
      <w:bookmarkStart w:id="4105" w:name="_Toc287853400"/>
      <w:bookmarkStart w:id="4106" w:name="_Toc13375"/>
      <w:bookmarkStart w:id="4107" w:name="_Toc144974666"/>
      <w:r>
        <w:rPr>
          <w:rFonts w:hint="eastAsia"/>
          <w:b/>
          <w:sz w:val="21"/>
          <w:szCs w:val="21"/>
        </w:rPr>
        <w:t>13.2</w:t>
      </w:r>
      <w:r>
        <w:rPr>
          <w:rFonts w:hint="eastAsia"/>
          <w:sz w:val="21"/>
          <w:szCs w:val="21"/>
        </w:rPr>
        <w:t xml:space="preserve">  承包人的质量管理</w:t>
      </w:r>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p>
    <w:p>
      <w:pPr>
        <w:spacing w:line="420" w:lineRule="exact"/>
        <w:ind w:firstLine="420" w:firstLineChars="200"/>
        <w:rPr>
          <w:szCs w:val="21"/>
        </w:rPr>
      </w:pPr>
      <w:r>
        <w:rPr>
          <w:rFonts w:hint="eastAsia"/>
          <w:szCs w:val="21"/>
        </w:rPr>
        <w:t>13.2.1  承包人应在施工场地设置专门的质量检查机构，配备专职质量检查人员，建立完善的质量检查制度。承包人应在合同约定的期限内，提交工程质量保证措施文件，包括质量检查机构的组织和岗位责任、质检人员的组成、质量检查程序和实施细则等，报送监理人审批。</w:t>
      </w:r>
    </w:p>
    <w:p>
      <w:pPr>
        <w:spacing w:line="420" w:lineRule="exact"/>
        <w:ind w:firstLine="420" w:firstLineChars="200"/>
        <w:rPr>
          <w:szCs w:val="21"/>
        </w:rPr>
      </w:pPr>
      <w:r>
        <w:rPr>
          <w:rFonts w:hint="eastAsia"/>
          <w:szCs w:val="21"/>
        </w:rPr>
        <w:t>13.2.2  承包人应加强对施工人员的质量教育和技术培训，定期考核施工人员的劳动技能，严格执行规范和操作规程。</w:t>
      </w:r>
    </w:p>
    <w:p>
      <w:pPr>
        <w:spacing w:line="420" w:lineRule="exact"/>
        <w:ind w:firstLine="420" w:firstLineChars="200"/>
        <w:rPr>
          <w:szCs w:val="21"/>
        </w:rPr>
      </w:pPr>
      <w:r>
        <w:rPr>
          <w:rFonts w:hint="eastAsia"/>
          <w:szCs w:val="21"/>
        </w:rPr>
        <w:t>13.2.3  承包人必须遵守国家有关法律、法规和规章，严格执行《公路养护技术规范》（JTG H10-2009）、《公路技术状况评定标准》（JTG H20-2007）等各类技术规范及规程，全面履行工程合同义务，依法对公路养护工程质量负责。</w:t>
      </w:r>
    </w:p>
    <w:p>
      <w:pPr>
        <w:spacing w:line="420" w:lineRule="exact"/>
        <w:ind w:firstLine="420" w:firstLineChars="200"/>
        <w:rPr>
          <w:szCs w:val="21"/>
        </w:rPr>
      </w:pPr>
      <w:r>
        <w:rPr>
          <w:rFonts w:hint="eastAsia"/>
          <w:szCs w:val="21"/>
        </w:rPr>
        <w:t>13.2.4  承包人应加强质量监控，确保规范规定的检验、抽检频率，现场质检的原始资料必须真实、准确、可靠，不得追记，接受质量检查时必须出示原始资料。</w:t>
      </w:r>
    </w:p>
    <w:p>
      <w:pPr>
        <w:spacing w:line="420" w:lineRule="exact"/>
        <w:ind w:firstLine="420" w:firstLineChars="200"/>
        <w:rPr>
          <w:szCs w:val="21"/>
        </w:rPr>
      </w:pPr>
      <w:r>
        <w:rPr>
          <w:rFonts w:hint="eastAsia"/>
          <w:szCs w:val="21"/>
        </w:rPr>
        <w:t>13.2.5  承包人必须完善检验手段，根据技术规范的规定配齐检测和试验仪器、仪表，并应及时校正确保其精度；加强材料检验工作，不合格材料严禁用于本工程。</w:t>
      </w:r>
    </w:p>
    <w:p>
      <w:pPr>
        <w:pStyle w:val="27"/>
        <w:spacing w:beforeLines="50" w:afterLines="50" w:line="420" w:lineRule="exact"/>
        <w:rPr>
          <w:sz w:val="21"/>
          <w:szCs w:val="21"/>
        </w:rPr>
      </w:pPr>
      <w:bookmarkStart w:id="4108" w:name="_Toc288546701"/>
      <w:bookmarkStart w:id="4109" w:name="_Toc30039"/>
      <w:bookmarkStart w:id="4110" w:name="_Toc6360"/>
      <w:bookmarkStart w:id="4111" w:name="_Toc282779561"/>
      <w:bookmarkStart w:id="4112" w:name="_Toc20728"/>
      <w:bookmarkStart w:id="4113" w:name="_Toc6459"/>
      <w:bookmarkStart w:id="4114" w:name="_Toc283794249"/>
      <w:bookmarkStart w:id="4115" w:name="_Toc152042476"/>
      <w:bookmarkStart w:id="4116" w:name="_Toc7091"/>
      <w:bookmarkStart w:id="4117" w:name="_Toc237923877"/>
      <w:bookmarkStart w:id="4118" w:name="_Toc28937"/>
      <w:bookmarkStart w:id="4119" w:name="_Toc282779052"/>
      <w:bookmarkStart w:id="4120" w:name="_Toc3"/>
      <w:bookmarkStart w:id="4121" w:name="_Toc144974667"/>
      <w:bookmarkStart w:id="4122" w:name="_Toc287853401"/>
      <w:bookmarkStart w:id="4123" w:name="_Toc179632716"/>
      <w:bookmarkStart w:id="4124" w:name="_Toc5032"/>
      <w:bookmarkStart w:id="4125" w:name="_Toc32628"/>
      <w:bookmarkStart w:id="4126" w:name="_Toc20672"/>
      <w:bookmarkStart w:id="4127" w:name="_Toc30268"/>
      <w:bookmarkStart w:id="4128" w:name="_Toc288491577"/>
      <w:bookmarkStart w:id="4129" w:name="_Toc282787500"/>
      <w:bookmarkStart w:id="4130" w:name="_Toc152045698"/>
      <w:r>
        <w:rPr>
          <w:rFonts w:hint="eastAsia"/>
          <w:b/>
          <w:sz w:val="21"/>
          <w:szCs w:val="21"/>
        </w:rPr>
        <w:t>13.3</w:t>
      </w:r>
      <w:r>
        <w:rPr>
          <w:rFonts w:hint="eastAsia"/>
          <w:sz w:val="21"/>
          <w:szCs w:val="21"/>
        </w:rPr>
        <w:t xml:space="preserve">  承包人的质量检查</w:t>
      </w:r>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p>
    <w:p>
      <w:pPr>
        <w:spacing w:line="420" w:lineRule="exact"/>
        <w:ind w:firstLine="420" w:firstLineChars="200"/>
        <w:rPr>
          <w:szCs w:val="21"/>
        </w:rPr>
      </w:pPr>
      <w:r>
        <w:rPr>
          <w:rFonts w:hint="eastAsia"/>
          <w:szCs w:val="21"/>
        </w:rPr>
        <w:t>承包人应按合同约定对材料、工程设备以及工程的所有部位及其施工工艺进行全过程的质量检查和检验，并作详细记录，编制工程质量报表，报送监理人审查。</w:t>
      </w:r>
    </w:p>
    <w:p>
      <w:pPr>
        <w:pStyle w:val="27"/>
        <w:spacing w:beforeLines="50" w:afterLines="50" w:line="420" w:lineRule="exact"/>
        <w:rPr>
          <w:sz w:val="21"/>
          <w:szCs w:val="21"/>
        </w:rPr>
      </w:pPr>
      <w:bookmarkStart w:id="4131" w:name="_Toc22630"/>
      <w:bookmarkStart w:id="4132" w:name="_Toc12737"/>
      <w:bookmarkStart w:id="4133" w:name="_Toc32014"/>
      <w:bookmarkStart w:id="4134" w:name="_Toc288546702"/>
      <w:bookmarkStart w:id="4135" w:name="_Toc144974668"/>
      <w:bookmarkStart w:id="4136" w:name="_Toc15803"/>
      <w:bookmarkStart w:id="4137" w:name="_Toc287853402"/>
      <w:bookmarkStart w:id="4138" w:name="_Toc282779562"/>
      <w:bookmarkStart w:id="4139" w:name="_Toc288491578"/>
      <w:bookmarkStart w:id="4140" w:name="_Toc152045699"/>
      <w:bookmarkStart w:id="4141" w:name="_Toc20853"/>
      <w:bookmarkStart w:id="4142" w:name="_Toc152042477"/>
      <w:bookmarkStart w:id="4143" w:name="_Toc237923878"/>
      <w:bookmarkStart w:id="4144" w:name="_Toc27137"/>
      <w:bookmarkStart w:id="4145" w:name="_Toc14427"/>
      <w:bookmarkStart w:id="4146" w:name="_Toc7352"/>
      <w:bookmarkStart w:id="4147" w:name="_Toc28178"/>
      <w:bookmarkStart w:id="4148" w:name="_Toc282779053"/>
      <w:bookmarkStart w:id="4149" w:name="_Toc26469"/>
      <w:bookmarkStart w:id="4150" w:name="_Toc179632717"/>
      <w:bookmarkStart w:id="4151" w:name="_Toc283794250"/>
      <w:bookmarkStart w:id="4152" w:name="_Toc23200"/>
      <w:bookmarkStart w:id="4153" w:name="_Toc282787501"/>
      <w:r>
        <w:rPr>
          <w:rFonts w:hint="eastAsia"/>
          <w:b/>
          <w:sz w:val="21"/>
          <w:szCs w:val="21"/>
        </w:rPr>
        <w:t>13.4</w:t>
      </w:r>
      <w:r>
        <w:rPr>
          <w:rFonts w:hint="eastAsia"/>
          <w:sz w:val="21"/>
          <w:szCs w:val="21"/>
        </w:rPr>
        <w:t xml:space="preserve">  监理人的质量检查</w:t>
      </w:r>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p>
    <w:p>
      <w:pPr>
        <w:spacing w:line="420" w:lineRule="exact"/>
        <w:ind w:firstLine="420" w:firstLineChars="200"/>
        <w:rPr>
          <w:szCs w:val="21"/>
        </w:rPr>
      </w:pPr>
      <w:r>
        <w:rPr>
          <w:rFonts w:hint="eastAsia"/>
          <w:szCs w:val="21"/>
        </w:rPr>
        <w:t>监理人有权对工程的所有部位及其施工工艺、材料和工程设备进行检查和检验。承包人应为监理人的检查和检验提供方便，包括监理人到施工场地，或制造、加工地点，或合同约定的其它地方进行察看和查阅施工原始记录。承包人还应按监理人指示，进行施工场地取样试验、工程复核测量和设备性能检测，提供试验样品、提交试验报告和测量成果以及监理人要求进行的其它工作。监理人的检查和检验，不免除承包人按合同约定应负的责任。</w:t>
      </w:r>
    </w:p>
    <w:p>
      <w:pPr>
        <w:spacing w:line="420" w:lineRule="exact"/>
        <w:ind w:firstLine="420" w:firstLineChars="200"/>
        <w:rPr>
          <w:szCs w:val="21"/>
        </w:rPr>
      </w:pPr>
      <w:r>
        <w:rPr>
          <w:rFonts w:hint="eastAsia"/>
          <w:szCs w:val="21"/>
        </w:rPr>
        <w:t>监理人及其委派的检验人员，应能进入工程现场，以及材料加工场所，包括不属于承包人的场所进行检查，承包人应为此提供便利和协助。</w:t>
      </w:r>
    </w:p>
    <w:p>
      <w:pPr>
        <w:spacing w:line="420" w:lineRule="exact"/>
        <w:ind w:firstLine="420" w:firstLineChars="200"/>
        <w:rPr>
          <w:szCs w:val="21"/>
        </w:rPr>
      </w:pPr>
      <w:r>
        <w:rPr>
          <w:rFonts w:hint="eastAsia"/>
          <w:szCs w:val="21"/>
        </w:rPr>
        <w:t>监理人可以将材料检验委托一家独立的有质量检验认证资格的检验单位。该独立检验单位的检验结果应视为监理人完成的。监理人应将这种委托的通知书不少于7天前交给承包人。</w:t>
      </w:r>
    </w:p>
    <w:p>
      <w:pPr>
        <w:pStyle w:val="27"/>
        <w:spacing w:beforeLines="50" w:afterLines="50" w:line="420" w:lineRule="exact"/>
        <w:rPr>
          <w:sz w:val="21"/>
          <w:szCs w:val="21"/>
        </w:rPr>
      </w:pPr>
      <w:bookmarkStart w:id="4154" w:name="_Toc19809"/>
      <w:bookmarkStart w:id="4155" w:name="_Toc14328"/>
      <w:bookmarkStart w:id="4156" w:name="_Toc179632718"/>
      <w:bookmarkStart w:id="4157" w:name="_Toc3488"/>
      <w:bookmarkStart w:id="4158" w:name="_Toc237923879"/>
      <w:bookmarkStart w:id="4159" w:name="_Toc152042478"/>
      <w:bookmarkStart w:id="4160" w:name="_Toc144974669"/>
      <w:bookmarkStart w:id="4161" w:name="_Toc9799"/>
      <w:bookmarkStart w:id="4162" w:name="_Toc152045700"/>
      <w:bookmarkStart w:id="4163" w:name="_Toc22069"/>
      <w:bookmarkStart w:id="4164" w:name="_Toc9712"/>
      <w:bookmarkStart w:id="4165" w:name="_Toc282779054"/>
      <w:bookmarkStart w:id="4166" w:name="_Toc288491579"/>
      <w:bookmarkStart w:id="4167" w:name="_Toc282787502"/>
      <w:bookmarkStart w:id="4168" w:name="_Toc282779563"/>
      <w:bookmarkStart w:id="4169" w:name="_Toc6629"/>
      <w:bookmarkStart w:id="4170" w:name="_Toc200"/>
      <w:bookmarkStart w:id="4171" w:name="_Toc27804"/>
      <w:bookmarkStart w:id="4172" w:name="_Toc283794251"/>
      <w:bookmarkStart w:id="4173" w:name="_Toc288546703"/>
      <w:bookmarkStart w:id="4174" w:name="_Toc287853403"/>
      <w:bookmarkStart w:id="4175" w:name="_Toc8723"/>
      <w:bookmarkStart w:id="4176" w:name="_Toc726"/>
      <w:r>
        <w:rPr>
          <w:rFonts w:hint="eastAsia"/>
          <w:b/>
          <w:sz w:val="21"/>
          <w:szCs w:val="21"/>
        </w:rPr>
        <w:t>13.5</w:t>
      </w:r>
      <w:r>
        <w:rPr>
          <w:rFonts w:hint="eastAsia"/>
          <w:sz w:val="21"/>
          <w:szCs w:val="21"/>
        </w:rPr>
        <w:t xml:space="preserve">  工程隐蔽部位覆盖前的检查</w:t>
      </w:r>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p>
    <w:p>
      <w:pPr>
        <w:spacing w:line="420" w:lineRule="exact"/>
        <w:ind w:firstLine="420" w:firstLineChars="200"/>
        <w:rPr>
          <w:rFonts w:ascii="宋体" w:hAnsi="宋体"/>
          <w:szCs w:val="21"/>
        </w:rPr>
      </w:pPr>
      <w:r>
        <w:rPr>
          <w:rFonts w:hint="eastAsia"/>
          <w:szCs w:val="21"/>
        </w:rPr>
        <w:t xml:space="preserve">13.5.1  </w:t>
      </w:r>
      <w:r>
        <w:rPr>
          <w:rFonts w:hint="eastAsia" w:ascii="宋体" w:hAnsi="宋体"/>
          <w:szCs w:val="21"/>
        </w:rPr>
        <w:t>通知监理人检查</w:t>
      </w:r>
    </w:p>
    <w:p>
      <w:pPr>
        <w:spacing w:line="420" w:lineRule="exact"/>
        <w:ind w:firstLine="420" w:firstLineChars="200"/>
        <w:rPr>
          <w:szCs w:val="21"/>
        </w:rPr>
      </w:pPr>
      <w:r>
        <w:rPr>
          <w:rFonts w:hint="eastAsia"/>
          <w:szCs w:val="21"/>
        </w:rPr>
        <w:t>经承包人自检确认的工程隐蔽部位具备覆盖条件后，承包人应通知监理人在约定的期限内检查。承包人的通知应附有自检记录和必要的检查资料。监理人应按时到场检查。经监理人检查确认质量符合隐蔽要求，并在检查记录上签字后，承包人才能进行覆盖。监理人检查确认质量不合格的，承包人应在监理人指示的时间内修整返工后，由监理人重新检查。</w:t>
      </w:r>
    </w:p>
    <w:p>
      <w:pPr>
        <w:spacing w:line="420" w:lineRule="exact"/>
        <w:ind w:firstLine="420" w:firstLineChars="200"/>
        <w:rPr>
          <w:szCs w:val="21"/>
        </w:rPr>
      </w:pPr>
      <w:r>
        <w:rPr>
          <w:rFonts w:hint="eastAsia"/>
          <w:szCs w:val="21"/>
        </w:rPr>
        <w:t>当监理人有指令时，承包人应对重要隐蔽工程进行拍摄或照相并应保证监理人有充分的机会对将要覆盖或掩蔽的工程进行检查和量测，特别是在基础以上的任一部分工程修筑之前，对该基础进行检查。</w:t>
      </w:r>
    </w:p>
    <w:p>
      <w:pPr>
        <w:spacing w:line="420" w:lineRule="exact"/>
        <w:ind w:firstLine="420" w:firstLineChars="200"/>
        <w:rPr>
          <w:rFonts w:ascii="宋体" w:hAnsi="宋体"/>
          <w:szCs w:val="21"/>
        </w:rPr>
      </w:pPr>
      <w:r>
        <w:rPr>
          <w:rFonts w:hint="eastAsia"/>
          <w:szCs w:val="21"/>
        </w:rPr>
        <w:t xml:space="preserve">13.5.2  </w:t>
      </w:r>
      <w:r>
        <w:rPr>
          <w:rFonts w:hint="eastAsia" w:ascii="宋体" w:hAnsi="宋体"/>
          <w:szCs w:val="21"/>
        </w:rPr>
        <w:t>监理人未到场检查</w:t>
      </w:r>
    </w:p>
    <w:p>
      <w:pPr>
        <w:spacing w:line="420" w:lineRule="exact"/>
        <w:ind w:firstLine="420" w:firstLineChars="200"/>
        <w:rPr>
          <w:szCs w:val="21"/>
        </w:rPr>
      </w:pPr>
      <w:r>
        <w:rPr>
          <w:rFonts w:hint="eastAsia"/>
          <w:szCs w:val="21"/>
        </w:rPr>
        <w:t>监理人未按第13.5.1项约定的时间进行检查的，除监理人另有指示外，承包人可自行完成覆盖工作，并作相应记录报送监理人，监理人应签字确认。监理人事后对检查记录有疑问的，可按第13.5.3项的约定重新检查。</w:t>
      </w:r>
    </w:p>
    <w:p>
      <w:pPr>
        <w:spacing w:line="420" w:lineRule="exact"/>
        <w:ind w:firstLine="420" w:firstLineChars="200"/>
        <w:rPr>
          <w:szCs w:val="21"/>
        </w:rPr>
      </w:pPr>
      <w:r>
        <w:rPr>
          <w:rFonts w:hint="eastAsia"/>
          <w:szCs w:val="21"/>
        </w:rPr>
        <w:t xml:space="preserve">13.5.3  </w:t>
      </w:r>
      <w:r>
        <w:rPr>
          <w:rFonts w:hint="eastAsia" w:ascii="宋体" w:hAnsi="宋体"/>
          <w:szCs w:val="21"/>
        </w:rPr>
        <w:t>监理人重新检查</w:t>
      </w:r>
    </w:p>
    <w:p>
      <w:pPr>
        <w:spacing w:line="420" w:lineRule="exact"/>
        <w:ind w:firstLine="420" w:firstLineChars="200"/>
        <w:rPr>
          <w:szCs w:val="21"/>
        </w:rPr>
      </w:pPr>
      <w:r>
        <w:rPr>
          <w:rFonts w:hint="eastAsia"/>
          <w:szCs w:val="21"/>
        </w:rPr>
        <w:t>承包人按第13.5.1项或第13.5.2项覆盖工程隐蔽部位后，监理人对质量有疑问的，可要求承包人对已覆盖的部位进行钻孔探测或揭开重新检验，承包人应遵照执行，并在检验后重新覆盖恢复原状。经检验证明工程质量符合合同要求的，由发包人承担由此增加的费用和（或）工期延误，并支付承包人合理利润；经检验证明工程质量不符合合同要求的，由此增加的费用和（或）工期延误由承包人承担。</w:t>
      </w:r>
    </w:p>
    <w:p>
      <w:pPr>
        <w:spacing w:line="420" w:lineRule="exact"/>
        <w:ind w:firstLine="420" w:firstLineChars="200"/>
        <w:rPr>
          <w:szCs w:val="21"/>
        </w:rPr>
      </w:pPr>
      <w:r>
        <w:rPr>
          <w:rFonts w:hint="eastAsia"/>
          <w:szCs w:val="21"/>
        </w:rPr>
        <w:t xml:space="preserve">13.5.4 </w:t>
      </w:r>
      <w:r>
        <w:rPr>
          <w:rFonts w:hint="eastAsia" w:ascii="宋体" w:hAnsi="宋体"/>
          <w:szCs w:val="21"/>
        </w:rPr>
        <w:t xml:space="preserve"> 承包人私自覆盖</w:t>
      </w:r>
    </w:p>
    <w:p>
      <w:pPr>
        <w:spacing w:line="420" w:lineRule="exact"/>
        <w:ind w:firstLine="420" w:firstLineChars="200"/>
        <w:rPr>
          <w:szCs w:val="21"/>
        </w:rPr>
      </w:pPr>
      <w:r>
        <w:rPr>
          <w:rFonts w:hint="eastAsia"/>
          <w:szCs w:val="21"/>
        </w:rPr>
        <w:t>承包人未通知监理人到场检查，私自将工程隐蔽部位覆盖的，监理人有权指示承包人钻孔探测或揭开检查，由此增加的费用和（或）工期延误由承包人承担。</w:t>
      </w:r>
    </w:p>
    <w:p>
      <w:pPr>
        <w:pStyle w:val="27"/>
        <w:spacing w:beforeLines="50" w:afterLines="50" w:line="420" w:lineRule="exact"/>
        <w:rPr>
          <w:sz w:val="21"/>
          <w:szCs w:val="21"/>
        </w:rPr>
      </w:pPr>
      <w:bookmarkStart w:id="4177" w:name="_Toc287853404"/>
      <w:bookmarkStart w:id="4178" w:name="_Toc282779055"/>
      <w:bookmarkStart w:id="4179" w:name="_Toc1834"/>
      <w:bookmarkStart w:id="4180" w:name="_Toc29185"/>
      <w:bookmarkStart w:id="4181" w:name="_Toc282787503"/>
      <w:bookmarkStart w:id="4182" w:name="_Toc32533"/>
      <w:bookmarkStart w:id="4183" w:name="_Toc288546704"/>
      <w:bookmarkStart w:id="4184" w:name="_Toc283794252"/>
      <w:bookmarkStart w:id="4185" w:name="_Toc25041"/>
      <w:bookmarkStart w:id="4186" w:name="_Toc1524"/>
      <w:bookmarkStart w:id="4187" w:name="_Toc288491580"/>
      <w:bookmarkStart w:id="4188" w:name="_Toc7342"/>
      <w:bookmarkStart w:id="4189" w:name="_Toc20907"/>
      <w:bookmarkStart w:id="4190" w:name="_Toc4525"/>
      <w:bookmarkStart w:id="4191" w:name="_Toc282779564"/>
      <w:bookmarkStart w:id="4192" w:name="_Toc15120"/>
      <w:bookmarkStart w:id="4193" w:name="_Toc152045701"/>
      <w:bookmarkStart w:id="4194" w:name="_Toc25498"/>
      <w:bookmarkStart w:id="4195" w:name="_Toc144974670"/>
      <w:bookmarkStart w:id="4196" w:name="_Toc31516"/>
      <w:bookmarkStart w:id="4197" w:name="_Toc237923880"/>
      <w:bookmarkStart w:id="4198" w:name="_Toc152042479"/>
      <w:bookmarkStart w:id="4199" w:name="_Toc179632719"/>
      <w:r>
        <w:rPr>
          <w:rFonts w:hint="eastAsia"/>
          <w:b/>
          <w:sz w:val="21"/>
          <w:szCs w:val="21"/>
        </w:rPr>
        <w:t>13.6</w:t>
      </w:r>
      <w:r>
        <w:rPr>
          <w:rFonts w:hint="eastAsia"/>
          <w:sz w:val="21"/>
          <w:szCs w:val="21"/>
        </w:rPr>
        <w:t xml:space="preserve">  清除不合格工程</w:t>
      </w:r>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p>
    <w:p>
      <w:pPr>
        <w:spacing w:line="420" w:lineRule="exact"/>
        <w:ind w:firstLine="420" w:firstLineChars="200"/>
        <w:rPr>
          <w:szCs w:val="21"/>
        </w:rPr>
      </w:pPr>
      <w:r>
        <w:rPr>
          <w:rFonts w:hint="eastAsia"/>
          <w:szCs w:val="21"/>
        </w:rPr>
        <w:t>13.6.1  （1）承包人使用不合格材料或采用不适当的施工工艺，或施工不当，造成工程不合格的，监理人可以随时发出指示，要求承包人立即采取措施进行替换、补救或拆除重建，直至达到合同要求的质量标准，由此增加的费用和（或）工期延误由承包人承担。</w:t>
      </w:r>
    </w:p>
    <w:p>
      <w:pPr>
        <w:spacing w:line="420" w:lineRule="exact"/>
        <w:ind w:firstLine="420" w:firstLineChars="200"/>
        <w:rPr>
          <w:szCs w:val="21"/>
        </w:rPr>
      </w:pPr>
      <w:r>
        <w:rPr>
          <w:rFonts w:hint="eastAsia"/>
          <w:szCs w:val="21"/>
        </w:rPr>
        <w:t>（2）如果承包人未在规定时间内执行监理人的指示，发包人有权雇用他人执行，由此增加的费用和（或）工期延误由承包人承担。</w:t>
      </w:r>
    </w:p>
    <w:p>
      <w:pPr>
        <w:spacing w:line="420" w:lineRule="exact"/>
        <w:ind w:firstLine="420" w:firstLineChars="200"/>
        <w:rPr>
          <w:szCs w:val="21"/>
        </w:rPr>
      </w:pPr>
      <w:r>
        <w:rPr>
          <w:rFonts w:hint="eastAsia"/>
          <w:szCs w:val="21"/>
        </w:rPr>
        <w:t>13.6.2  由于发包人提供的材料或工程设备不合格造成的工程不合格，需要承包人采取措施补救的，发包人应承担由此增加的费用和（或）工期延误，并支付承包人合理利润。</w:t>
      </w:r>
    </w:p>
    <w:p>
      <w:pPr>
        <w:pStyle w:val="28"/>
        <w:spacing w:beforeLines="50" w:afterLines="50" w:line="420" w:lineRule="exact"/>
        <w:rPr>
          <w:szCs w:val="28"/>
        </w:rPr>
      </w:pPr>
      <w:bookmarkStart w:id="4200" w:name="_Toc283794253"/>
      <w:bookmarkStart w:id="4201" w:name="_Toc152042480"/>
      <w:bookmarkStart w:id="4202" w:name="_Toc8150"/>
      <w:bookmarkStart w:id="4203" w:name="_Toc11352"/>
      <w:bookmarkStart w:id="4204" w:name="_Toc282779056"/>
      <w:bookmarkStart w:id="4205" w:name="_Toc21321"/>
      <w:bookmarkStart w:id="4206" w:name="_Toc237923881"/>
      <w:bookmarkStart w:id="4207" w:name="_Toc282779565"/>
      <w:bookmarkStart w:id="4208" w:name="_Toc288491581"/>
      <w:bookmarkStart w:id="4209" w:name="_Toc282787504"/>
      <w:bookmarkStart w:id="4210" w:name="_Toc32616"/>
      <w:bookmarkStart w:id="4211" w:name="_Toc179632720"/>
      <w:bookmarkStart w:id="4212" w:name="_Toc144974671"/>
      <w:bookmarkStart w:id="4213" w:name="_Toc288546705"/>
      <w:bookmarkStart w:id="4214" w:name="_Toc152045702"/>
      <w:bookmarkStart w:id="4215" w:name="_Toc28104"/>
      <w:bookmarkStart w:id="4216" w:name="_Toc21602"/>
      <w:bookmarkStart w:id="4217" w:name="_Toc15760"/>
      <w:bookmarkStart w:id="4218" w:name="_Toc287853405"/>
      <w:bookmarkStart w:id="4219" w:name="_Toc24184"/>
      <w:bookmarkStart w:id="4220" w:name="_Toc30684"/>
      <w:bookmarkStart w:id="4221" w:name="_Toc25213"/>
      <w:bookmarkStart w:id="4222" w:name="_Toc25358"/>
      <w:r>
        <w:rPr>
          <w:rFonts w:hint="eastAsia"/>
          <w:szCs w:val="28"/>
        </w:rPr>
        <w:t>14．试验和检验</w:t>
      </w:r>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p>
    <w:p>
      <w:pPr>
        <w:pStyle w:val="27"/>
        <w:spacing w:beforeLines="50" w:afterLines="50" w:line="420" w:lineRule="exact"/>
        <w:rPr>
          <w:sz w:val="21"/>
          <w:szCs w:val="21"/>
        </w:rPr>
      </w:pPr>
      <w:bookmarkStart w:id="4223" w:name="_Toc237923882"/>
      <w:bookmarkStart w:id="4224" w:name="_Toc282779057"/>
      <w:bookmarkStart w:id="4225" w:name="_Toc282779566"/>
      <w:bookmarkStart w:id="4226" w:name="_Toc18579"/>
      <w:bookmarkStart w:id="4227" w:name="_Toc288546706"/>
      <w:bookmarkStart w:id="4228" w:name="_Toc282787505"/>
      <w:bookmarkStart w:id="4229" w:name="_Toc21177"/>
      <w:bookmarkStart w:id="4230" w:name="_Toc287853406"/>
      <w:bookmarkStart w:id="4231" w:name="_Toc16122"/>
      <w:bookmarkStart w:id="4232" w:name="_Toc152042481"/>
      <w:bookmarkStart w:id="4233" w:name="_Toc283794254"/>
      <w:bookmarkStart w:id="4234" w:name="_Toc288491582"/>
      <w:bookmarkStart w:id="4235" w:name="_Toc23317"/>
      <w:bookmarkStart w:id="4236" w:name="_Toc15824"/>
      <w:bookmarkStart w:id="4237" w:name="_Toc15379"/>
      <w:bookmarkStart w:id="4238" w:name="_Toc144974672"/>
      <w:bookmarkStart w:id="4239" w:name="_Toc32747"/>
      <w:bookmarkStart w:id="4240" w:name="_Toc28211"/>
      <w:bookmarkStart w:id="4241" w:name="_Toc179632721"/>
      <w:bookmarkStart w:id="4242" w:name="_Toc17831"/>
      <w:bookmarkStart w:id="4243" w:name="_Toc18502"/>
      <w:bookmarkStart w:id="4244" w:name="_Toc152045703"/>
      <w:bookmarkStart w:id="4245" w:name="_Toc620"/>
      <w:r>
        <w:rPr>
          <w:rFonts w:hint="eastAsia"/>
          <w:b/>
          <w:sz w:val="21"/>
          <w:szCs w:val="21"/>
        </w:rPr>
        <w:t>14.1</w:t>
      </w:r>
      <w:r>
        <w:rPr>
          <w:rFonts w:hint="eastAsia"/>
          <w:sz w:val="21"/>
          <w:szCs w:val="21"/>
        </w:rPr>
        <w:t xml:space="preserve">  材料、工程设备和工程的试验和检验</w:t>
      </w:r>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p>
    <w:p>
      <w:pPr>
        <w:spacing w:line="420" w:lineRule="exact"/>
        <w:ind w:firstLine="420" w:firstLineChars="200"/>
        <w:rPr>
          <w:szCs w:val="21"/>
        </w:rPr>
      </w:pPr>
      <w:r>
        <w:rPr>
          <w:rFonts w:hint="eastAsia"/>
          <w:szCs w:val="21"/>
        </w:rPr>
        <w:t>14.1.1  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pPr>
        <w:spacing w:line="420" w:lineRule="exact"/>
        <w:ind w:firstLine="420" w:firstLineChars="200"/>
        <w:rPr>
          <w:szCs w:val="21"/>
        </w:rPr>
      </w:pPr>
      <w:r>
        <w:rPr>
          <w:rFonts w:hint="eastAsia"/>
          <w:szCs w:val="21"/>
        </w:rPr>
        <w:t>14.1.2  监理人未按合同约定派员参加试验和检验的，除监理人另有指示外，承包人可自行试验和检验，并应立即将试验和检验结果报送监理人，监理人应签字确认。</w:t>
      </w:r>
    </w:p>
    <w:p>
      <w:pPr>
        <w:spacing w:line="420" w:lineRule="exact"/>
        <w:ind w:firstLine="420" w:firstLineChars="200"/>
        <w:rPr>
          <w:szCs w:val="21"/>
        </w:rPr>
      </w:pPr>
      <w:r>
        <w:rPr>
          <w:rFonts w:hint="eastAsia"/>
          <w:szCs w:val="21"/>
        </w:rPr>
        <w:t>14.1.3  监理人对承包人的试验和检验结果有疑问的，或为查清承包人试验和检验成果的可靠性要求承包人重新试验和检验的，可按合同约定由监理人与承包人共同进行。重新试验和检验的结果证明该项材料、工程设备或工程的质量不符合合同要求的，由此增加的费用和（或）工期延误由承包人承担；重新试验和检验结果证明该项材料、工程设备和工程符合合同要求，由发包人承担由此增加的费用和（或）工期延误，并支付承包人合理利润。</w:t>
      </w:r>
    </w:p>
    <w:p>
      <w:pPr>
        <w:pStyle w:val="27"/>
        <w:spacing w:beforeLines="50" w:afterLines="50" w:line="420" w:lineRule="exact"/>
        <w:rPr>
          <w:sz w:val="21"/>
          <w:szCs w:val="21"/>
        </w:rPr>
      </w:pPr>
      <w:bookmarkStart w:id="4246" w:name="_Toc288491583"/>
      <w:bookmarkStart w:id="4247" w:name="_Toc179632722"/>
      <w:bookmarkStart w:id="4248" w:name="_Toc237923883"/>
      <w:bookmarkStart w:id="4249" w:name="_Toc19595"/>
      <w:bookmarkStart w:id="4250" w:name="_Toc282787506"/>
      <w:bookmarkStart w:id="4251" w:name="_Toc282779058"/>
      <w:bookmarkStart w:id="4252" w:name="_Toc425"/>
      <w:bookmarkStart w:id="4253" w:name="_Toc6790"/>
      <w:bookmarkStart w:id="4254" w:name="_Toc23665"/>
      <w:bookmarkStart w:id="4255" w:name="_Toc283794255"/>
      <w:bookmarkStart w:id="4256" w:name="_Toc16670"/>
      <w:bookmarkStart w:id="4257" w:name="_Toc6261"/>
      <w:bookmarkStart w:id="4258" w:name="_Toc282779567"/>
      <w:bookmarkStart w:id="4259" w:name="_Toc18495"/>
      <w:bookmarkStart w:id="4260" w:name="_Toc29173"/>
      <w:bookmarkStart w:id="4261" w:name="_Toc9155"/>
      <w:bookmarkStart w:id="4262" w:name="_Toc144974673"/>
      <w:bookmarkStart w:id="4263" w:name="_Toc16239"/>
      <w:bookmarkStart w:id="4264" w:name="_Toc152045704"/>
      <w:bookmarkStart w:id="4265" w:name="_Toc9979"/>
      <w:bookmarkStart w:id="4266" w:name="_Toc287853407"/>
      <w:bookmarkStart w:id="4267" w:name="_Toc152042482"/>
      <w:bookmarkStart w:id="4268" w:name="_Toc288546707"/>
      <w:r>
        <w:rPr>
          <w:rFonts w:hint="eastAsia"/>
          <w:b/>
          <w:sz w:val="21"/>
          <w:szCs w:val="21"/>
        </w:rPr>
        <w:t xml:space="preserve">14.2 </w:t>
      </w:r>
      <w:r>
        <w:rPr>
          <w:rFonts w:hint="eastAsia"/>
          <w:sz w:val="21"/>
          <w:szCs w:val="21"/>
        </w:rPr>
        <w:t xml:space="preserve"> 现场材料试验</w:t>
      </w:r>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p>
    <w:p>
      <w:pPr>
        <w:spacing w:line="420" w:lineRule="exact"/>
        <w:ind w:firstLine="420" w:firstLineChars="200"/>
        <w:rPr>
          <w:szCs w:val="21"/>
        </w:rPr>
      </w:pPr>
      <w:r>
        <w:rPr>
          <w:rFonts w:hint="eastAsia"/>
          <w:szCs w:val="21"/>
        </w:rPr>
        <w:t>14.2.1  承包人根据合同约定或监理人指示进行的现场材料试验，应由承包人提供试验场所、试验人员、试验设备器材以及其它必要的试验条件。</w:t>
      </w:r>
    </w:p>
    <w:p>
      <w:pPr>
        <w:spacing w:line="420" w:lineRule="exact"/>
        <w:ind w:firstLine="420" w:firstLineChars="200"/>
        <w:rPr>
          <w:szCs w:val="21"/>
        </w:rPr>
      </w:pPr>
      <w:r>
        <w:rPr>
          <w:rFonts w:hint="eastAsia"/>
          <w:szCs w:val="21"/>
        </w:rPr>
        <w:t>14.2.2  监理人在必要时可以使用承包人的试验场所、试验设备器材以及其它试验条件，进行以工程质量检查为目的的复核性材料试验，承包人应予以协助。</w:t>
      </w:r>
    </w:p>
    <w:p>
      <w:pPr>
        <w:pStyle w:val="27"/>
        <w:spacing w:beforeLines="50" w:afterLines="50" w:line="420" w:lineRule="exact"/>
        <w:rPr>
          <w:sz w:val="21"/>
          <w:szCs w:val="21"/>
        </w:rPr>
      </w:pPr>
      <w:bookmarkStart w:id="4269" w:name="_Toc282779059"/>
      <w:bookmarkStart w:id="4270" w:name="_Toc29992"/>
      <w:bookmarkStart w:id="4271" w:name="_Toc3063"/>
      <w:bookmarkStart w:id="4272" w:name="_Toc28875"/>
      <w:bookmarkStart w:id="4273" w:name="_Toc1160"/>
      <w:bookmarkStart w:id="4274" w:name="_Toc288546708"/>
      <w:bookmarkStart w:id="4275" w:name="_Toc287853408"/>
      <w:bookmarkStart w:id="4276" w:name="_Toc7025"/>
      <w:bookmarkStart w:id="4277" w:name="_Toc152042483"/>
      <w:bookmarkStart w:id="4278" w:name="_Toc152045705"/>
      <w:bookmarkStart w:id="4279" w:name="_Toc237923884"/>
      <w:bookmarkStart w:id="4280" w:name="_Toc10224"/>
      <w:bookmarkStart w:id="4281" w:name="_Toc179632723"/>
      <w:bookmarkStart w:id="4282" w:name="_Toc282779568"/>
      <w:bookmarkStart w:id="4283" w:name="_Toc25317"/>
      <w:bookmarkStart w:id="4284" w:name="_Toc17770"/>
      <w:bookmarkStart w:id="4285" w:name="_Toc144974674"/>
      <w:bookmarkStart w:id="4286" w:name="_Toc283794256"/>
      <w:bookmarkStart w:id="4287" w:name="_Toc3950"/>
      <w:bookmarkStart w:id="4288" w:name="_Toc11759"/>
      <w:bookmarkStart w:id="4289" w:name="_Toc288491584"/>
      <w:bookmarkStart w:id="4290" w:name="_Toc282787507"/>
      <w:bookmarkStart w:id="4291" w:name="_Toc18490"/>
      <w:r>
        <w:rPr>
          <w:rFonts w:hint="eastAsia"/>
          <w:b/>
          <w:sz w:val="21"/>
          <w:szCs w:val="21"/>
        </w:rPr>
        <w:t>14.3</w:t>
      </w:r>
      <w:r>
        <w:rPr>
          <w:rFonts w:hint="eastAsia"/>
          <w:sz w:val="21"/>
          <w:szCs w:val="21"/>
        </w:rPr>
        <w:t xml:space="preserve">  现场工艺试验</w:t>
      </w:r>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p>
    <w:p>
      <w:pPr>
        <w:spacing w:line="420" w:lineRule="exact"/>
        <w:ind w:firstLine="420" w:firstLineChars="200"/>
        <w:rPr>
          <w:szCs w:val="21"/>
        </w:rPr>
      </w:pPr>
      <w:r>
        <w:rPr>
          <w:rFonts w:hint="eastAsia"/>
          <w:szCs w:val="21"/>
        </w:rPr>
        <w:t>承包人应按合同约定或监理人指示进行现场工艺试验。对大型的现场工艺试验，监理人认为必要时，应由承包人根据监理人提出的工艺试验要求，编制工艺试验措施计划，报送监理人审批。</w:t>
      </w:r>
    </w:p>
    <w:p>
      <w:pPr>
        <w:pStyle w:val="7"/>
        <w:spacing w:before="120" w:after="120" w:line="420" w:lineRule="exact"/>
        <w:rPr>
          <w:b w:val="0"/>
          <w:sz w:val="21"/>
          <w:szCs w:val="21"/>
        </w:rPr>
      </w:pPr>
      <w:bookmarkStart w:id="4292" w:name="_Toc282787508"/>
      <w:r>
        <w:rPr>
          <w:rFonts w:ascii="Times New Roman" w:hAnsi="Times New Roman"/>
          <w:sz w:val="21"/>
          <w:szCs w:val="21"/>
        </w:rPr>
        <w:t>14.4</w:t>
      </w:r>
      <w:r>
        <w:rPr>
          <w:rFonts w:hint="eastAsia"/>
          <w:b w:val="0"/>
          <w:sz w:val="21"/>
          <w:szCs w:val="21"/>
        </w:rPr>
        <w:t>试验和检验费用</w:t>
      </w:r>
      <w:bookmarkEnd w:id="4292"/>
    </w:p>
    <w:p>
      <w:pPr>
        <w:spacing w:line="420" w:lineRule="exact"/>
        <w:ind w:firstLine="420" w:firstLineChars="200"/>
        <w:rPr>
          <w:szCs w:val="21"/>
        </w:rPr>
      </w:pPr>
      <w:r>
        <w:rPr>
          <w:rFonts w:hint="eastAsia"/>
          <w:szCs w:val="21"/>
        </w:rPr>
        <w:t>（1）承包人应负责提供合同和技术规范规定的试验和检验所需的全部样品，并承担其它费用。</w:t>
      </w:r>
    </w:p>
    <w:p>
      <w:pPr>
        <w:spacing w:line="420" w:lineRule="exact"/>
        <w:ind w:firstLine="420" w:firstLineChars="200"/>
        <w:rPr>
          <w:szCs w:val="21"/>
        </w:rPr>
      </w:pPr>
      <w:r>
        <w:rPr>
          <w:rFonts w:hint="eastAsia"/>
          <w:szCs w:val="21"/>
        </w:rPr>
        <w:t>（2）在合同中明确规定的试验和检验，包括无须在工程量清单中单独列项和已在工程量清单中单独列项的试验和检验，其试验和检验的费用由承包人负担。</w:t>
      </w:r>
    </w:p>
    <w:p>
      <w:pPr>
        <w:spacing w:line="420" w:lineRule="exact"/>
        <w:ind w:firstLine="420" w:firstLineChars="200"/>
        <w:rPr>
          <w:szCs w:val="21"/>
        </w:rPr>
      </w:pPr>
      <w:r>
        <w:rPr>
          <w:rFonts w:hint="eastAsia"/>
          <w:szCs w:val="21"/>
        </w:rPr>
        <w:t>（3）如果监理人所要求做的试验和检验为合同未规定的或是在该材料或工程设备的制造、加工、制配场地以外的场所进行的，则检验结束后，如表明操作工艺或材料、工程设备未能符合合同规定，其费用应由承包人承担。否则，其费用应由发包人承担。</w:t>
      </w:r>
    </w:p>
    <w:p>
      <w:pPr>
        <w:pStyle w:val="28"/>
        <w:spacing w:beforeLines="50" w:afterLines="50" w:line="420" w:lineRule="exact"/>
        <w:rPr>
          <w:szCs w:val="28"/>
        </w:rPr>
      </w:pPr>
      <w:bookmarkStart w:id="4293" w:name="_Toc23898"/>
      <w:bookmarkStart w:id="4294" w:name="_Toc179632724"/>
      <w:bookmarkStart w:id="4295" w:name="_Toc10010"/>
      <w:bookmarkStart w:id="4296" w:name="_Toc29456"/>
      <w:bookmarkStart w:id="4297" w:name="_Toc282787509"/>
      <w:bookmarkStart w:id="4298" w:name="_Toc287853409"/>
      <w:bookmarkStart w:id="4299" w:name="_Toc288546709"/>
      <w:bookmarkStart w:id="4300" w:name="_Toc152042484"/>
      <w:bookmarkStart w:id="4301" w:name="_Toc282779569"/>
      <w:bookmarkStart w:id="4302" w:name="_Toc17604"/>
      <w:bookmarkStart w:id="4303" w:name="_Toc24878"/>
      <w:bookmarkStart w:id="4304" w:name="_Toc152045706"/>
      <w:bookmarkStart w:id="4305" w:name="_Toc18906"/>
      <w:bookmarkStart w:id="4306" w:name="_Toc28281"/>
      <w:bookmarkStart w:id="4307" w:name="_Toc283794257"/>
      <w:bookmarkStart w:id="4308" w:name="_Toc288491585"/>
      <w:bookmarkStart w:id="4309" w:name="_Toc6834"/>
      <w:bookmarkStart w:id="4310" w:name="_Toc237923885"/>
      <w:bookmarkStart w:id="4311" w:name="_Toc144974675"/>
      <w:bookmarkStart w:id="4312" w:name="_Toc29922"/>
      <w:bookmarkStart w:id="4313" w:name="_Toc282779060"/>
      <w:bookmarkStart w:id="4314" w:name="_Toc8574"/>
      <w:bookmarkStart w:id="4315" w:name="_Toc17224"/>
      <w:r>
        <w:rPr>
          <w:rFonts w:hint="eastAsia"/>
          <w:szCs w:val="28"/>
        </w:rPr>
        <w:t>15．变更</w:t>
      </w:r>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p>
    <w:p>
      <w:pPr>
        <w:pStyle w:val="27"/>
        <w:spacing w:beforeLines="50" w:afterLines="50" w:line="420" w:lineRule="exact"/>
        <w:rPr>
          <w:sz w:val="21"/>
          <w:szCs w:val="21"/>
        </w:rPr>
      </w:pPr>
      <w:bookmarkStart w:id="4316" w:name="_Toc288546710"/>
      <w:bookmarkStart w:id="4317" w:name="_Toc237923886"/>
      <w:bookmarkStart w:id="4318" w:name="_Toc27244"/>
      <w:bookmarkStart w:id="4319" w:name="_Toc15811"/>
      <w:bookmarkStart w:id="4320" w:name="_Toc16112"/>
      <w:bookmarkStart w:id="4321" w:name="_Toc152045707"/>
      <w:bookmarkStart w:id="4322" w:name="_Toc282787510"/>
      <w:bookmarkStart w:id="4323" w:name="_Toc11856"/>
      <w:bookmarkStart w:id="4324" w:name="_Toc152042485"/>
      <w:bookmarkStart w:id="4325" w:name="_Toc18978"/>
      <w:bookmarkStart w:id="4326" w:name="_Toc7074"/>
      <w:bookmarkStart w:id="4327" w:name="_Toc282779570"/>
      <w:bookmarkStart w:id="4328" w:name="_Toc24282"/>
      <w:bookmarkStart w:id="4329" w:name="_Toc283794258"/>
      <w:bookmarkStart w:id="4330" w:name="_Toc25999"/>
      <w:bookmarkStart w:id="4331" w:name="_Toc288491586"/>
      <w:bookmarkStart w:id="4332" w:name="_Toc11341"/>
      <w:bookmarkStart w:id="4333" w:name="_Toc10677"/>
      <w:bookmarkStart w:id="4334" w:name="_Toc282779061"/>
      <w:bookmarkStart w:id="4335" w:name="_Toc1295"/>
      <w:bookmarkStart w:id="4336" w:name="_Toc179632725"/>
      <w:bookmarkStart w:id="4337" w:name="_Toc287853410"/>
      <w:bookmarkStart w:id="4338" w:name="_Toc144974676"/>
      <w:r>
        <w:rPr>
          <w:rFonts w:hint="eastAsia"/>
          <w:b/>
          <w:sz w:val="21"/>
          <w:szCs w:val="21"/>
        </w:rPr>
        <w:t>15.1</w:t>
      </w:r>
      <w:r>
        <w:rPr>
          <w:rFonts w:hint="eastAsia"/>
          <w:sz w:val="21"/>
          <w:szCs w:val="21"/>
        </w:rPr>
        <w:t xml:space="preserve">  变更的范围和内容</w:t>
      </w:r>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p>
    <w:p>
      <w:pPr>
        <w:spacing w:line="420" w:lineRule="exact"/>
        <w:ind w:firstLine="420" w:firstLineChars="200"/>
        <w:rPr>
          <w:szCs w:val="21"/>
        </w:rPr>
      </w:pPr>
      <w:r>
        <w:rPr>
          <w:rFonts w:hint="eastAsia"/>
          <w:szCs w:val="21"/>
        </w:rPr>
        <w:t>除专用合同条款另有约定外，在履行合同中发生以下情形之一，应按照本条规定进行变更。</w:t>
      </w:r>
    </w:p>
    <w:p>
      <w:pPr>
        <w:spacing w:line="420" w:lineRule="exact"/>
        <w:ind w:firstLine="420" w:firstLineChars="200"/>
        <w:rPr>
          <w:szCs w:val="21"/>
        </w:rPr>
      </w:pPr>
      <w:r>
        <w:rPr>
          <w:rFonts w:hint="eastAsia"/>
          <w:szCs w:val="21"/>
        </w:rPr>
        <w:t>（1）取消合同中任何一项工作，但被取消的工作不能转由发包人或其他人实施，由于承包人违约造成的情况除外；</w:t>
      </w:r>
    </w:p>
    <w:p>
      <w:pPr>
        <w:spacing w:line="420" w:lineRule="exact"/>
        <w:ind w:firstLine="420" w:firstLineChars="200"/>
        <w:rPr>
          <w:szCs w:val="21"/>
        </w:rPr>
      </w:pPr>
      <w:r>
        <w:rPr>
          <w:rFonts w:hint="eastAsia"/>
          <w:szCs w:val="21"/>
        </w:rPr>
        <w:t>（2）改变合同中任何一项工作的质量或其它特性；</w:t>
      </w:r>
    </w:p>
    <w:p>
      <w:pPr>
        <w:spacing w:line="420" w:lineRule="exact"/>
        <w:ind w:firstLine="420" w:firstLineChars="200"/>
        <w:rPr>
          <w:szCs w:val="21"/>
        </w:rPr>
      </w:pPr>
      <w:r>
        <w:rPr>
          <w:rFonts w:hint="eastAsia"/>
          <w:szCs w:val="21"/>
        </w:rPr>
        <w:t>（3）改变合同工程的基线、标高、位置或尺寸；</w:t>
      </w:r>
    </w:p>
    <w:p>
      <w:pPr>
        <w:spacing w:line="420" w:lineRule="exact"/>
        <w:ind w:firstLine="420" w:firstLineChars="200"/>
        <w:rPr>
          <w:szCs w:val="21"/>
        </w:rPr>
      </w:pPr>
      <w:r>
        <w:rPr>
          <w:rFonts w:hint="eastAsia"/>
          <w:szCs w:val="21"/>
        </w:rPr>
        <w:t>（4）改变合同中任何一项工作的施工时间或改变已批准的施工工艺或顺序；</w:t>
      </w:r>
    </w:p>
    <w:p>
      <w:pPr>
        <w:spacing w:line="420" w:lineRule="exact"/>
        <w:ind w:firstLine="420" w:firstLineChars="200"/>
        <w:rPr>
          <w:szCs w:val="21"/>
        </w:rPr>
      </w:pPr>
      <w:r>
        <w:rPr>
          <w:rFonts w:hint="eastAsia"/>
          <w:szCs w:val="21"/>
        </w:rPr>
        <w:t>（5）为完成工程需要追加的额外工作。</w:t>
      </w:r>
    </w:p>
    <w:p>
      <w:pPr>
        <w:pStyle w:val="27"/>
        <w:spacing w:beforeLines="50" w:afterLines="50" w:line="420" w:lineRule="exact"/>
        <w:rPr>
          <w:sz w:val="21"/>
          <w:szCs w:val="21"/>
        </w:rPr>
      </w:pPr>
      <w:bookmarkStart w:id="4339" w:name="_Toc13214"/>
      <w:bookmarkStart w:id="4340" w:name="_Toc282787511"/>
      <w:bookmarkStart w:id="4341" w:name="_Toc288491587"/>
      <w:bookmarkStart w:id="4342" w:name="_Toc179632726"/>
      <w:bookmarkStart w:id="4343" w:name="_Toc11136"/>
      <w:bookmarkStart w:id="4344" w:name="_Toc287853411"/>
      <w:bookmarkStart w:id="4345" w:name="_Toc152045708"/>
      <w:bookmarkStart w:id="4346" w:name="_Toc26078"/>
      <w:bookmarkStart w:id="4347" w:name="_Toc152042486"/>
      <w:bookmarkStart w:id="4348" w:name="_Toc7080"/>
      <w:bookmarkStart w:id="4349" w:name="_Toc237923887"/>
      <w:bookmarkStart w:id="4350" w:name="_Toc282779062"/>
      <w:bookmarkStart w:id="4351" w:name="_Toc288546711"/>
      <w:bookmarkStart w:id="4352" w:name="_Toc22401"/>
      <w:bookmarkStart w:id="4353" w:name="_Toc15569"/>
      <w:bookmarkStart w:id="4354" w:name="_Toc282779571"/>
      <w:bookmarkStart w:id="4355" w:name="_Toc31701"/>
      <w:bookmarkStart w:id="4356" w:name="_Toc18771"/>
      <w:bookmarkStart w:id="4357" w:name="_Toc6465"/>
      <w:bookmarkStart w:id="4358" w:name="_Toc283794259"/>
      <w:bookmarkStart w:id="4359" w:name="_Toc26006"/>
      <w:bookmarkStart w:id="4360" w:name="_Toc144974677"/>
      <w:bookmarkStart w:id="4361" w:name="_Toc9537"/>
      <w:r>
        <w:rPr>
          <w:rFonts w:hint="eastAsia"/>
          <w:b/>
          <w:sz w:val="21"/>
          <w:szCs w:val="21"/>
        </w:rPr>
        <w:t>15.2</w:t>
      </w:r>
      <w:r>
        <w:rPr>
          <w:rFonts w:hint="eastAsia"/>
          <w:sz w:val="21"/>
          <w:szCs w:val="21"/>
        </w:rPr>
        <w:t xml:space="preserve">  变更权</w:t>
      </w:r>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p>
    <w:p>
      <w:pPr>
        <w:spacing w:line="420" w:lineRule="exact"/>
        <w:ind w:firstLine="420" w:firstLineChars="200"/>
        <w:rPr>
          <w:szCs w:val="21"/>
        </w:rPr>
      </w:pPr>
      <w:r>
        <w:rPr>
          <w:rFonts w:hint="eastAsia"/>
          <w:szCs w:val="21"/>
        </w:rPr>
        <w:t>在履行合同过程中，经发包人同意，监理人可按第15.3款约定的变更程序向承包人作出变更指示，承包人应遵照执行。没有监理人的变更指示，承包人不得擅自变更。</w:t>
      </w:r>
    </w:p>
    <w:p>
      <w:pPr>
        <w:pStyle w:val="27"/>
        <w:spacing w:beforeLines="50" w:afterLines="50" w:line="420" w:lineRule="exact"/>
        <w:rPr>
          <w:sz w:val="21"/>
          <w:szCs w:val="21"/>
        </w:rPr>
      </w:pPr>
      <w:bookmarkStart w:id="4362" w:name="_Toc152042487"/>
      <w:bookmarkStart w:id="4363" w:name="_Toc16395"/>
      <w:bookmarkStart w:id="4364" w:name="_Toc5136"/>
      <w:bookmarkStart w:id="4365" w:name="_Toc25659"/>
      <w:bookmarkStart w:id="4366" w:name="_Toc287853412"/>
      <w:bookmarkStart w:id="4367" w:name="_Toc32191"/>
      <w:bookmarkStart w:id="4368" w:name="_Toc16443"/>
      <w:bookmarkStart w:id="4369" w:name="_Toc27544"/>
      <w:bookmarkStart w:id="4370" w:name="_Toc179632727"/>
      <w:bookmarkStart w:id="4371" w:name="_Toc288546712"/>
      <w:bookmarkStart w:id="4372" w:name="_Toc29787"/>
      <w:bookmarkStart w:id="4373" w:name="_Toc29064"/>
      <w:bookmarkStart w:id="4374" w:name="_Toc237923888"/>
      <w:bookmarkStart w:id="4375" w:name="_Toc282779572"/>
      <w:bookmarkStart w:id="4376" w:name="_Toc282779063"/>
      <w:bookmarkStart w:id="4377" w:name="_Toc282787512"/>
      <w:bookmarkStart w:id="4378" w:name="_Toc16364"/>
      <w:bookmarkStart w:id="4379" w:name="_Toc31048"/>
      <w:bookmarkStart w:id="4380" w:name="_Toc283794260"/>
      <w:bookmarkStart w:id="4381" w:name="_Toc12272"/>
      <w:bookmarkStart w:id="4382" w:name="_Toc152045709"/>
      <w:bookmarkStart w:id="4383" w:name="_Toc144974678"/>
      <w:bookmarkStart w:id="4384" w:name="_Toc288491588"/>
      <w:r>
        <w:rPr>
          <w:rFonts w:hint="eastAsia"/>
          <w:b/>
          <w:sz w:val="21"/>
          <w:szCs w:val="21"/>
        </w:rPr>
        <w:t>15.3</w:t>
      </w:r>
      <w:r>
        <w:rPr>
          <w:rFonts w:hint="eastAsia"/>
          <w:sz w:val="21"/>
          <w:szCs w:val="21"/>
        </w:rPr>
        <w:t xml:space="preserve">  变更程序</w:t>
      </w:r>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p>
    <w:p>
      <w:pPr>
        <w:spacing w:line="420" w:lineRule="exact"/>
        <w:ind w:firstLine="420" w:firstLineChars="200"/>
        <w:rPr>
          <w:rFonts w:ascii="宋体" w:hAnsi="宋体"/>
          <w:szCs w:val="21"/>
        </w:rPr>
      </w:pPr>
      <w:r>
        <w:rPr>
          <w:rFonts w:hint="eastAsia"/>
          <w:szCs w:val="21"/>
        </w:rPr>
        <w:t xml:space="preserve">15.3.1  </w:t>
      </w:r>
      <w:r>
        <w:rPr>
          <w:rFonts w:hint="eastAsia" w:ascii="宋体" w:hAnsi="宋体"/>
          <w:szCs w:val="21"/>
        </w:rPr>
        <w:t>变更的提出</w:t>
      </w:r>
    </w:p>
    <w:p>
      <w:pPr>
        <w:spacing w:line="420" w:lineRule="exact"/>
        <w:ind w:firstLine="420" w:firstLineChars="200"/>
        <w:rPr>
          <w:szCs w:val="21"/>
        </w:rPr>
      </w:pPr>
      <w:r>
        <w:rPr>
          <w:rFonts w:hint="eastAsia"/>
          <w:szCs w:val="21"/>
        </w:rPr>
        <w:t xml:space="preserve">（1）在合同履行过程中，可能发生第15.1款约定情形的，监理人可向承包人发出变更意向书。变更意向书应说明变更的具体内容和发包人对变更的时间要求，并附必要的图纸和相关资料。变更意向书应要求承包人提交包括拟实施变更工作的计划、措施和竣工时间等内容的实施方案。发包人同意承包人根据变更意向书要求提交的变更实施方案的，由监理人按第15.3.3项约定发出变更指示。 </w:t>
      </w:r>
    </w:p>
    <w:p>
      <w:pPr>
        <w:spacing w:line="420" w:lineRule="exact"/>
        <w:ind w:firstLine="420" w:firstLineChars="200"/>
        <w:rPr>
          <w:szCs w:val="21"/>
        </w:rPr>
      </w:pPr>
      <w:r>
        <w:rPr>
          <w:rFonts w:hint="eastAsia"/>
          <w:szCs w:val="21"/>
        </w:rPr>
        <w:t>（2）在合同履行过程中，发生第15.1款约定情形的，监理人应按照第15.3.3项约定向承包人发出变更指示。</w:t>
      </w:r>
    </w:p>
    <w:p>
      <w:pPr>
        <w:spacing w:line="420" w:lineRule="exact"/>
        <w:ind w:firstLine="420" w:firstLineChars="200"/>
        <w:rPr>
          <w:szCs w:val="21"/>
        </w:rPr>
      </w:pPr>
      <w:r>
        <w:rPr>
          <w:rFonts w:hint="eastAsia"/>
          <w:szCs w:val="21"/>
        </w:rPr>
        <w:t>（3）承包人收到监理人按合同约定发出的图纸和文件，经检查认为其中存在第15.1款约定情形的，可向监理人提出书面变更建议。变更建议应阐明要求变更的依据，并附必要的图纸和说明。监理人收到承包人书面建议后，应与发包人共同研究，确认存在变更的，应在收到承包人书面建议后的14天内作出变更指示。经研究后不同意作为变更的，应由监理人书面答复承包人。</w:t>
      </w:r>
    </w:p>
    <w:p>
      <w:pPr>
        <w:spacing w:line="420" w:lineRule="exact"/>
        <w:ind w:firstLine="420" w:firstLineChars="200"/>
        <w:rPr>
          <w:szCs w:val="21"/>
        </w:rPr>
      </w:pPr>
      <w:r>
        <w:rPr>
          <w:rFonts w:hint="eastAsia"/>
          <w:szCs w:val="21"/>
        </w:rPr>
        <w:t>（4）若承包人收到监理人的变更意向书后认为难以实施此项变更，应立即通知监理人，说明原因并附详细依据。监理人与承包人和发包人协商后确定撤销</w:t>
      </w:r>
      <w:r>
        <w:rPr>
          <w:rFonts w:hint="eastAsia" w:ascii="宋体" w:hAnsi="宋体"/>
          <w:szCs w:val="21"/>
        </w:rPr>
        <w:t>、</w:t>
      </w:r>
      <w:r>
        <w:rPr>
          <w:rFonts w:hint="eastAsia"/>
          <w:szCs w:val="21"/>
        </w:rPr>
        <w:t>改变或不改变原变更意向书。</w:t>
      </w:r>
    </w:p>
    <w:p>
      <w:pPr>
        <w:spacing w:line="420" w:lineRule="exact"/>
        <w:ind w:firstLine="420" w:firstLineChars="200"/>
        <w:rPr>
          <w:rFonts w:ascii="宋体" w:hAnsi="宋体"/>
          <w:szCs w:val="21"/>
        </w:rPr>
      </w:pPr>
      <w:r>
        <w:rPr>
          <w:rFonts w:hint="eastAsia"/>
          <w:szCs w:val="21"/>
        </w:rPr>
        <w:t xml:space="preserve">15.3.2  </w:t>
      </w:r>
      <w:r>
        <w:rPr>
          <w:rFonts w:hint="eastAsia" w:ascii="宋体" w:hAnsi="宋体"/>
          <w:szCs w:val="21"/>
        </w:rPr>
        <w:t>变更估价</w:t>
      </w:r>
    </w:p>
    <w:p>
      <w:pPr>
        <w:spacing w:line="420" w:lineRule="exact"/>
        <w:ind w:firstLine="420" w:firstLineChars="200"/>
        <w:rPr>
          <w:szCs w:val="21"/>
        </w:rPr>
      </w:pPr>
      <w:r>
        <w:rPr>
          <w:rFonts w:hint="eastAsia"/>
          <w:szCs w:val="21"/>
        </w:rPr>
        <w:t>（1）除专用合同条款对期限另有约定外，承包人应在收到变更指示或变更意向书后的14天内，向监理人提交变更报价书，报价内容应根据第15.4款约定的估价原则，详细开列变更工作的价格组成及其依据，并附必要的施工方法说明和有关图纸。</w:t>
      </w:r>
    </w:p>
    <w:p>
      <w:pPr>
        <w:spacing w:line="420" w:lineRule="exact"/>
        <w:ind w:firstLine="420" w:firstLineChars="200"/>
        <w:rPr>
          <w:szCs w:val="21"/>
        </w:rPr>
      </w:pPr>
      <w:r>
        <w:rPr>
          <w:rFonts w:hint="eastAsia"/>
          <w:szCs w:val="21"/>
        </w:rPr>
        <w:t>（2）变更工作影响工期的，承包人应提出调整工期的具体细节。监理人认为有必要时，可要求承包人提交要求提前或延长工期的施工进度计划及相应施工措施等详细资料。</w:t>
      </w:r>
    </w:p>
    <w:p>
      <w:pPr>
        <w:spacing w:line="420" w:lineRule="exact"/>
        <w:ind w:firstLine="420" w:firstLineChars="200"/>
        <w:rPr>
          <w:szCs w:val="21"/>
        </w:rPr>
      </w:pPr>
      <w:r>
        <w:rPr>
          <w:rFonts w:hint="eastAsia"/>
          <w:szCs w:val="21"/>
        </w:rPr>
        <w:t>（3）除专用合同条款对期限另有约定外，监理人收到承包人变更报价书后的14天内，根据第15.4款约定的估价原则，按照第3.5款商定或确定变更价格。</w:t>
      </w:r>
    </w:p>
    <w:p>
      <w:pPr>
        <w:spacing w:line="420" w:lineRule="exact"/>
        <w:ind w:firstLine="420" w:firstLineChars="200"/>
        <w:rPr>
          <w:szCs w:val="21"/>
        </w:rPr>
      </w:pPr>
      <w:r>
        <w:rPr>
          <w:rFonts w:hint="eastAsia"/>
          <w:szCs w:val="21"/>
        </w:rPr>
        <w:t xml:space="preserve">15.3.3  </w:t>
      </w:r>
      <w:r>
        <w:rPr>
          <w:rFonts w:hint="eastAsia" w:ascii="宋体" w:hAnsi="宋体"/>
          <w:szCs w:val="21"/>
        </w:rPr>
        <w:t>变更指示</w:t>
      </w:r>
    </w:p>
    <w:p>
      <w:pPr>
        <w:spacing w:line="420" w:lineRule="exact"/>
        <w:ind w:firstLine="420" w:firstLineChars="200"/>
        <w:rPr>
          <w:szCs w:val="21"/>
        </w:rPr>
      </w:pPr>
      <w:r>
        <w:rPr>
          <w:rFonts w:hint="eastAsia"/>
          <w:szCs w:val="21"/>
        </w:rPr>
        <w:t>（1）变更指示只能由监理人发出。</w:t>
      </w:r>
    </w:p>
    <w:p>
      <w:pPr>
        <w:spacing w:line="420" w:lineRule="exact"/>
        <w:ind w:firstLine="420" w:firstLineChars="200"/>
        <w:rPr>
          <w:szCs w:val="21"/>
        </w:rPr>
      </w:pPr>
      <w:r>
        <w:rPr>
          <w:rFonts w:hint="eastAsia"/>
          <w:szCs w:val="21"/>
        </w:rPr>
        <w:t>（2）变更指示应说明变更的目的、范围、变更内容以及变更的工程量及其进度和技术要求，并附有关图纸和文件。承包人收到变更指示后，应按变更指示进行变更工作。</w:t>
      </w:r>
    </w:p>
    <w:p>
      <w:pPr>
        <w:pStyle w:val="27"/>
        <w:spacing w:beforeLines="50" w:afterLines="50" w:line="420" w:lineRule="exact"/>
        <w:rPr>
          <w:sz w:val="21"/>
          <w:szCs w:val="21"/>
        </w:rPr>
      </w:pPr>
      <w:bookmarkStart w:id="4385" w:name="_Toc4104"/>
      <w:bookmarkStart w:id="4386" w:name="_Toc21971"/>
      <w:bookmarkStart w:id="4387" w:name="_Toc20183"/>
      <w:bookmarkStart w:id="4388" w:name="_Toc152042488"/>
      <w:bookmarkStart w:id="4389" w:name="_Toc237923889"/>
      <w:bookmarkStart w:id="4390" w:name="_Toc283794261"/>
      <w:bookmarkStart w:id="4391" w:name="_Toc21279"/>
      <w:bookmarkStart w:id="4392" w:name="_Toc152045710"/>
      <w:bookmarkStart w:id="4393" w:name="_Toc179632728"/>
      <w:bookmarkStart w:id="4394" w:name="_Toc288491589"/>
      <w:bookmarkStart w:id="4395" w:name="_Toc10034"/>
      <w:bookmarkStart w:id="4396" w:name="_Toc144974679"/>
      <w:bookmarkStart w:id="4397" w:name="_Toc288546713"/>
      <w:bookmarkStart w:id="4398" w:name="_Toc28338"/>
      <w:bookmarkStart w:id="4399" w:name="_Toc9590"/>
      <w:bookmarkStart w:id="4400" w:name="_Toc282779064"/>
      <w:bookmarkStart w:id="4401" w:name="_Toc18898"/>
      <w:bookmarkStart w:id="4402" w:name="_Toc282787513"/>
      <w:bookmarkStart w:id="4403" w:name="_Toc31772"/>
      <w:bookmarkStart w:id="4404" w:name="_Toc18628"/>
      <w:bookmarkStart w:id="4405" w:name="_Toc282779573"/>
      <w:bookmarkStart w:id="4406" w:name="_Toc287853413"/>
      <w:bookmarkStart w:id="4407" w:name="_Toc1077"/>
      <w:r>
        <w:rPr>
          <w:rFonts w:hint="eastAsia"/>
          <w:b/>
          <w:sz w:val="21"/>
          <w:szCs w:val="21"/>
        </w:rPr>
        <w:t xml:space="preserve">15.4 </w:t>
      </w:r>
      <w:r>
        <w:rPr>
          <w:rFonts w:hint="eastAsia"/>
          <w:sz w:val="21"/>
          <w:szCs w:val="21"/>
        </w:rPr>
        <w:t xml:space="preserve"> 变更的估价原则</w:t>
      </w:r>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p>
    <w:p>
      <w:pPr>
        <w:spacing w:line="420" w:lineRule="exact"/>
        <w:ind w:firstLine="420" w:firstLineChars="200"/>
        <w:rPr>
          <w:szCs w:val="21"/>
        </w:rPr>
      </w:pPr>
      <w:r>
        <w:rPr>
          <w:rFonts w:hint="eastAsia"/>
          <w:szCs w:val="21"/>
        </w:rPr>
        <w:t>除项目专用合同条款另有约定外，因变更引起的价格调整按照本款约定处理。</w:t>
      </w:r>
    </w:p>
    <w:p>
      <w:pPr>
        <w:spacing w:line="420" w:lineRule="exact"/>
        <w:ind w:firstLine="420" w:firstLineChars="200"/>
        <w:rPr>
          <w:szCs w:val="21"/>
        </w:rPr>
      </w:pPr>
      <w:r>
        <w:rPr>
          <w:rFonts w:hint="eastAsia"/>
          <w:szCs w:val="21"/>
        </w:rPr>
        <w:t>15.4.1  如果取消某项工作，则该项工作的总额价不予支付；</w:t>
      </w:r>
    </w:p>
    <w:p>
      <w:pPr>
        <w:spacing w:line="420" w:lineRule="exact"/>
        <w:ind w:firstLine="420" w:firstLineChars="200"/>
        <w:rPr>
          <w:szCs w:val="21"/>
        </w:rPr>
      </w:pPr>
      <w:r>
        <w:rPr>
          <w:rFonts w:hint="eastAsia"/>
          <w:szCs w:val="21"/>
        </w:rPr>
        <w:t>15.4.2  如养护路段对工程量清单中子目部分内容需实行专项工程的，则对实施专项工程子目的单价按里程及时间进行折算，相应工程子目单价每月折减2%。（适用于小修保养工程项目）</w:t>
      </w:r>
    </w:p>
    <w:p>
      <w:pPr>
        <w:spacing w:line="420" w:lineRule="exact"/>
        <w:ind w:firstLine="420" w:firstLineChars="200"/>
        <w:rPr>
          <w:szCs w:val="21"/>
        </w:rPr>
      </w:pPr>
      <w:r>
        <w:rPr>
          <w:rFonts w:hint="eastAsia"/>
          <w:szCs w:val="21"/>
        </w:rPr>
        <w:t>15.4.3  已标价工程量清单中有适用于变更工作的子目的，采用该子目的单价。</w:t>
      </w:r>
    </w:p>
    <w:p>
      <w:pPr>
        <w:spacing w:line="420" w:lineRule="exact"/>
        <w:ind w:firstLine="420" w:firstLineChars="200"/>
        <w:rPr>
          <w:szCs w:val="21"/>
        </w:rPr>
      </w:pPr>
      <w:r>
        <w:rPr>
          <w:rFonts w:hint="eastAsia"/>
          <w:szCs w:val="21"/>
        </w:rPr>
        <w:t>15.4.4  已标价工程量清单中无适用于变更工作的子目，但有类似子目的，可在合理范围内参照类似子目的单价，由监理人按第3.5款商定或确定变更工作的单价。</w:t>
      </w:r>
    </w:p>
    <w:p>
      <w:pPr>
        <w:spacing w:line="420" w:lineRule="exact"/>
        <w:ind w:firstLine="420" w:firstLineChars="200"/>
        <w:rPr>
          <w:szCs w:val="21"/>
        </w:rPr>
      </w:pPr>
      <w:r>
        <w:rPr>
          <w:rFonts w:hint="eastAsia"/>
          <w:szCs w:val="21"/>
        </w:rPr>
        <w:t>15.4.5  已标价工程量清单中无适用或类似子目的单价，可在综合考虑承包人在投标时所提供的单价分析表的基础上，由监理人按第3.5款商定或确定变更工作的单价。</w:t>
      </w:r>
    </w:p>
    <w:p>
      <w:pPr>
        <w:spacing w:line="420" w:lineRule="exact"/>
        <w:ind w:firstLine="420" w:firstLineChars="200"/>
        <w:rPr>
          <w:szCs w:val="21"/>
        </w:rPr>
      </w:pPr>
      <w:r>
        <w:rPr>
          <w:rFonts w:hint="eastAsia"/>
          <w:szCs w:val="21"/>
        </w:rPr>
        <w:t>15.4.6  如果本工程的变更指示是因承包人过错、承包人违反合同或承包人责任造成的，则这种违约引起的任何额外费用应由承包人承担。</w:t>
      </w:r>
    </w:p>
    <w:p>
      <w:pPr>
        <w:pStyle w:val="27"/>
        <w:spacing w:beforeLines="50" w:afterLines="50" w:line="420" w:lineRule="exact"/>
        <w:rPr>
          <w:sz w:val="21"/>
          <w:szCs w:val="21"/>
        </w:rPr>
      </w:pPr>
      <w:bookmarkStart w:id="4408" w:name="_Toc15656"/>
      <w:bookmarkStart w:id="4409" w:name="_Toc15576"/>
      <w:bookmarkStart w:id="4410" w:name="_Toc101"/>
      <w:bookmarkStart w:id="4411" w:name="_Toc152042489"/>
      <w:bookmarkStart w:id="4412" w:name="_Toc15462"/>
      <w:bookmarkStart w:id="4413" w:name="_Toc29214"/>
      <w:bookmarkStart w:id="4414" w:name="_Toc3153"/>
      <w:bookmarkStart w:id="4415" w:name="_Toc282779574"/>
      <w:bookmarkStart w:id="4416" w:name="_Toc13445"/>
      <w:bookmarkStart w:id="4417" w:name="_Toc179632729"/>
      <w:bookmarkStart w:id="4418" w:name="_Toc288546714"/>
      <w:bookmarkStart w:id="4419" w:name="_Toc9648"/>
      <w:bookmarkStart w:id="4420" w:name="_Toc288491590"/>
      <w:bookmarkStart w:id="4421" w:name="_Toc282787514"/>
      <w:bookmarkStart w:id="4422" w:name="_Toc144974680"/>
      <w:bookmarkStart w:id="4423" w:name="_Toc152045711"/>
      <w:bookmarkStart w:id="4424" w:name="_Toc25151"/>
      <w:bookmarkStart w:id="4425" w:name="_Toc287853414"/>
      <w:bookmarkStart w:id="4426" w:name="_Toc282779065"/>
      <w:bookmarkStart w:id="4427" w:name="_Toc32077"/>
      <w:bookmarkStart w:id="4428" w:name="_Toc20336"/>
      <w:bookmarkStart w:id="4429" w:name="_Toc283794262"/>
      <w:bookmarkStart w:id="4430" w:name="_Toc237923890"/>
      <w:r>
        <w:rPr>
          <w:rFonts w:hint="eastAsia"/>
          <w:b/>
          <w:sz w:val="21"/>
          <w:szCs w:val="21"/>
        </w:rPr>
        <w:t>15.5</w:t>
      </w:r>
      <w:r>
        <w:rPr>
          <w:rFonts w:hint="eastAsia"/>
          <w:sz w:val="21"/>
          <w:szCs w:val="21"/>
        </w:rPr>
        <w:t xml:space="preserve">  承包人的合理化建议</w:t>
      </w:r>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p>
    <w:p>
      <w:pPr>
        <w:spacing w:line="420" w:lineRule="exact"/>
        <w:ind w:firstLine="420" w:firstLineChars="200"/>
        <w:rPr>
          <w:szCs w:val="21"/>
        </w:rPr>
      </w:pPr>
      <w:r>
        <w:rPr>
          <w:rFonts w:hint="eastAsia"/>
          <w:szCs w:val="21"/>
        </w:rPr>
        <w:t>15.5.1  在履行合同过程中，承包人对发包人提供的图纸、技术要求以及其它方面提出的合理化建议，均应以书面形式提交监理人。合理化建议书的内容应包括建议工作的详细说明、进度计划和效益以及与其它工作的协调等，并附必要的设计文件。监理人应与发包人协商是否采纳建议。建议被采纳并构成变更的，应按第15.3.3项约定向承包人发出变更指示。</w:t>
      </w:r>
    </w:p>
    <w:p>
      <w:pPr>
        <w:spacing w:line="420" w:lineRule="exact"/>
        <w:ind w:firstLine="420" w:firstLineChars="200"/>
        <w:rPr>
          <w:szCs w:val="21"/>
        </w:rPr>
      </w:pPr>
      <w:r>
        <w:rPr>
          <w:rFonts w:hint="eastAsia"/>
          <w:szCs w:val="21"/>
        </w:rPr>
        <w:t>15.5.2  承包人提出的合理化建议降低了合同价格、缩短了工期或者提高了工程经济效益的，发包人可按国家有关规定在专用合同条款中约定给予奖励。</w:t>
      </w:r>
    </w:p>
    <w:p>
      <w:pPr>
        <w:pStyle w:val="27"/>
        <w:spacing w:beforeLines="50" w:afterLines="50" w:line="420" w:lineRule="exact"/>
        <w:rPr>
          <w:sz w:val="21"/>
          <w:szCs w:val="21"/>
        </w:rPr>
      </w:pPr>
      <w:bookmarkStart w:id="4431" w:name="_Toc288546715"/>
      <w:bookmarkStart w:id="4432" w:name="_Toc288491591"/>
      <w:bookmarkStart w:id="4433" w:name="_Toc152045712"/>
      <w:bookmarkStart w:id="4434" w:name="_Toc13799"/>
      <w:bookmarkStart w:id="4435" w:name="_Toc26658"/>
      <w:bookmarkStart w:id="4436" w:name="_Toc282779575"/>
      <w:bookmarkStart w:id="4437" w:name="_Toc28464"/>
      <w:bookmarkStart w:id="4438" w:name="_Toc282779066"/>
      <w:bookmarkStart w:id="4439" w:name="_Toc287853415"/>
      <w:bookmarkStart w:id="4440" w:name="_Toc282787515"/>
      <w:bookmarkStart w:id="4441" w:name="_Toc237923891"/>
      <w:bookmarkStart w:id="4442" w:name="_Toc3475"/>
      <w:bookmarkStart w:id="4443" w:name="_Toc23547"/>
      <w:bookmarkStart w:id="4444" w:name="_Toc144974681"/>
      <w:bookmarkStart w:id="4445" w:name="_Toc29905"/>
      <w:bookmarkStart w:id="4446" w:name="_Toc179632730"/>
      <w:bookmarkStart w:id="4447" w:name="_Toc2340"/>
      <w:bookmarkStart w:id="4448" w:name="_Toc26264"/>
      <w:bookmarkStart w:id="4449" w:name="_Toc7576"/>
      <w:bookmarkStart w:id="4450" w:name="_Toc25505"/>
      <w:bookmarkStart w:id="4451" w:name="_Toc152042490"/>
      <w:bookmarkStart w:id="4452" w:name="_Toc32017"/>
      <w:bookmarkStart w:id="4453" w:name="_Toc283794263"/>
      <w:r>
        <w:rPr>
          <w:rFonts w:hint="eastAsia"/>
          <w:b/>
          <w:sz w:val="21"/>
          <w:szCs w:val="21"/>
        </w:rPr>
        <w:t>15.6</w:t>
      </w:r>
      <w:r>
        <w:rPr>
          <w:rFonts w:hint="eastAsia"/>
          <w:sz w:val="21"/>
          <w:szCs w:val="21"/>
        </w:rPr>
        <w:t xml:space="preserve">  暂列金额</w:t>
      </w:r>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p>
    <w:p>
      <w:pPr>
        <w:spacing w:line="420" w:lineRule="exact"/>
        <w:ind w:firstLine="420" w:firstLineChars="200"/>
        <w:rPr>
          <w:szCs w:val="21"/>
        </w:rPr>
      </w:pPr>
      <w:r>
        <w:rPr>
          <w:rFonts w:hint="eastAsia"/>
          <w:szCs w:val="21"/>
        </w:rPr>
        <w:t>15.6.1  暂列金额应由监理人报发包人批准后指令全部或部分地使用，或者根本不予动用。</w:t>
      </w:r>
    </w:p>
    <w:p>
      <w:pPr>
        <w:spacing w:line="420" w:lineRule="exact"/>
        <w:ind w:firstLine="420" w:firstLineChars="200"/>
        <w:rPr>
          <w:szCs w:val="21"/>
        </w:rPr>
      </w:pPr>
      <w:r>
        <w:rPr>
          <w:rFonts w:hint="eastAsia"/>
          <w:szCs w:val="21"/>
        </w:rPr>
        <w:t>15.6.2  对于经发包人批准的每一笔暂列金额，监理人有权向承包人发出实施工程或提供材料或服务的指令。这些指令应由承包人完成，监理人应根据第15.4款约定的变更估价原则和第15.7款的规定，对合同价格进行相应调整。</w:t>
      </w:r>
    </w:p>
    <w:p>
      <w:pPr>
        <w:spacing w:line="420" w:lineRule="exact"/>
        <w:ind w:firstLine="420" w:firstLineChars="200"/>
        <w:rPr>
          <w:szCs w:val="21"/>
        </w:rPr>
      </w:pPr>
      <w:r>
        <w:rPr>
          <w:rFonts w:hint="eastAsia"/>
          <w:szCs w:val="21"/>
        </w:rPr>
        <w:t>15.6.3  当监理人提出要求时，承包人应提供有关暂列金额支出的所有报价单、发票、凭证和账单或收据，除非该工作是根据已标价工程量清单列明的单价或总额价进行的估价。</w:t>
      </w:r>
    </w:p>
    <w:p>
      <w:pPr>
        <w:pStyle w:val="27"/>
        <w:spacing w:beforeLines="50" w:afterLines="50" w:line="420" w:lineRule="exact"/>
        <w:rPr>
          <w:sz w:val="21"/>
          <w:szCs w:val="21"/>
        </w:rPr>
      </w:pPr>
      <w:bookmarkStart w:id="4454" w:name="_Toc31672"/>
      <w:bookmarkStart w:id="4455" w:name="_Toc282779067"/>
      <w:bookmarkStart w:id="4456" w:name="_Toc16820"/>
      <w:bookmarkStart w:id="4457" w:name="_Toc1"/>
      <w:bookmarkStart w:id="4458" w:name="_Toc14472"/>
      <w:bookmarkStart w:id="4459" w:name="_Toc237923892"/>
      <w:bookmarkStart w:id="4460" w:name="_Toc179632731"/>
      <w:bookmarkStart w:id="4461" w:name="_Toc152042491"/>
      <w:bookmarkStart w:id="4462" w:name="_Toc152045713"/>
      <w:bookmarkStart w:id="4463" w:name="_Toc19518"/>
      <w:bookmarkStart w:id="4464" w:name="_Toc21569"/>
      <w:bookmarkStart w:id="4465" w:name="_Toc144974682"/>
      <w:bookmarkStart w:id="4466" w:name="_Toc282779576"/>
      <w:bookmarkStart w:id="4467" w:name="_Toc288546716"/>
      <w:bookmarkStart w:id="4468" w:name="_Toc287853416"/>
      <w:bookmarkStart w:id="4469" w:name="_Toc288491592"/>
      <w:bookmarkStart w:id="4470" w:name="_Toc282787516"/>
      <w:bookmarkStart w:id="4471" w:name="_Toc5556"/>
      <w:bookmarkStart w:id="4472" w:name="_Toc31463"/>
      <w:bookmarkStart w:id="4473" w:name="_Toc14040"/>
      <w:bookmarkStart w:id="4474" w:name="_Toc283794264"/>
      <w:bookmarkStart w:id="4475" w:name="_Toc19141"/>
      <w:bookmarkStart w:id="4476" w:name="_Toc27828"/>
      <w:r>
        <w:rPr>
          <w:rFonts w:hint="eastAsia"/>
          <w:b/>
          <w:sz w:val="21"/>
          <w:szCs w:val="21"/>
        </w:rPr>
        <w:t>15.7</w:t>
      </w:r>
      <w:r>
        <w:rPr>
          <w:rFonts w:hint="eastAsia"/>
          <w:sz w:val="21"/>
          <w:szCs w:val="21"/>
        </w:rPr>
        <w:t xml:space="preserve">  计日工</w:t>
      </w:r>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p>
    <w:p>
      <w:pPr>
        <w:spacing w:line="420" w:lineRule="exact"/>
        <w:ind w:firstLine="420" w:firstLineChars="200"/>
        <w:rPr>
          <w:szCs w:val="21"/>
          <w:shd w:val="pct10" w:color="auto" w:fill="FFFFFF"/>
        </w:rPr>
      </w:pPr>
      <w:r>
        <w:rPr>
          <w:rFonts w:hint="eastAsia"/>
          <w:szCs w:val="21"/>
        </w:rPr>
        <w:t>15.7.1  发包人认为有必要时，由监理人通知承包人以计日工方式实施变更的零星工作。其价款按列入已标价工程量清单中的计日工计价子目及其单价进行计算。</w:t>
      </w:r>
    </w:p>
    <w:p>
      <w:pPr>
        <w:spacing w:line="420" w:lineRule="exact"/>
        <w:ind w:firstLine="420" w:firstLineChars="200"/>
        <w:rPr>
          <w:szCs w:val="21"/>
        </w:rPr>
      </w:pPr>
      <w:r>
        <w:rPr>
          <w:rFonts w:hint="eastAsia"/>
          <w:szCs w:val="21"/>
        </w:rPr>
        <w:t>15.7.2  采用计日工计价的任何一项变更工作，应从暂列金额中支付，承包人应在该项变更的实施过程中，每天提交以下报表和有关凭证报送监理人审批：</w:t>
      </w:r>
    </w:p>
    <w:p>
      <w:pPr>
        <w:spacing w:line="420" w:lineRule="exact"/>
        <w:ind w:firstLine="420" w:firstLineChars="200"/>
        <w:rPr>
          <w:szCs w:val="21"/>
        </w:rPr>
      </w:pPr>
      <w:r>
        <w:rPr>
          <w:rFonts w:hint="eastAsia"/>
          <w:szCs w:val="21"/>
        </w:rPr>
        <w:t>（1）工作名称、内容和数量；</w:t>
      </w:r>
    </w:p>
    <w:p>
      <w:pPr>
        <w:spacing w:line="420" w:lineRule="exact"/>
        <w:ind w:firstLine="420" w:firstLineChars="200"/>
        <w:rPr>
          <w:szCs w:val="21"/>
        </w:rPr>
      </w:pPr>
      <w:r>
        <w:rPr>
          <w:rFonts w:hint="eastAsia"/>
          <w:szCs w:val="21"/>
        </w:rPr>
        <w:t>（2）投入该工作所有人员的姓名、工种、级别和耗用工时；</w:t>
      </w:r>
    </w:p>
    <w:p>
      <w:pPr>
        <w:spacing w:line="420" w:lineRule="exact"/>
        <w:ind w:firstLine="420" w:firstLineChars="200"/>
        <w:rPr>
          <w:szCs w:val="21"/>
        </w:rPr>
      </w:pPr>
      <w:r>
        <w:rPr>
          <w:rFonts w:hint="eastAsia"/>
          <w:szCs w:val="21"/>
        </w:rPr>
        <w:t>（3）投入该工作的材料类别和数量；</w:t>
      </w:r>
    </w:p>
    <w:p>
      <w:pPr>
        <w:spacing w:line="420" w:lineRule="exact"/>
        <w:ind w:firstLine="420" w:firstLineChars="200"/>
        <w:rPr>
          <w:szCs w:val="21"/>
        </w:rPr>
      </w:pPr>
      <w:r>
        <w:rPr>
          <w:rFonts w:hint="eastAsia"/>
          <w:szCs w:val="21"/>
        </w:rPr>
        <w:t>（4）投入该工作的施工设备型号、台数和耗用台时；</w:t>
      </w:r>
    </w:p>
    <w:p>
      <w:pPr>
        <w:spacing w:line="420" w:lineRule="exact"/>
        <w:ind w:firstLine="420" w:firstLineChars="200"/>
        <w:rPr>
          <w:szCs w:val="21"/>
        </w:rPr>
      </w:pPr>
      <w:r>
        <w:rPr>
          <w:rFonts w:hint="eastAsia"/>
          <w:szCs w:val="21"/>
        </w:rPr>
        <w:t>（5）监理人要求提交的其它资料和凭证。</w:t>
      </w:r>
    </w:p>
    <w:p>
      <w:pPr>
        <w:spacing w:line="420" w:lineRule="exact"/>
        <w:ind w:firstLine="420" w:firstLineChars="200"/>
        <w:rPr>
          <w:szCs w:val="21"/>
        </w:rPr>
      </w:pPr>
      <w:r>
        <w:rPr>
          <w:rFonts w:hint="eastAsia"/>
          <w:szCs w:val="21"/>
        </w:rPr>
        <w:t>15.7.3  计日工由承包人汇总后，按第17.3.2项的约定列入进度付款申请单，由监理人复核并经发包人同意后列入进度付款。</w:t>
      </w:r>
    </w:p>
    <w:p>
      <w:pPr>
        <w:pStyle w:val="27"/>
        <w:spacing w:beforeLines="50" w:afterLines="50" w:line="420" w:lineRule="exact"/>
        <w:rPr>
          <w:sz w:val="21"/>
          <w:szCs w:val="21"/>
        </w:rPr>
      </w:pPr>
      <w:bookmarkStart w:id="4477" w:name="_Toc28698"/>
      <w:bookmarkStart w:id="4478" w:name="_Toc29131"/>
      <w:bookmarkStart w:id="4479" w:name="_Toc282779577"/>
      <w:bookmarkStart w:id="4480" w:name="_Toc2610"/>
      <w:bookmarkStart w:id="4481" w:name="_Toc13663"/>
      <w:bookmarkStart w:id="4482" w:name="_Toc237923893"/>
      <w:bookmarkStart w:id="4483" w:name="_Toc288546717"/>
      <w:bookmarkStart w:id="4484" w:name="_Toc283794265"/>
      <w:bookmarkStart w:id="4485" w:name="_Toc152042492"/>
      <w:bookmarkStart w:id="4486" w:name="_Toc30210"/>
      <w:bookmarkStart w:id="4487" w:name="_Toc28206"/>
      <w:bookmarkStart w:id="4488" w:name="_Toc9275"/>
      <w:bookmarkStart w:id="4489" w:name="_Toc19311"/>
      <w:bookmarkStart w:id="4490" w:name="_Toc282779068"/>
      <w:bookmarkStart w:id="4491" w:name="_Toc179632732"/>
      <w:bookmarkStart w:id="4492" w:name="_Toc27409"/>
      <w:bookmarkStart w:id="4493" w:name="_Toc287853417"/>
      <w:bookmarkStart w:id="4494" w:name="_Toc152045714"/>
      <w:bookmarkStart w:id="4495" w:name="_Toc282787517"/>
      <w:bookmarkStart w:id="4496" w:name="_Toc144974683"/>
      <w:bookmarkStart w:id="4497" w:name="_Toc5735"/>
      <w:bookmarkStart w:id="4498" w:name="_Toc288491593"/>
      <w:bookmarkStart w:id="4499" w:name="_Toc5907"/>
      <w:r>
        <w:rPr>
          <w:rFonts w:hint="eastAsia"/>
          <w:b/>
          <w:sz w:val="21"/>
          <w:szCs w:val="21"/>
        </w:rPr>
        <w:t>15.8</w:t>
      </w:r>
      <w:r>
        <w:rPr>
          <w:rFonts w:hint="eastAsia"/>
          <w:sz w:val="21"/>
          <w:szCs w:val="21"/>
        </w:rPr>
        <w:t xml:space="preserve">  暂估价</w:t>
      </w:r>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p>
    <w:p>
      <w:pPr>
        <w:spacing w:line="420" w:lineRule="exact"/>
        <w:ind w:firstLine="420" w:firstLineChars="200"/>
        <w:rPr>
          <w:szCs w:val="21"/>
        </w:rPr>
      </w:pPr>
      <w:r>
        <w:rPr>
          <w:rFonts w:hint="eastAsia"/>
          <w:szCs w:val="21"/>
        </w:rPr>
        <w:t>15.8.1  发包人在工程量清单中给定暂估价的材料、工程设备和专业工程属于依法必须招标的范围并达到规定的规模标准的，由发包人和承包人以招标的方式选择供应商或分包人。发包人和承包人的权利义务关系在专用合同条款中约定。中标金额与工程量清单中所列的暂估价的金额差以及相应的税金等其它费用列入合同价格。</w:t>
      </w:r>
    </w:p>
    <w:p>
      <w:pPr>
        <w:spacing w:line="420" w:lineRule="exact"/>
        <w:ind w:firstLine="420" w:firstLineChars="200"/>
        <w:rPr>
          <w:szCs w:val="21"/>
        </w:rPr>
      </w:pPr>
      <w:r>
        <w:rPr>
          <w:rFonts w:hint="eastAsia"/>
          <w:szCs w:val="21"/>
        </w:rPr>
        <w:t>15.8.2  发包人在工程量清单中给定暂估价的材料和工程设备不属于依法必须招标的范围或未达到规定的规模标准的，应由承包人按第5.1款的约定提供。经监理人确认的材料、工程设备的价格与工程量清单中所列的暂估价的金额差以及相应的税金等其它费用列入合同价格。</w:t>
      </w:r>
    </w:p>
    <w:p>
      <w:pPr>
        <w:spacing w:line="420" w:lineRule="exact"/>
        <w:ind w:firstLine="420" w:firstLineChars="200"/>
        <w:rPr>
          <w:szCs w:val="21"/>
        </w:rPr>
      </w:pPr>
      <w:r>
        <w:rPr>
          <w:rFonts w:hint="eastAsia"/>
          <w:szCs w:val="21"/>
        </w:rPr>
        <w:t>15.8.3  发包人在工程量清单中给定暂估价的专业工程不属于依法必须招标的范围或未达到规定的规模标准的，由监理人按照第15.4款进行估价，但专用合同条款另有约定的除外。经估价的专业工程与工程量清单中所列的暂估价的金额差以及相应的税金等其它费用列入合同价格。</w:t>
      </w:r>
    </w:p>
    <w:p>
      <w:pPr>
        <w:pStyle w:val="28"/>
        <w:spacing w:beforeLines="50" w:afterLines="50" w:line="420" w:lineRule="exact"/>
        <w:rPr>
          <w:szCs w:val="28"/>
        </w:rPr>
      </w:pPr>
      <w:bookmarkStart w:id="4500" w:name="_Toc11772"/>
      <w:bookmarkStart w:id="4501" w:name="_Toc282779069"/>
      <w:bookmarkStart w:id="4502" w:name="_Toc9119"/>
      <w:bookmarkStart w:id="4503" w:name="_Toc19777"/>
      <w:bookmarkStart w:id="4504" w:name="_Toc179632733"/>
      <w:bookmarkStart w:id="4505" w:name="_Toc11220"/>
      <w:bookmarkStart w:id="4506" w:name="_Toc18054"/>
      <w:bookmarkStart w:id="4507" w:name="_Toc11125"/>
      <w:bookmarkStart w:id="4508" w:name="_Toc152042493"/>
      <w:bookmarkStart w:id="4509" w:name="_Toc282779578"/>
      <w:bookmarkStart w:id="4510" w:name="_Toc28013"/>
      <w:bookmarkStart w:id="4511" w:name="_Toc237923894"/>
      <w:bookmarkStart w:id="4512" w:name="_Toc144974684"/>
      <w:bookmarkStart w:id="4513" w:name="_Toc30801"/>
      <w:bookmarkStart w:id="4514" w:name="_Toc287853418"/>
      <w:bookmarkStart w:id="4515" w:name="_Toc152045715"/>
      <w:bookmarkStart w:id="4516" w:name="_Toc282787518"/>
      <w:bookmarkStart w:id="4517" w:name="_Toc19856"/>
      <w:bookmarkStart w:id="4518" w:name="_Toc1621"/>
      <w:bookmarkStart w:id="4519" w:name="_Toc288491594"/>
      <w:bookmarkStart w:id="4520" w:name="_Toc13981"/>
      <w:bookmarkStart w:id="4521" w:name="_Toc288546718"/>
      <w:bookmarkStart w:id="4522" w:name="_Toc283794266"/>
      <w:r>
        <w:rPr>
          <w:rFonts w:hint="eastAsia"/>
          <w:szCs w:val="28"/>
        </w:rPr>
        <w:t>16．价格调整</w:t>
      </w:r>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p>
    <w:p>
      <w:pPr>
        <w:pStyle w:val="27"/>
        <w:spacing w:beforeLines="50" w:afterLines="50" w:line="420" w:lineRule="exact"/>
        <w:rPr>
          <w:sz w:val="21"/>
          <w:szCs w:val="21"/>
        </w:rPr>
      </w:pPr>
      <w:bookmarkStart w:id="4523" w:name="_Toc32334"/>
      <w:bookmarkStart w:id="4524" w:name="_Toc237923895"/>
      <w:bookmarkStart w:id="4525" w:name="_Toc288546719"/>
      <w:bookmarkStart w:id="4526" w:name="_Toc179632734"/>
      <w:bookmarkStart w:id="4527" w:name="_Toc283794267"/>
      <w:bookmarkStart w:id="4528" w:name="_Toc17284"/>
      <w:bookmarkStart w:id="4529" w:name="_Toc282787519"/>
      <w:bookmarkStart w:id="4530" w:name="_Toc16454"/>
      <w:bookmarkStart w:id="4531" w:name="_Toc144974685"/>
      <w:bookmarkStart w:id="4532" w:name="_Toc282779579"/>
      <w:bookmarkStart w:id="4533" w:name="_Toc282779070"/>
      <w:bookmarkStart w:id="4534" w:name="_Toc3667"/>
      <w:bookmarkStart w:id="4535" w:name="_Toc712"/>
      <w:bookmarkStart w:id="4536" w:name="_Toc28118"/>
      <w:bookmarkStart w:id="4537" w:name="_Toc1595"/>
      <w:bookmarkStart w:id="4538" w:name="_Toc288491595"/>
      <w:bookmarkStart w:id="4539" w:name="_Toc152042494"/>
      <w:bookmarkStart w:id="4540" w:name="_Toc287853419"/>
      <w:bookmarkStart w:id="4541" w:name="_Toc29412"/>
      <w:bookmarkStart w:id="4542" w:name="_Toc13129"/>
      <w:bookmarkStart w:id="4543" w:name="_Toc23136"/>
      <w:bookmarkStart w:id="4544" w:name="_Toc152045716"/>
      <w:bookmarkStart w:id="4545" w:name="_Toc17513"/>
      <w:r>
        <w:rPr>
          <w:rFonts w:hint="eastAsia"/>
          <w:b/>
          <w:sz w:val="21"/>
          <w:szCs w:val="21"/>
        </w:rPr>
        <w:t>16.1</w:t>
      </w:r>
      <w:r>
        <w:rPr>
          <w:rFonts w:hint="eastAsia"/>
          <w:sz w:val="21"/>
          <w:szCs w:val="21"/>
        </w:rPr>
        <w:t xml:space="preserve">  物价波动引起的价格调整</w:t>
      </w:r>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p>
    <w:p>
      <w:pPr>
        <w:spacing w:line="420" w:lineRule="exact"/>
        <w:ind w:firstLine="420" w:firstLineChars="200"/>
        <w:rPr>
          <w:szCs w:val="21"/>
        </w:rPr>
      </w:pPr>
      <w:r>
        <w:rPr>
          <w:rFonts w:hint="eastAsia"/>
          <w:szCs w:val="21"/>
        </w:rPr>
        <w:t>在养护工程合同执行期间（包括工期拖延期间），由于人工、材料价格的上涨而引起工程施工成本增加的风险由承包人自行承担，合同价格不会因此而调整。</w:t>
      </w:r>
    </w:p>
    <w:p>
      <w:pPr>
        <w:spacing w:line="420" w:lineRule="exact"/>
        <w:ind w:firstLine="420" w:firstLineChars="200"/>
        <w:rPr>
          <w:szCs w:val="21"/>
        </w:rPr>
      </w:pPr>
      <w:r>
        <w:rPr>
          <w:rFonts w:hint="eastAsia"/>
          <w:szCs w:val="21"/>
        </w:rPr>
        <w:t>除专用合同条款另有约定外，因物价波动引起的价格调整按照本款约定处理。</w:t>
      </w:r>
    </w:p>
    <w:p>
      <w:pPr>
        <w:spacing w:line="420" w:lineRule="exact"/>
        <w:ind w:firstLine="420" w:firstLineChars="200"/>
        <w:rPr>
          <w:szCs w:val="21"/>
        </w:rPr>
      </w:pPr>
      <w:r>
        <w:rPr>
          <w:rFonts w:hint="eastAsia"/>
          <w:szCs w:val="21"/>
        </w:rPr>
        <w:t xml:space="preserve">16.1.1  </w:t>
      </w:r>
      <w:r>
        <w:rPr>
          <w:rFonts w:hint="eastAsia" w:ascii="宋体" w:hAnsi="宋体"/>
          <w:szCs w:val="21"/>
        </w:rPr>
        <w:t>采用价格指数调整价格差额</w:t>
      </w:r>
    </w:p>
    <w:p>
      <w:pPr>
        <w:spacing w:line="420" w:lineRule="exact"/>
        <w:ind w:firstLine="420" w:firstLineChars="200"/>
        <w:rPr>
          <w:szCs w:val="21"/>
        </w:rPr>
      </w:pPr>
      <w:r>
        <w:rPr>
          <w:rFonts w:hint="eastAsia"/>
          <w:szCs w:val="21"/>
        </w:rPr>
        <w:t>16.1.1.1  价格调整公式</w:t>
      </w:r>
    </w:p>
    <w:p>
      <w:pPr>
        <w:spacing w:afterLines="50" w:line="420" w:lineRule="exact"/>
        <w:ind w:firstLine="420" w:firstLineChars="200"/>
        <w:rPr>
          <w:szCs w:val="21"/>
        </w:rPr>
      </w:pPr>
      <w:r>
        <w:rPr>
          <w:rFonts w:hint="eastAsia"/>
          <w:szCs w:val="21"/>
        </w:rPr>
        <w:t>因人工、材料和设备等价格波动影响合同价格时，根据投标函附录中的价格指数和权重表约定的数据，按以下公式计算差额并调整合同价格。</w:t>
      </w:r>
    </w:p>
    <w:p>
      <w:pPr>
        <w:autoSpaceDE w:val="0"/>
        <w:autoSpaceDN w:val="0"/>
        <w:adjustRightInd w:val="0"/>
        <w:spacing w:line="480" w:lineRule="auto"/>
        <w:ind w:right="249" w:firstLine="945" w:firstLineChars="450"/>
        <w:rPr>
          <w:szCs w:val="21"/>
        </w:rPr>
      </w:pPr>
      <w:r>
        <w:rPr>
          <w:szCs w:val="21"/>
        </w:rPr>
        <w:object>
          <v:shape id="_x0000_i1025" o:spt="75" type="#_x0000_t75" style="height:17.6pt;width:8.35pt;" o:ole="t" filled="f" o:preferrelative="t" stroked="f" coordsize="21600,21600">
            <v:path/>
            <v:fill on="f" focussize="0,0"/>
            <v:stroke on="f" joinstyle="miter"/>
            <v:imagedata r:id="rId23" o:title=""/>
            <o:lock v:ext="edit" aspectratio="t"/>
            <w10:wrap type="none"/>
            <w10:anchorlock/>
          </v:shape>
          <o:OLEObject Type="Embed" ProgID="Equation.3" ShapeID="_x0000_i1025" DrawAspect="Content" ObjectID="_1468075725" r:id="rId22">
            <o:LockedField>false</o:LockedField>
          </o:OLEObject>
        </w:object>
      </w:r>
      <w:r>
        <w:rPr>
          <w:szCs w:val="21"/>
        </w:rPr>
        <w:object>
          <v:shape id="_x0000_i1026" o:spt="75" type="#_x0000_t75" style="height:39.35pt;width:317.3pt;" o:ole="t" filled="f" o:preferrelative="t" stroked="f" coordsize="21600,21600">
            <v:path/>
            <v:fill on="f" focussize="0,0"/>
            <v:stroke on="f" joinstyle="miter"/>
            <v:imagedata r:id="rId25" o:title=""/>
            <o:lock v:ext="edit" aspectratio="t"/>
            <w10:wrap type="none"/>
            <w10:anchorlock/>
          </v:shape>
          <o:OLEObject Type="Embed" ProgID="Equation.3" ShapeID="_x0000_i1026" DrawAspect="Content" ObjectID="_1468075726" r:id="rId24">
            <o:LockedField>false</o:LockedField>
          </o:OLEObject>
        </w:object>
      </w:r>
    </w:p>
    <w:p>
      <w:pPr>
        <w:tabs>
          <w:tab w:val="left" w:pos="1260"/>
        </w:tabs>
        <w:spacing w:line="420" w:lineRule="exact"/>
        <w:ind w:firstLine="420" w:firstLineChars="200"/>
        <w:rPr>
          <w:szCs w:val="21"/>
        </w:rPr>
      </w:pPr>
      <w:r>
        <w:rPr>
          <w:rFonts w:hint="eastAsia"/>
          <w:szCs w:val="21"/>
        </w:rPr>
        <w:t>式中： △P — 需调整的价格差额；</w:t>
      </w:r>
    </w:p>
    <w:p>
      <w:pPr>
        <w:tabs>
          <w:tab w:val="left" w:pos="1260"/>
        </w:tabs>
        <w:spacing w:line="420" w:lineRule="exact"/>
        <w:ind w:firstLine="1155" w:firstLineChars="550"/>
        <w:rPr>
          <w:szCs w:val="21"/>
        </w:rPr>
      </w:pPr>
      <w:r>
        <w:rPr>
          <w:rFonts w:hint="eastAsia"/>
          <w:szCs w:val="21"/>
        </w:rPr>
        <w:t>P</w:t>
      </w:r>
      <w:r>
        <w:rPr>
          <w:rFonts w:hint="eastAsia"/>
          <w:szCs w:val="21"/>
          <w:vertAlign w:val="subscript"/>
        </w:rPr>
        <w:t>0</w:t>
      </w:r>
      <w:r>
        <w:rPr>
          <w:rFonts w:hint="eastAsia"/>
          <w:szCs w:val="21"/>
        </w:rPr>
        <w:t xml:space="preserve"> — 第17.3.3项、第17.5.2项和第17.6.2项约定的付款证书中承包人应得到的已完成工程量的金额。此项金额应不包括价格调整、不计质量保证金的扣留和支付、预付款的支付和扣回。第15条约定的变更及其它金额已按现行价格计价的，也不计在内；</w:t>
      </w:r>
    </w:p>
    <w:p>
      <w:pPr>
        <w:tabs>
          <w:tab w:val="left" w:pos="1260"/>
        </w:tabs>
        <w:spacing w:line="420" w:lineRule="exact"/>
        <w:ind w:firstLine="1155" w:firstLineChars="550"/>
        <w:rPr>
          <w:szCs w:val="21"/>
        </w:rPr>
      </w:pPr>
      <w:bookmarkStart w:id="4546" w:name="_Toc152042495"/>
      <w:bookmarkStart w:id="4547" w:name="_Toc144974686"/>
      <w:r>
        <w:rPr>
          <w:rFonts w:hint="eastAsia"/>
          <w:szCs w:val="21"/>
        </w:rPr>
        <w:t>A — 定值权重（即不调部分的权重），</w:t>
      </w:r>
      <w:r>
        <w:rPr>
          <w:szCs w:val="21"/>
        </w:rPr>
        <w:t>A=1-</w:t>
      </w:r>
      <w:r>
        <w:rPr>
          <w:rFonts w:hint="eastAsia"/>
          <w:szCs w:val="21"/>
        </w:rPr>
        <w:t>（</w:t>
      </w:r>
      <w:r>
        <w:rPr>
          <w:szCs w:val="21"/>
        </w:rPr>
        <w:t>B</w:t>
      </w:r>
      <w:r>
        <w:rPr>
          <w:szCs w:val="21"/>
          <w:vertAlign w:val="subscript"/>
        </w:rPr>
        <w:t>1</w:t>
      </w:r>
      <w:r>
        <w:rPr>
          <w:szCs w:val="21"/>
        </w:rPr>
        <w:t>+B</w:t>
      </w:r>
      <w:r>
        <w:rPr>
          <w:szCs w:val="21"/>
          <w:vertAlign w:val="subscript"/>
        </w:rPr>
        <w:t>2</w:t>
      </w:r>
      <w:r>
        <w:rPr>
          <w:szCs w:val="21"/>
        </w:rPr>
        <w:t>+B</w:t>
      </w:r>
      <w:r>
        <w:rPr>
          <w:szCs w:val="21"/>
          <w:vertAlign w:val="subscript"/>
        </w:rPr>
        <w:t>3</w:t>
      </w:r>
      <w:r>
        <w:rPr>
          <w:szCs w:val="21"/>
        </w:rPr>
        <w:t>+</w:t>
      </w:r>
      <w:r>
        <w:rPr>
          <w:rFonts w:hint="eastAsia" w:ascii="宋体" w:hAnsi="宋体"/>
          <w:szCs w:val="21"/>
        </w:rPr>
        <w:t>…</w:t>
      </w:r>
      <w:r>
        <w:rPr>
          <w:szCs w:val="21"/>
        </w:rPr>
        <w:t>+B</w:t>
      </w:r>
      <w:r>
        <w:rPr>
          <w:szCs w:val="21"/>
          <w:vertAlign w:val="subscript"/>
        </w:rPr>
        <w:t>n</w:t>
      </w:r>
      <w:r>
        <w:rPr>
          <w:rFonts w:hint="eastAsia"/>
          <w:szCs w:val="21"/>
        </w:rPr>
        <w:t>）</w:t>
      </w:r>
      <w:r>
        <w:rPr>
          <w:szCs w:val="21"/>
        </w:rPr>
        <w:t>；</w:t>
      </w:r>
      <w:bookmarkEnd w:id="4546"/>
      <w:bookmarkEnd w:id="4547"/>
    </w:p>
    <w:p>
      <w:pPr>
        <w:tabs>
          <w:tab w:val="left" w:pos="1260"/>
        </w:tabs>
        <w:spacing w:line="420" w:lineRule="exact"/>
        <w:ind w:firstLine="1155" w:firstLineChars="550"/>
        <w:rPr>
          <w:szCs w:val="21"/>
        </w:rPr>
      </w:pPr>
      <w:r>
        <w:rPr>
          <w:rFonts w:hint="eastAsia"/>
          <w:szCs w:val="21"/>
        </w:rPr>
        <w:t>B</w:t>
      </w:r>
      <w:r>
        <w:rPr>
          <w:rFonts w:hint="eastAsia"/>
          <w:szCs w:val="21"/>
          <w:vertAlign w:val="subscript"/>
        </w:rPr>
        <w:t>1</w:t>
      </w:r>
      <w:r>
        <w:rPr>
          <w:rFonts w:hint="eastAsia"/>
          <w:szCs w:val="21"/>
        </w:rPr>
        <w:t>、B</w:t>
      </w:r>
      <w:r>
        <w:rPr>
          <w:rFonts w:hint="eastAsia"/>
          <w:szCs w:val="21"/>
          <w:vertAlign w:val="subscript"/>
        </w:rPr>
        <w:t>2</w:t>
      </w:r>
      <w:r>
        <w:rPr>
          <w:rFonts w:hint="eastAsia"/>
          <w:szCs w:val="21"/>
        </w:rPr>
        <w:t>、B</w:t>
      </w:r>
      <w:r>
        <w:rPr>
          <w:rFonts w:hint="eastAsia"/>
          <w:szCs w:val="21"/>
          <w:vertAlign w:val="subscript"/>
        </w:rPr>
        <w:t>3</w:t>
      </w:r>
      <w:r>
        <w:rPr>
          <w:rFonts w:hint="eastAsia" w:ascii="宋体" w:hAnsi="宋体"/>
          <w:szCs w:val="21"/>
        </w:rPr>
        <w:t>……</w:t>
      </w:r>
      <w:r>
        <w:rPr>
          <w:rFonts w:hint="eastAsia"/>
          <w:szCs w:val="21"/>
        </w:rPr>
        <w:t>B</w:t>
      </w:r>
      <w:r>
        <w:rPr>
          <w:rFonts w:hint="eastAsia"/>
          <w:szCs w:val="21"/>
          <w:vertAlign w:val="subscript"/>
        </w:rPr>
        <w:t>n</w:t>
      </w:r>
      <w:r>
        <w:rPr>
          <w:rFonts w:hint="eastAsia"/>
          <w:szCs w:val="21"/>
        </w:rPr>
        <w:t xml:space="preserve"> — 各可调因子的变值权重（即可调部分的权重）为各可调因子在投标函投标总报价中所占的比例；</w:t>
      </w:r>
    </w:p>
    <w:p>
      <w:pPr>
        <w:tabs>
          <w:tab w:val="left" w:pos="1260"/>
        </w:tabs>
        <w:spacing w:line="420" w:lineRule="exact"/>
        <w:ind w:firstLine="1155" w:firstLineChars="550"/>
        <w:rPr>
          <w:szCs w:val="21"/>
        </w:rPr>
      </w:pPr>
      <w:r>
        <w:rPr>
          <w:rFonts w:hint="eastAsia"/>
          <w:szCs w:val="21"/>
        </w:rPr>
        <w:t>F</w:t>
      </w:r>
      <w:r>
        <w:rPr>
          <w:rFonts w:hint="eastAsia"/>
          <w:szCs w:val="21"/>
          <w:vertAlign w:val="subscript"/>
        </w:rPr>
        <w:t>t1</w:t>
      </w:r>
      <w:r>
        <w:rPr>
          <w:rFonts w:hint="eastAsia"/>
          <w:szCs w:val="21"/>
        </w:rPr>
        <w:t>、F</w:t>
      </w:r>
      <w:r>
        <w:rPr>
          <w:rFonts w:hint="eastAsia"/>
          <w:szCs w:val="21"/>
          <w:vertAlign w:val="subscript"/>
        </w:rPr>
        <w:t>t2</w:t>
      </w:r>
      <w:r>
        <w:rPr>
          <w:rFonts w:hint="eastAsia"/>
          <w:szCs w:val="21"/>
        </w:rPr>
        <w:t>、F</w:t>
      </w:r>
      <w:r>
        <w:rPr>
          <w:rFonts w:hint="eastAsia"/>
          <w:szCs w:val="21"/>
          <w:vertAlign w:val="subscript"/>
        </w:rPr>
        <w:t>t3</w:t>
      </w:r>
      <w:r>
        <w:rPr>
          <w:rFonts w:hint="eastAsia" w:ascii="宋体" w:hAnsi="宋体"/>
          <w:szCs w:val="21"/>
        </w:rPr>
        <w:t>……</w:t>
      </w:r>
      <w:r>
        <w:rPr>
          <w:rFonts w:hint="eastAsia"/>
          <w:szCs w:val="21"/>
        </w:rPr>
        <w:t>F</w:t>
      </w:r>
      <w:r>
        <w:rPr>
          <w:rFonts w:hint="eastAsia"/>
          <w:szCs w:val="21"/>
          <w:vertAlign w:val="subscript"/>
        </w:rPr>
        <w:t>tn</w:t>
      </w:r>
      <w:r>
        <w:rPr>
          <w:rFonts w:hint="eastAsia"/>
          <w:szCs w:val="21"/>
        </w:rPr>
        <w:t xml:space="preserve"> — 各可调因子的现行价格指数，指第17.3.3项、第17.5.2项和第17.6.2项约定的付款证书相关周期最后一天的前42天的各可调因子的价格指数；</w:t>
      </w:r>
    </w:p>
    <w:p>
      <w:pPr>
        <w:tabs>
          <w:tab w:val="left" w:pos="1260"/>
        </w:tabs>
        <w:spacing w:line="420" w:lineRule="exact"/>
        <w:ind w:firstLine="1155" w:firstLineChars="550"/>
        <w:rPr>
          <w:szCs w:val="21"/>
        </w:rPr>
      </w:pPr>
      <w:r>
        <w:rPr>
          <w:rFonts w:hint="eastAsia"/>
          <w:szCs w:val="21"/>
        </w:rPr>
        <w:t>F</w:t>
      </w:r>
      <w:r>
        <w:rPr>
          <w:rFonts w:hint="eastAsia"/>
          <w:szCs w:val="21"/>
          <w:vertAlign w:val="subscript"/>
        </w:rPr>
        <w:t>01</w:t>
      </w:r>
      <w:r>
        <w:rPr>
          <w:rFonts w:hint="eastAsia"/>
          <w:szCs w:val="21"/>
        </w:rPr>
        <w:t>、F</w:t>
      </w:r>
      <w:r>
        <w:rPr>
          <w:rFonts w:hint="eastAsia"/>
          <w:szCs w:val="21"/>
          <w:vertAlign w:val="subscript"/>
        </w:rPr>
        <w:t>02</w:t>
      </w:r>
      <w:r>
        <w:rPr>
          <w:rFonts w:hint="eastAsia"/>
          <w:szCs w:val="21"/>
        </w:rPr>
        <w:t>、F</w:t>
      </w:r>
      <w:r>
        <w:rPr>
          <w:rFonts w:hint="eastAsia"/>
          <w:szCs w:val="21"/>
          <w:vertAlign w:val="subscript"/>
        </w:rPr>
        <w:t>03</w:t>
      </w:r>
      <w:r>
        <w:rPr>
          <w:rFonts w:hint="eastAsia" w:ascii="宋体" w:hAnsi="宋体"/>
          <w:szCs w:val="21"/>
        </w:rPr>
        <w:t>……</w:t>
      </w:r>
      <w:r>
        <w:rPr>
          <w:rFonts w:hint="eastAsia"/>
          <w:szCs w:val="21"/>
        </w:rPr>
        <w:t>F</w:t>
      </w:r>
      <w:r>
        <w:rPr>
          <w:rFonts w:hint="eastAsia"/>
          <w:szCs w:val="21"/>
          <w:vertAlign w:val="subscript"/>
        </w:rPr>
        <w:t>0n</w:t>
      </w:r>
      <w:r>
        <w:rPr>
          <w:rFonts w:hint="eastAsia"/>
          <w:szCs w:val="21"/>
        </w:rPr>
        <w:t xml:space="preserve"> — 各可调因子的基本价格指数，指基准日期的各可调因子的价格指数。</w:t>
      </w:r>
    </w:p>
    <w:p>
      <w:pPr>
        <w:spacing w:line="420" w:lineRule="exact"/>
        <w:ind w:firstLine="420" w:firstLineChars="200"/>
        <w:rPr>
          <w:szCs w:val="21"/>
        </w:rPr>
      </w:pPr>
      <w:r>
        <w:rPr>
          <w:rFonts w:hint="eastAsia" w:ascii="宋体" w:hAnsi="宋体"/>
          <w:szCs w:val="21"/>
        </w:rPr>
        <w:t>（1）</w:t>
      </w:r>
      <w:r>
        <w:rPr>
          <w:rFonts w:hint="eastAsia"/>
          <w:szCs w:val="21"/>
        </w:rPr>
        <w:t>以上价格调整公式中的各可调因子、定值权重，以及基本价格指数及其来源，由发包人在投标函附录价格指数和权重表中约定。价格指数应首先采用国家或省、市价格有关部门或统计部门提供的价格指数，缺乏上述价格指数时，可采用上述部门提供的价格代替。</w:t>
      </w:r>
    </w:p>
    <w:p>
      <w:pPr>
        <w:spacing w:line="420" w:lineRule="exact"/>
        <w:ind w:firstLine="420" w:firstLineChars="200"/>
        <w:rPr>
          <w:szCs w:val="21"/>
        </w:rPr>
      </w:pPr>
      <w:r>
        <w:rPr>
          <w:rFonts w:hint="eastAsia"/>
          <w:szCs w:val="21"/>
        </w:rPr>
        <w:t>（2）价格调整公式中的变值权重，由发包人根据项目实际情况测算确定范围，并在投标函附录价格指数和权重表中约定范围；承包人在投标时在此范围内填写各可调因子的权重，合同实施期间将按此权重进行调价。</w:t>
      </w:r>
    </w:p>
    <w:p>
      <w:pPr>
        <w:spacing w:line="420" w:lineRule="exact"/>
        <w:ind w:firstLine="420" w:firstLineChars="200"/>
        <w:rPr>
          <w:szCs w:val="21"/>
        </w:rPr>
      </w:pPr>
      <w:r>
        <w:rPr>
          <w:rFonts w:hint="eastAsia"/>
          <w:szCs w:val="21"/>
        </w:rPr>
        <w:t>16.1.1.2  暂时确定调整差额</w:t>
      </w:r>
    </w:p>
    <w:p>
      <w:pPr>
        <w:spacing w:line="420" w:lineRule="exact"/>
        <w:ind w:firstLine="420" w:firstLineChars="200"/>
        <w:rPr>
          <w:szCs w:val="21"/>
        </w:rPr>
      </w:pPr>
      <w:r>
        <w:rPr>
          <w:rFonts w:hint="eastAsia"/>
          <w:szCs w:val="21"/>
        </w:rPr>
        <w:t>在计算调整差额时得不到现行价格指数的，可暂用上一次价格指数计算，并在以后的付款中再按实际价格指数进行调整。</w:t>
      </w:r>
    </w:p>
    <w:p>
      <w:pPr>
        <w:spacing w:line="420" w:lineRule="exact"/>
        <w:ind w:firstLine="420" w:firstLineChars="200"/>
        <w:rPr>
          <w:szCs w:val="21"/>
        </w:rPr>
      </w:pPr>
      <w:r>
        <w:rPr>
          <w:rFonts w:hint="eastAsia"/>
          <w:szCs w:val="21"/>
        </w:rPr>
        <w:t>16.1.1.3  权重的调整</w:t>
      </w:r>
    </w:p>
    <w:p>
      <w:pPr>
        <w:spacing w:line="420" w:lineRule="exact"/>
        <w:ind w:firstLine="420" w:firstLineChars="200"/>
        <w:rPr>
          <w:szCs w:val="21"/>
        </w:rPr>
      </w:pPr>
      <w:r>
        <w:rPr>
          <w:rFonts w:hint="eastAsia"/>
          <w:szCs w:val="21"/>
        </w:rPr>
        <w:t>按第15.1款约定的变更导致原定合同中的权重不合理时，由监理人与承包人和发包人协商后进行调整。</w:t>
      </w:r>
    </w:p>
    <w:p>
      <w:pPr>
        <w:spacing w:line="420" w:lineRule="exact"/>
        <w:ind w:firstLine="420" w:firstLineChars="200"/>
        <w:rPr>
          <w:szCs w:val="21"/>
        </w:rPr>
      </w:pPr>
      <w:r>
        <w:rPr>
          <w:rFonts w:hint="eastAsia"/>
          <w:szCs w:val="21"/>
        </w:rPr>
        <w:t>16.1.1.4  承包人工期延误后的价格调整</w:t>
      </w:r>
    </w:p>
    <w:p>
      <w:pPr>
        <w:spacing w:line="420" w:lineRule="exact"/>
        <w:ind w:firstLine="420" w:firstLineChars="200"/>
        <w:rPr>
          <w:szCs w:val="21"/>
        </w:rPr>
      </w:pPr>
      <w:r>
        <w:rPr>
          <w:rFonts w:hint="eastAsia"/>
          <w:szCs w:val="21"/>
        </w:rPr>
        <w:t>由于承包人原因未在约定的工期内竣工的，则对原约定竣工日期后继续施工的工程，在使用第16.1.1.1目价格调整公式时，应采用原约定竣工日期与实际竣工日期的两个价格指数中较低的一个作为现行价格指数。</w:t>
      </w:r>
    </w:p>
    <w:p>
      <w:pPr>
        <w:spacing w:line="420" w:lineRule="exact"/>
        <w:ind w:firstLine="420" w:firstLineChars="200"/>
        <w:rPr>
          <w:rFonts w:ascii="宋体" w:hAnsi="宋体"/>
          <w:szCs w:val="21"/>
        </w:rPr>
      </w:pPr>
      <w:r>
        <w:rPr>
          <w:rFonts w:eastAsia="黑体"/>
          <w:szCs w:val="21"/>
        </w:rPr>
        <w:t>16.1.2</w:t>
      </w:r>
      <w:r>
        <w:rPr>
          <w:rFonts w:hint="eastAsia" w:ascii="宋体" w:hAnsi="宋体"/>
          <w:szCs w:val="21"/>
        </w:rPr>
        <w:t>采用造价信息调整价格差额</w:t>
      </w:r>
    </w:p>
    <w:p>
      <w:pPr>
        <w:spacing w:line="420" w:lineRule="exact"/>
        <w:ind w:firstLine="420" w:firstLineChars="200"/>
        <w:rPr>
          <w:szCs w:val="21"/>
        </w:rPr>
      </w:pPr>
      <w:r>
        <w:rPr>
          <w:rFonts w:hint="eastAsia"/>
          <w:szCs w:val="21"/>
        </w:rPr>
        <w:t>施工期内，因人工、材料、设备和机械台班价格波动影响合同价格时，人工、机械使用费按照国家或省、自治区、直辖市建设行政管理部门、行业建设管理部门或其授权的工程造价管理机构发布的人工成本信息、机械台班单价或机械使用费系数进行调整；需要进行价格调整的材料，其单价和采购数应由监理人复核，监理人确认需调整的材料单价及数量，作为调整工程合同价格差额的依据。</w:t>
      </w:r>
    </w:p>
    <w:p>
      <w:pPr>
        <w:pStyle w:val="27"/>
        <w:spacing w:beforeLines="50" w:afterLines="50" w:line="420" w:lineRule="exact"/>
        <w:rPr>
          <w:sz w:val="21"/>
          <w:szCs w:val="21"/>
        </w:rPr>
      </w:pPr>
      <w:bookmarkStart w:id="4548" w:name="_Toc288491596"/>
      <w:bookmarkStart w:id="4549" w:name="_Toc19684"/>
      <w:bookmarkStart w:id="4550" w:name="_Toc8982"/>
      <w:bookmarkStart w:id="4551" w:name="_Toc282787520"/>
      <w:bookmarkStart w:id="4552" w:name="_Toc22249"/>
      <w:bookmarkStart w:id="4553" w:name="_Toc24179"/>
      <w:bookmarkStart w:id="4554" w:name="_Toc21629"/>
      <w:bookmarkStart w:id="4555" w:name="_Toc4361"/>
      <w:bookmarkStart w:id="4556" w:name="_Toc282779071"/>
      <w:bookmarkStart w:id="4557" w:name="_Toc287853420"/>
      <w:bookmarkStart w:id="4558" w:name="_Toc283794268"/>
      <w:bookmarkStart w:id="4559" w:name="_Toc152045717"/>
      <w:bookmarkStart w:id="4560" w:name="_Toc8702"/>
      <w:bookmarkStart w:id="4561" w:name="_Toc152042496"/>
      <w:bookmarkStart w:id="4562" w:name="_Toc2313"/>
      <w:bookmarkStart w:id="4563" w:name="_Toc16158"/>
      <w:bookmarkStart w:id="4564" w:name="_Toc27275"/>
      <w:bookmarkStart w:id="4565" w:name="_Toc144974688"/>
      <w:bookmarkStart w:id="4566" w:name="_Toc282779580"/>
      <w:bookmarkStart w:id="4567" w:name="_Toc31406"/>
      <w:bookmarkStart w:id="4568" w:name="_Toc288546720"/>
      <w:bookmarkStart w:id="4569" w:name="_Toc179632735"/>
      <w:bookmarkStart w:id="4570" w:name="_Toc237923896"/>
      <w:r>
        <w:rPr>
          <w:rFonts w:hint="eastAsia"/>
          <w:b/>
          <w:sz w:val="21"/>
          <w:szCs w:val="21"/>
        </w:rPr>
        <w:t>16.2</w:t>
      </w:r>
      <w:r>
        <w:rPr>
          <w:rFonts w:hint="eastAsia"/>
          <w:sz w:val="21"/>
          <w:szCs w:val="21"/>
        </w:rPr>
        <w:t xml:space="preserve">  法律变化引起的价格调整</w:t>
      </w:r>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p>
    <w:p>
      <w:pPr>
        <w:spacing w:line="420" w:lineRule="exact"/>
        <w:ind w:firstLine="420" w:firstLineChars="200"/>
        <w:rPr>
          <w:szCs w:val="28"/>
        </w:rPr>
      </w:pPr>
      <w:r>
        <w:rPr>
          <w:rFonts w:hint="eastAsia"/>
          <w:szCs w:val="21"/>
        </w:rPr>
        <w:t>在基准日后，因法律变化导致承包人在合同履行中所需要的工程费用发生除第16.1款约定以外的增减时，监理人应根据法律、国家或省、自治区、直辖市有关部门的规定，按第3.5款商定或确定需调整的合同价款。</w:t>
      </w:r>
    </w:p>
    <w:p>
      <w:pPr>
        <w:pStyle w:val="28"/>
        <w:spacing w:beforeLines="50" w:afterLines="50" w:line="420" w:lineRule="exact"/>
        <w:rPr>
          <w:szCs w:val="28"/>
        </w:rPr>
      </w:pPr>
      <w:bookmarkStart w:id="4571" w:name="_Toc4342"/>
      <w:bookmarkStart w:id="4572" w:name="_Toc20367"/>
      <w:bookmarkStart w:id="4573" w:name="_Toc19517"/>
      <w:bookmarkStart w:id="4574" w:name="_Toc179632736"/>
      <w:bookmarkStart w:id="4575" w:name="_Toc144974689"/>
      <w:bookmarkStart w:id="4576" w:name="_Toc23775"/>
      <w:bookmarkStart w:id="4577" w:name="_Toc16756"/>
      <w:bookmarkStart w:id="4578" w:name="_Toc23046"/>
      <w:bookmarkStart w:id="4579" w:name="_Toc283794269"/>
      <w:bookmarkStart w:id="4580" w:name="_Toc152042497"/>
      <w:bookmarkStart w:id="4581" w:name="_Toc282779581"/>
      <w:bookmarkStart w:id="4582" w:name="_Toc1474"/>
      <w:bookmarkStart w:id="4583" w:name="_Toc282779072"/>
      <w:bookmarkStart w:id="4584" w:name="_Toc282787521"/>
      <w:bookmarkStart w:id="4585" w:name="_Toc1041"/>
      <w:bookmarkStart w:id="4586" w:name="_Toc287853421"/>
      <w:bookmarkStart w:id="4587" w:name="_Toc288491597"/>
      <w:bookmarkStart w:id="4588" w:name="_Toc12289"/>
      <w:bookmarkStart w:id="4589" w:name="_Toc19713"/>
      <w:bookmarkStart w:id="4590" w:name="_Toc237923897"/>
      <w:bookmarkStart w:id="4591" w:name="_Toc288546721"/>
      <w:bookmarkStart w:id="4592" w:name="_Toc13988"/>
      <w:bookmarkStart w:id="4593" w:name="_Toc152045718"/>
      <w:r>
        <w:rPr>
          <w:rFonts w:hint="eastAsia"/>
          <w:szCs w:val="28"/>
        </w:rPr>
        <w:t>17．计量与支付</w:t>
      </w:r>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p>
    <w:p>
      <w:pPr>
        <w:pStyle w:val="27"/>
        <w:spacing w:beforeLines="50" w:afterLines="50" w:line="420" w:lineRule="exact"/>
        <w:rPr>
          <w:sz w:val="21"/>
          <w:szCs w:val="21"/>
        </w:rPr>
      </w:pPr>
      <w:bookmarkStart w:id="4594" w:name="_Toc179632737"/>
      <w:bookmarkStart w:id="4595" w:name="_Toc26846"/>
      <w:bookmarkStart w:id="4596" w:name="_Toc144974690"/>
      <w:bookmarkStart w:id="4597" w:name="_Toc30153"/>
      <w:bookmarkStart w:id="4598" w:name="_Toc11337"/>
      <w:bookmarkStart w:id="4599" w:name="_Toc283794270"/>
      <w:bookmarkStart w:id="4600" w:name="_Toc1652"/>
      <w:bookmarkStart w:id="4601" w:name="_Toc288491598"/>
      <w:bookmarkStart w:id="4602" w:name="_Toc282779582"/>
      <w:bookmarkStart w:id="4603" w:name="_Toc152042498"/>
      <w:bookmarkStart w:id="4604" w:name="_Toc282787522"/>
      <w:bookmarkStart w:id="4605" w:name="_Toc15991"/>
      <w:bookmarkStart w:id="4606" w:name="_Toc16543"/>
      <w:bookmarkStart w:id="4607" w:name="_Toc237923898"/>
      <w:bookmarkStart w:id="4608" w:name="_Toc282779073"/>
      <w:bookmarkStart w:id="4609" w:name="_Toc287853422"/>
      <w:bookmarkStart w:id="4610" w:name="_Toc25289"/>
      <w:bookmarkStart w:id="4611" w:name="_Toc17631"/>
      <w:bookmarkStart w:id="4612" w:name="_Toc12686"/>
      <w:bookmarkStart w:id="4613" w:name="_Toc152045719"/>
      <w:bookmarkStart w:id="4614" w:name="_Toc23023"/>
      <w:bookmarkStart w:id="4615" w:name="_Toc288546722"/>
      <w:bookmarkStart w:id="4616" w:name="_Toc8517"/>
      <w:r>
        <w:rPr>
          <w:rFonts w:hint="eastAsia"/>
          <w:b/>
          <w:sz w:val="21"/>
          <w:szCs w:val="21"/>
        </w:rPr>
        <w:t>17.1</w:t>
      </w:r>
      <w:r>
        <w:rPr>
          <w:rFonts w:hint="eastAsia"/>
          <w:sz w:val="21"/>
          <w:szCs w:val="21"/>
        </w:rPr>
        <w:t xml:space="preserve">  计量</w:t>
      </w:r>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p>
    <w:p>
      <w:pPr>
        <w:spacing w:line="420" w:lineRule="exact"/>
        <w:ind w:firstLine="420" w:firstLineChars="200"/>
        <w:rPr>
          <w:rFonts w:ascii="宋体" w:hAnsi="宋体"/>
          <w:szCs w:val="21"/>
        </w:rPr>
      </w:pPr>
      <w:r>
        <w:rPr>
          <w:rFonts w:hint="eastAsia"/>
          <w:szCs w:val="21"/>
        </w:rPr>
        <w:t xml:space="preserve">17.1.1  </w:t>
      </w:r>
      <w:r>
        <w:rPr>
          <w:rFonts w:hint="eastAsia" w:ascii="宋体" w:hAnsi="宋体"/>
          <w:szCs w:val="21"/>
        </w:rPr>
        <w:t>计量单位</w:t>
      </w:r>
    </w:p>
    <w:p>
      <w:pPr>
        <w:spacing w:line="420" w:lineRule="exact"/>
        <w:ind w:firstLine="420" w:firstLineChars="200"/>
        <w:rPr>
          <w:szCs w:val="21"/>
        </w:rPr>
      </w:pPr>
      <w:r>
        <w:rPr>
          <w:rFonts w:hint="eastAsia"/>
          <w:szCs w:val="21"/>
        </w:rPr>
        <w:t>计量采用国家法定的计量单位。</w:t>
      </w:r>
    </w:p>
    <w:p>
      <w:pPr>
        <w:spacing w:line="420" w:lineRule="exact"/>
        <w:ind w:firstLine="420" w:firstLineChars="200"/>
        <w:rPr>
          <w:szCs w:val="21"/>
        </w:rPr>
      </w:pPr>
      <w:r>
        <w:rPr>
          <w:rFonts w:hint="eastAsia"/>
          <w:szCs w:val="21"/>
        </w:rPr>
        <w:t>17.1.2  计量方法（适用于小修保养工程）</w:t>
      </w:r>
    </w:p>
    <w:p>
      <w:pPr>
        <w:spacing w:line="420" w:lineRule="exact"/>
        <w:ind w:firstLine="420" w:firstLineChars="200"/>
        <w:rPr>
          <w:szCs w:val="21"/>
        </w:rPr>
      </w:pPr>
      <w:r>
        <w:rPr>
          <w:rFonts w:hint="eastAsia"/>
          <w:szCs w:val="21"/>
        </w:rPr>
        <w:t>小修保养工程的</w:t>
      </w:r>
      <w:r>
        <w:rPr>
          <w:rFonts w:hint="eastAsia" w:ascii="宋体" w:hAnsi="宋体"/>
          <w:szCs w:val="21"/>
        </w:rPr>
        <w:t>总承包项目，</w:t>
      </w:r>
      <w:r>
        <w:rPr>
          <w:rFonts w:hint="eastAsia"/>
          <w:szCs w:val="21"/>
        </w:rPr>
        <w:t>须经发包人或公路行业主管部门进行的养护检查和考核，如对本合同养护工程质量目标能达标</w:t>
      </w:r>
      <w:r>
        <w:rPr>
          <w:rFonts w:hint="eastAsia" w:ascii="宋体" w:hAnsi="宋体"/>
          <w:szCs w:val="21"/>
        </w:rPr>
        <w:t>（或基本达标）</w:t>
      </w:r>
      <w:r>
        <w:rPr>
          <w:rFonts w:hint="eastAsia"/>
          <w:szCs w:val="21"/>
        </w:rPr>
        <w:t>的，发包人可以进行小修保养季（</w:t>
      </w:r>
      <w:r>
        <w:rPr>
          <w:rFonts w:hint="eastAsia" w:ascii="宋体" w:hAnsi="宋体"/>
          <w:szCs w:val="21"/>
        </w:rPr>
        <w:t>年</w:t>
      </w:r>
      <w:r>
        <w:rPr>
          <w:rFonts w:hint="eastAsia"/>
          <w:szCs w:val="21"/>
        </w:rPr>
        <w:t>）度总承包养护价款的支付。</w:t>
      </w:r>
    </w:p>
    <w:p>
      <w:pPr>
        <w:spacing w:line="420" w:lineRule="exact"/>
        <w:ind w:firstLine="420" w:firstLineChars="200"/>
        <w:rPr>
          <w:szCs w:val="21"/>
        </w:rPr>
      </w:pPr>
      <w:r>
        <w:rPr>
          <w:rFonts w:hint="eastAsia"/>
          <w:szCs w:val="21"/>
        </w:rPr>
        <w:t>专项养护工程的工程计量以工程细目的实际完成工程量按量计价，并经验收合格进行工程的计量。</w:t>
      </w:r>
    </w:p>
    <w:p>
      <w:pPr>
        <w:spacing w:line="420" w:lineRule="exact"/>
        <w:ind w:firstLine="420" w:firstLineChars="200"/>
        <w:rPr>
          <w:szCs w:val="21"/>
        </w:rPr>
      </w:pPr>
      <w:r>
        <w:rPr>
          <w:rFonts w:hint="eastAsia"/>
          <w:szCs w:val="21"/>
        </w:rPr>
        <w:t>承包人应与发包人共同参与对专项养护工程的计量，提供计量所需的详细资料和必要的人员、设备及相关的记录或者图纸。</w:t>
      </w:r>
    </w:p>
    <w:p>
      <w:pPr>
        <w:spacing w:line="420" w:lineRule="exact"/>
        <w:ind w:firstLine="420" w:firstLineChars="200"/>
        <w:rPr>
          <w:szCs w:val="21"/>
        </w:rPr>
      </w:pPr>
      <w:r>
        <w:rPr>
          <w:rFonts w:hint="eastAsia"/>
          <w:szCs w:val="21"/>
        </w:rPr>
        <w:t>17.1.2  计量方法（适用于大中修养护工程）</w:t>
      </w:r>
    </w:p>
    <w:p>
      <w:pPr>
        <w:spacing w:line="420" w:lineRule="exact"/>
        <w:ind w:firstLine="420" w:firstLineChars="200"/>
        <w:rPr>
          <w:szCs w:val="21"/>
        </w:rPr>
      </w:pPr>
      <w:r>
        <w:rPr>
          <w:rFonts w:hint="eastAsia"/>
          <w:szCs w:val="21"/>
        </w:rPr>
        <w:t>工程的计量以净値为准，除非项目专用合同条款另有约定。工程量清单値各个子目的具体计量方法按本合同文件技术规范中的规定执行。</w:t>
      </w:r>
    </w:p>
    <w:p>
      <w:pPr>
        <w:spacing w:line="420" w:lineRule="exact"/>
        <w:ind w:firstLine="420" w:firstLineChars="200"/>
        <w:rPr>
          <w:rFonts w:ascii="宋体" w:hAnsi="宋体"/>
          <w:szCs w:val="21"/>
        </w:rPr>
      </w:pPr>
      <w:r>
        <w:rPr>
          <w:rFonts w:hint="eastAsia"/>
          <w:szCs w:val="21"/>
        </w:rPr>
        <w:t xml:space="preserve">17.1.3  </w:t>
      </w:r>
      <w:r>
        <w:rPr>
          <w:rFonts w:hint="eastAsia" w:ascii="宋体" w:hAnsi="宋体"/>
          <w:szCs w:val="21"/>
        </w:rPr>
        <w:t>计量周期</w:t>
      </w:r>
    </w:p>
    <w:p>
      <w:pPr>
        <w:spacing w:line="420" w:lineRule="exact"/>
        <w:ind w:firstLine="420" w:firstLineChars="200"/>
        <w:rPr>
          <w:szCs w:val="21"/>
        </w:rPr>
      </w:pPr>
      <w:r>
        <w:rPr>
          <w:rFonts w:hint="eastAsia"/>
          <w:szCs w:val="21"/>
        </w:rPr>
        <w:t>除专用合同条款另有约定外，单价子目已完成工程量按月计量，总价子目的计量周期按批准的支付分解报告确定。</w:t>
      </w:r>
    </w:p>
    <w:p>
      <w:pPr>
        <w:spacing w:line="420" w:lineRule="exact"/>
        <w:ind w:firstLine="420" w:firstLineChars="200"/>
        <w:rPr>
          <w:rFonts w:ascii="宋体" w:hAnsi="宋体"/>
          <w:szCs w:val="21"/>
        </w:rPr>
      </w:pPr>
      <w:r>
        <w:rPr>
          <w:rFonts w:hint="eastAsia"/>
          <w:szCs w:val="21"/>
        </w:rPr>
        <w:t xml:space="preserve">17.1.4 </w:t>
      </w:r>
      <w:r>
        <w:rPr>
          <w:rFonts w:hint="eastAsia" w:ascii="宋体" w:hAnsi="宋体"/>
          <w:szCs w:val="21"/>
        </w:rPr>
        <w:t>单价子目的计量</w:t>
      </w:r>
    </w:p>
    <w:p>
      <w:pPr>
        <w:spacing w:line="420" w:lineRule="exact"/>
        <w:ind w:firstLine="420" w:firstLineChars="200"/>
        <w:rPr>
          <w:szCs w:val="21"/>
        </w:rPr>
      </w:pPr>
      <w:r>
        <w:rPr>
          <w:rFonts w:hint="eastAsia"/>
          <w:szCs w:val="21"/>
        </w:rPr>
        <w:t>（1）已标价工程量清单中的单价子目工程量为估算工程量。结算工程量是承包人实际完成的，并按合同约定的计量方法进行计量的工程量。</w:t>
      </w:r>
    </w:p>
    <w:p>
      <w:pPr>
        <w:spacing w:line="420" w:lineRule="exact"/>
        <w:ind w:firstLine="420" w:firstLineChars="200"/>
        <w:rPr>
          <w:szCs w:val="21"/>
        </w:rPr>
      </w:pPr>
      <w:r>
        <w:rPr>
          <w:rFonts w:hint="eastAsia"/>
          <w:szCs w:val="21"/>
        </w:rPr>
        <w:t>（2）承包人对已完成的工程进行计量，向监理人提交进度付款申请单、已完成工程量报表和有关计量资料。</w:t>
      </w:r>
    </w:p>
    <w:p>
      <w:pPr>
        <w:spacing w:line="420" w:lineRule="exact"/>
        <w:ind w:firstLine="420" w:firstLineChars="200"/>
        <w:rPr>
          <w:szCs w:val="21"/>
        </w:rPr>
      </w:pPr>
      <w:r>
        <w:rPr>
          <w:rFonts w:hint="eastAsia"/>
          <w:szCs w:val="21"/>
        </w:rPr>
        <w:t>（3）监理人对承包人提交的工程量报表进行复核，以确定实际完成的工程量。对数量有异议的，可要求承包人按第8.2款约定进行共同复核和抽样复测。承包人应协助监理人进行复核并按监理人要求提供补充计量资料。承包人未按监理人要求参加复核，监理人复核或修正的工程量视为承包人实际完成的工程量。</w:t>
      </w:r>
    </w:p>
    <w:p>
      <w:pPr>
        <w:spacing w:line="420" w:lineRule="exact"/>
        <w:ind w:firstLine="420" w:firstLineChars="200"/>
        <w:rPr>
          <w:szCs w:val="21"/>
        </w:rPr>
      </w:pPr>
      <w:r>
        <w:rPr>
          <w:rFonts w:hint="eastAsia"/>
          <w:szCs w:val="21"/>
        </w:rPr>
        <w:t>（4）监理人认为有必要时，可通知承包人共同进行联合测量、计量，承包人应遵照执行。</w:t>
      </w:r>
    </w:p>
    <w:p>
      <w:pPr>
        <w:spacing w:line="420" w:lineRule="exact"/>
        <w:ind w:firstLine="420" w:firstLineChars="200"/>
        <w:rPr>
          <w:szCs w:val="21"/>
        </w:rPr>
      </w:pPr>
      <w:r>
        <w:rPr>
          <w:rFonts w:hint="eastAsia"/>
          <w:szCs w:val="21"/>
        </w:rPr>
        <w:t>（5）承包人完成工程量清单中每个子目的工程量后，监理人应要求承包人派员共同对每个子目的历次计量报表进行汇总，以核实最终结算工程量。监理人可要求承包人提供补充计量资料，以确定最后一次进度付款的准确工程量。承包人未按监理人要求派员参加的，监理人最终核实的工程量视为承包人完成该子目的准确工程量。</w:t>
      </w:r>
    </w:p>
    <w:p>
      <w:pPr>
        <w:spacing w:line="420" w:lineRule="exact"/>
        <w:ind w:firstLine="420" w:firstLineChars="200"/>
        <w:rPr>
          <w:szCs w:val="21"/>
        </w:rPr>
      </w:pPr>
      <w:r>
        <w:rPr>
          <w:rFonts w:hint="eastAsia"/>
          <w:szCs w:val="21"/>
        </w:rPr>
        <w:t>（6）监理人应在收到承包人提交的工程量报表后的7天内进行复核，监理人未在约定时间内复核的，承包人提交的工程量报表中的工程量视为承包人实际完成的工程量，据此计算工程价款。</w:t>
      </w:r>
    </w:p>
    <w:p>
      <w:pPr>
        <w:spacing w:line="420" w:lineRule="exact"/>
        <w:ind w:firstLine="420" w:firstLineChars="200"/>
        <w:rPr>
          <w:szCs w:val="21"/>
        </w:rPr>
      </w:pPr>
      <w:r>
        <w:rPr>
          <w:rFonts w:hint="eastAsia"/>
          <w:szCs w:val="21"/>
        </w:rPr>
        <w:t>（7）承包人未在已标价工程量清单中填入单价或总额价的工程子目，将被认为其已包含在本合同的其它子目的单价和总额价中，发包人将不另行支付。</w:t>
      </w:r>
    </w:p>
    <w:p>
      <w:pPr>
        <w:spacing w:line="420" w:lineRule="exact"/>
        <w:ind w:firstLine="420" w:firstLineChars="200"/>
        <w:rPr>
          <w:szCs w:val="21"/>
        </w:rPr>
      </w:pPr>
      <w:r>
        <w:rPr>
          <w:rFonts w:hint="eastAsia"/>
          <w:szCs w:val="21"/>
        </w:rPr>
        <w:t>工程量清单中的工程量计算规则应按有关国家标准、行业标准的规定，并在合同中约定执行。</w:t>
      </w:r>
    </w:p>
    <w:p>
      <w:pPr>
        <w:spacing w:line="420" w:lineRule="exact"/>
        <w:ind w:firstLine="420" w:firstLineChars="200"/>
        <w:rPr>
          <w:rFonts w:ascii="宋体" w:hAnsi="宋体"/>
          <w:szCs w:val="21"/>
        </w:rPr>
      </w:pPr>
      <w:r>
        <w:rPr>
          <w:rFonts w:hint="eastAsia"/>
          <w:szCs w:val="21"/>
        </w:rPr>
        <w:t xml:space="preserve">17.1.5  </w:t>
      </w:r>
      <w:r>
        <w:rPr>
          <w:rFonts w:hint="eastAsia" w:ascii="宋体" w:hAnsi="宋体"/>
          <w:szCs w:val="21"/>
        </w:rPr>
        <w:t>总价子目的计量</w:t>
      </w:r>
    </w:p>
    <w:p>
      <w:pPr>
        <w:spacing w:line="420" w:lineRule="exact"/>
        <w:ind w:firstLine="630" w:firstLineChars="300"/>
        <w:rPr>
          <w:rFonts w:ascii="宋体" w:hAnsi="宋体"/>
          <w:szCs w:val="21"/>
        </w:rPr>
      </w:pPr>
      <w:r>
        <w:rPr>
          <w:rFonts w:hint="eastAsia" w:ascii="宋体" w:hAnsi="宋体"/>
          <w:szCs w:val="21"/>
        </w:rPr>
        <w:t>除专用合同条款另有约定外，总价子目的分解和计量按照下述约定进行。</w:t>
      </w:r>
    </w:p>
    <w:p>
      <w:pPr>
        <w:spacing w:line="420" w:lineRule="exact"/>
        <w:ind w:firstLine="420" w:firstLineChars="200"/>
        <w:rPr>
          <w:rFonts w:ascii="宋体" w:hAnsi="宋体"/>
          <w:szCs w:val="21"/>
        </w:rPr>
      </w:pPr>
      <w:r>
        <w:rPr>
          <w:rFonts w:hint="eastAsia" w:ascii="宋体" w:hAnsi="宋体"/>
          <w:szCs w:val="21"/>
        </w:rPr>
        <w:t>（1）总价子目的计量和支付应以总价为基础，不因第</w:t>
      </w:r>
      <w:r>
        <w:rPr>
          <w:szCs w:val="21"/>
        </w:rPr>
        <w:t>16.1</w:t>
      </w:r>
      <w:r>
        <w:rPr>
          <w:rFonts w:hint="eastAsia" w:ascii="宋体" w:hAnsi="宋体"/>
          <w:szCs w:val="21"/>
        </w:rPr>
        <w:t>款中的因素而进行调整。承包人实际完成的工程量，是进行工程目标管理和控制进度支付的依据。</w:t>
      </w:r>
    </w:p>
    <w:p>
      <w:pPr>
        <w:spacing w:line="420" w:lineRule="exact"/>
        <w:ind w:firstLine="420" w:firstLineChars="200"/>
        <w:rPr>
          <w:rFonts w:ascii="宋体" w:hAnsi="宋体"/>
          <w:szCs w:val="21"/>
        </w:rPr>
      </w:pPr>
      <w:r>
        <w:rPr>
          <w:rFonts w:hint="eastAsia" w:ascii="宋体" w:hAnsi="宋体"/>
          <w:szCs w:val="21"/>
        </w:rPr>
        <w:t>（2）承包人在合同约定的每个计量周期内，对已完成的工程进行计量，并向监理人提交进度付款申请单、专用合同条款约定的合同总价支付分解表所表示的阶段性或分项计量的支持性资料，以及所达到工程形象目标或分阶段需完成的工程量和有关计量资料。</w:t>
      </w:r>
    </w:p>
    <w:p>
      <w:pPr>
        <w:spacing w:line="420" w:lineRule="exact"/>
        <w:ind w:firstLine="420" w:firstLineChars="200"/>
        <w:rPr>
          <w:rFonts w:ascii="宋体" w:hAnsi="宋体"/>
          <w:szCs w:val="21"/>
        </w:rPr>
      </w:pPr>
      <w:r>
        <w:rPr>
          <w:rFonts w:hint="eastAsia" w:ascii="宋体" w:hAnsi="宋体"/>
          <w:szCs w:val="21"/>
        </w:rPr>
        <w:t>（3）监理人对承包人提交的上述资料进行复核，以确定分阶段实际完成的工程量和工程形象目标。对其有异议的，可要求承包人按第8.2款约定进行共同复核和抽样复测。</w:t>
      </w:r>
    </w:p>
    <w:p>
      <w:pPr>
        <w:spacing w:line="420" w:lineRule="exact"/>
        <w:ind w:firstLine="420" w:firstLineChars="200"/>
        <w:rPr>
          <w:rFonts w:ascii="宋体" w:hAnsi="宋体"/>
          <w:szCs w:val="21"/>
        </w:rPr>
      </w:pPr>
      <w:r>
        <w:rPr>
          <w:rFonts w:hint="eastAsia" w:ascii="宋体" w:hAnsi="宋体"/>
          <w:szCs w:val="21"/>
        </w:rPr>
        <w:t>（4）除按照第15条约定的变更外，总价子目的工程量是承包人用于结算的最终工程量。</w:t>
      </w:r>
    </w:p>
    <w:p>
      <w:pPr>
        <w:pStyle w:val="27"/>
        <w:spacing w:beforeLines="50" w:afterLines="50" w:line="420" w:lineRule="exact"/>
        <w:rPr>
          <w:sz w:val="21"/>
          <w:szCs w:val="21"/>
        </w:rPr>
      </w:pPr>
      <w:bookmarkStart w:id="4617" w:name="_Toc549"/>
      <w:bookmarkStart w:id="4618" w:name="_Toc23823"/>
      <w:bookmarkStart w:id="4619" w:name="_Toc5134"/>
      <w:bookmarkStart w:id="4620" w:name="_Toc282779074"/>
      <w:bookmarkStart w:id="4621" w:name="_Toc7529"/>
      <w:bookmarkStart w:id="4622" w:name="_Toc288491599"/>
      <w:bookmarkStart w:id="4623" w:name="_Toc15404"/>
      <w:bookmarkStart w:id="4624" w:name="_Toc31041"/>
      <w:bookmarkStart w:id="4625" w:name="_Toc152042499"/>
      <w:bookmarkStart w:id="4626" w:name="_Toc237923899"/>
      <w:bookmarkStart w:id="4627" w:name="_Toc287853423"/>
      <w:bookmarkStart w:id="4628" w:name="_Toc282787523"/>
      <w:bookmarkStart w:id="4629" w:name="_Toc288546723"/>
      <w:bookmarkStart w:id="4630" w:name="_Toc179632738"/>
      <w:bookmarkStart w:id="4631" w:name="_Toc15039"/>
      <w:bookmarkStart w:id="4632" w:name="_Toc144974691"/>
      <w:bookmarkStart w:id="4633" w:name="_Toc9129"/>
      <w:bookmarkStart w:id="4634" w:name="_Toc283794271"/>
      <w:bookmarkStart w:id="4635" w:name="_Toc12230"/>
      <w:bookmarkStart w:id="4636" w:name="_Toc30277"/>
      <w:bookmarkStart w:id="4637" w:name="_Toc15292"/>
      <w:bookmarkStart w:id="4638" w:name="_Toc152045720"/>
      <w:bookmarkStart w:id="4639" w:name="_Toc282779583"/>
      <w:r>
        <w:rPr>
          <w:rFonts w:hint="eastAsia"/>
          <w:b/>
          <w:sz w:val="21"/>
          <w:szCs w:val="21"/>
        </w:rPr>
        <w:t>17.2</w:t>
      </w:r>
      <w:r>
        <w:rPr>
          <w:rFonts w:hint="eastAsia"/>
          <w:sz w:val="21"/>
          <w:szCs w:val="21"/>
        </w:rPr>
        <w:t xml:space="preserve">  预付款</w:t>
      </w:r>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p>
    <w:p>
      <w:pPr>
        <w:spacing w:line="420" w:lineRule="exact"/>
        <w:ind w:firstLine="420" w:firstLineChars="200"/>
        <w:rPr>
          <w:rFonts w:ascii="宋体" w:hAnsi="宋体"/>
          <w:szCs w:val="21"/>
        </w:rPr>
      </w:pPr>
      <w:r>
        <w:rPr>
          <w:rFonts w:hint="eastAsia"/>
          <w:szCs w:val="21"/>
        </w:rPr>
        <w:t xml:space="preserve">17.2.1  </w:t>
      </w:r>
      <w:r>
        <w:rPr>
          <w:rFonts w:hint="eastAsia" w:ascii="宋体" w:hAnsi="宋体"/>
          <w:szCs w:val="21"/>
        </w:rPr>
        <w:t>预付款</w:t>
      </w:r>
    </w:p>
    <w:p>
      <w:pPr>
        <w:pStyle w:val="18"/>
      </w:pPr>
      <w:r>
        <w:rPr>
          <w:rFonts w:hint="eastAsia" w:ascii="宋体" w:hAnsi="宋体"/>
          <w:szCs w:val="21"/>
        </w:rPr>
        <w:t xml:space="preserve">    项目</w:t>
      </w:r>
      <w:r>
        <w:rPr>
          <w:rFonts w:hint="eastAsia"/>
          <w:szCs w:val="21"/>
        </w:rPr>
        <w:t>专用合同条款另有约定</w:t>
      </w:r>
    </w:p>
    <w:p>
      <w:pPr>
        <w:spacing w:line="420" w:lineRule="exact"/>
        <w:ind w:firstLine="420" w:firstLineChars="200"/>
        <w:rPr>
          <w:szCs w:val="21"/>
        </w:rPr>
      </w:pPr>
      <w:r>
        <w:rPr>
          <w:rFonts w:hint="eastAsia"/>
          <w:szCs w:val="21"/>
        </w:rPr>
        <w:t>预付款用于承包人为合同工程施工购置材料、工程设备、施工设备、修建临时设施以及组织施工队伍进场等。</w:t>
      </w:r>
    </w:p>
    <w:p>
      <w:pPr>
        <w:spacing w:line="420" w:lineRule="exact"/>
        <w:ind w:firstLine="420" w:firstLineChars="200"/>
        <w:rPr>
          <w:szCs w:val="21"/>
        </w:rPr>
      </w:pPr>
      <w:r>
        <w:rPr>
          <w:rFonts w:hint="eastAsia"/>
          <w:szCs w:val="21"/>
        </w:rPr>
        <w:t>预付款包括开工预付款和材料预付款。具体额度和预付办法如下：</w:t>
      </w:r>
    </w:p>
    <w:p>
      <w:pPr>
        <w:spacing w:line="420" w:lineRule="exact"/>
        <w:ind w:firstLine="420" w:firstLineChars="200"/>
        <w:rPr>
          <w:szCs w:val="21"/>
        </w:rPr>
      </w:pPr>
      <w:r>
        <w:rPr>
          <w:rFonts w:hint="eastAsia"/>
          <w:szCs w:val="21"/>
        </w:rPr>
        <w:t>（1）开工预付款的金额在项目专用合同条款数据表中约定。在承包人签订了合同协议书并提交了开工预付款保函后，监理人应在当期进度付款证书中向承包人支付开工预付款的30%的价款；在承包人承诺的主要设备进场后，再支付预付款的70%。</w:t>
      </w:r>
    </w:p>
    <w:p>
      <w:pPr>
        <w:spacing w:line="420" w:lineRule="exact"/>
        <w:ind w:firstLine="420" w:firstLineChars="200"/>
        <w:rPr>
          <w:szCs w:val="21"/>
        </w:rPr>
      </w:pPr>
      <w:r>
        <w:rPr>
          <w:rFonts w:hint="eastAsia"/>
          <w:szCs w:val="21"/>
        </w:rPr>
        <w:t>承包人不得将该预付款用于与本工程无关的支出，监理人有权监督承包人对该项费用的使用，如经查实承包人滥用开工预付款，发包人有权立即通过向银行发出通知收回开工预付款保函的方式，将该款收回。</w:t>
      </w:r>
    </w:p>
    <w:p>
      <w:pPr>
        <w:spacing w:line="420" w:lineRule="exact"/>
        <w:ind w:firstLine="420" w:firstLineChars="200"/>
        <w:rPr>
          <w:szCs w:val="21"/>
        </w:rPr>
      </w:pPr>
      <w:r>
        <w:rPr>
          <w:rFonts w:hint="eastAsia"/>
          <w:szCs w:val="21"/>
        </w:rPr>
        <w:t>（2）材料预付款按项目专用合同条款数据表中所列主要材料单据费用（进口的材料、设备为到岸价，国内采购的为出厂价或销售价，地方材料为堆场价）的百分比支付。其预付条件为：</w:t>
      </w:r>
    </w:p>
    <w:p>
      <w:pPr>
        <w:spacing w:line="420" w:lineRule="exact"/>
        <w:ind w:firstLine="420" w:firstLineChars="200"/>
        <w:rPr>
          <w:szCs w:val="21"/>
        </w:rPr>
      </w:pPr>
      <w:r>
        <w:rPr>
          <w:szCs w:val="21"/>
        </w:rPr>
        <w:t>a</w:t>
      </w:r>
      <w:r>
        <w:rPr>
          <w:rFonts w:hint="eastAsia"/>
          <w:szCs w:val="21"/>
        </w:rPr>
        <w:t>．材料符合规范要求并经监理人认可；</w:t>
      </w:r>
    </w:p>
    <w:p>
      <w:pPr>
        <w:spacing w:line="420" w:lineRule="exact"/>
        <w:ind w:firstLine="420" w:firstLineChars="200"/>
        <w:rPr>
          <w:szCs w:val="21"/>
        </w:rPr>
      </w:pPr>
      <w:r>
        <w:rPr>
          <w:szCs w:val="21"/>
        </w:rPr>
        <w:t>b</w:t>
      </w:r>
      <w:r>
        <w:rPr>
          <w:rFonts w:hint="eastAsia"/>
          <w:szCs w:val="21"/>
        </w:rPr>
        <w:t>．承包人已出具材料费用凭证或支付单据；</w:t>
      </w:r>
    </w:p>
    <w:p>
      <w:pPr>
        <w:spacing w:line="420" w:lineRule="exact"/>
        <w:ind w:firstLine="420" w:firstLineChars="200"/>
        <w:rPr>
          <w:szCs w:val="21"/>
        </w:rPr>
      </w:pPr>
      <w:r>
        <w:rPr>
          <w:szCs w:val="21"/>
        </w:rPr>
        <w:t>c</w:t>
      </w:r>
      <w:r>
        <w:rPr>
          <w:rFonts w:hint="eastAsia"/>
          <w:szCs w:val="21"/>
        </w:rPr>
        <w:t>．材料已在现场交货，且存储良好，监理人认为材料的存储方法符合要求。</w:t>
      </w:r>
    </w:p>
    <w:p>
      <w:pPr>
        <w:spacing w:line="420" w:lineRule="exact"/>
        <w:ind w:firstLine="420" w:firstLineChars="200"/>
        <w:rPr>
          <w:szCs w:val="21"/>
        </w:rPr>
      </w:pPr>
      <w:r>
        <w:rPr>
          <w:rFonts w:hint="eastAsia"/>
          <w:szCs w:val="21"/>
        </w:rPr>
        <w:t>则监理人应将此项金额作为材料预付款计入下一次的进度付款证书中。在预计交工前3个月，将不再支付材料、设备预付款。</w:t>
      </w:r>
    </w:p>
    <w:p>
      <w:pPr>
        <w:spacing w:line="420" w:lineRule="exact"/>
        <w:ind w:firstLine="420" w:firstLineChars="200"/>
        <w:rPr>
          <w:szCs w:val="21"/>
        </w:rPr>
      </w:pPr>
      <w:r>
        <w:rPr>
          <w:rFonts w:hint="eastAsia"/>
          <w:szCs w:val="21"/>
        </w:rPr>
        <w:t>17.2.2  预付款保函</w:t>
      </w:r>
    </w:p>
    <w:p>
      <w:pPr>
        <w:spacing w:line="420" w:lineRule="exact"/>
        <w:ind w:firstLine="420" w:firstLineChars="200"/>
        <w:rPr>
          <w:szCs w:val="21"/>
        </w:rPr>
      </w:pPr>
      <w:r>
        <w:rPr>
          <w:rFonts w:hint="eastAsia"/>
          <w:szCs w:val="21"/>
        </w:rPr>
        <w:t>除项目专用合同条款另有约定外，承包人应在收到开工预付款前向发包人提交开工预付款保函，开工预付款保函的担保金额应与开工预付款金额相同。出具保函的银行须与第4.2款的要求相同，所需费用由承包人承担。银行保函的正本由发包人保存，该保函在发包人将开工预付款全部扣回之前一直有效，担保金额可根据开工预付款扣回的金额相应递减。</w:t>
      </w:r>
    </w:p>
    <w:p>
      <w:pPr>
        <w:spacing w:line="420" w:lineRule="exact"/>
        <w:ind w:firstLine="420" w:firstLineChars="200"/>
        <w:rPr>
          <w:szCs w:val="21"/>
        </w:rPr>
      </w:pPr>
      <w:r>
        <w:rPr>
          <w:rFonts w:hint="eastAsia"/>
          <w:szCs w:val="21"/>
        </w:rPr>
        <w:t>17.2.3  预付款的扣回与还清</w:t>
      </w:r>
    </w:p>
    <w:p>
      <w:pPr>
        <w:spacing w:line="420" w:lineRule="exact"/>
        <w:ind w:firstLine="420" w:firstLineChars="200"/>
        <w:rPr>
          <w:szCs w:val="21"/>
        </w:rPr>
      </w:pPr>
      <w:r>
        <w:rPr>
          <w:rFonts w:hint="eastAsia"/>
          <w:szCs w:val="21"/>
        </w:rPr>
        <w:t>预付款扣回办法在专用合同条款中约定。</w:t>
      </w:r>
    </w:p>
    <w:p>
      <w:pPr>
        <w:spacing w:line="420" w:lineRule="exact"/>
        <w:ind w:firstLine="420" w:firstLineChars="200"/>
        <w:rPr>
          <w:szCs w:val="21"/>
        </w:rPr>
      </w:pPr>
      <w:r>
        <w:rPr>
          <w:rFonts w:hint="eastAsia"/>
          <w:szCs w:val="21"/>
        </w:rPr>
        <w:t>（1）开工预付款在进度付款证书的累计金额未达到签约合同价的30%之前不予扣回，在达到签约合同价30%之后，开始按工程进度以固定比例（即每完成签约合同价的1%，扣回开工预付款的2%）分期从各月的进度付款证书中扣回，全部金额在进度付款证书累计金额达到签约合同价的80%时扣完。</w:t>
      </w:r>
    </w:p>
    <w:p>
      <w:pPr>
        <w:spacing w:line="420" w:lineRule="exact"/>
        <w:ind w:firstLine="420" w:firstLineChars="200"/>
        <w:rPr>
          <w:szCs w:val="21"/>
        </w:rPr>
      </w:pPr>
      <w:r>
        <w:rPr>
          <w:rFonts w:hint="eastAsia"/>
          <w:szCs w:val="21"/>
        </w:rPr>
        <w:t>（2）当材料已用于养护工程之中时，材料预付款应从进度付款证书中扣回，扣回期不超过3个月。已经支付材料预付款的材料的所有权应属于发包人。</w:t>
      </w:r>
    </w:p>
    <w:p>
      <w:pPr>
        <w:spacing w:line="420" w:lineRule="exact"/>
        <w:ind w:firstLine="420" w:firstLineChars="200"/>
        <w:rPr>
          <w:szCs w:val="21"/>
        </w:rPr>
      </w:pPr>
      <w:r>
        <w:rPr>
          <w:rFonts w:hint="eastAsia"/>
          <w:szCs w:val="21"/>
        </w:rPr>
        <w:t>在颁发工程接收证书前，由于不可抗力或其它原因解除合同时，预付款尚未扣清的，尚未扣清的预付款余额应作为承包人的到期应付款。</w:t>
      </w:r>
    </w:p>
    <w:p>
      <w:pPr>
        <w:pStyle w:val="27"/>
        <w:spacing w:beforeLines="50" w:afterLines="50" w:line="420" w:lineRule="exact"/>
        <w:rPr>
          <w:sz w:val="21"/>
          <w:szCs w:val="21"/>
        </w:rPr>
      </w:pPr>
      <w:bookmarkStart w:id="4640" w:name="_Toc282787524"/>
      <w:bookmarkStart w:id="4641" w:name="_Toc144974692"/>
      <w:bookmarkStart w:id="4642" w:name="_Toc8964"/>
      <w:bookmarkStart w:id="4643" w:name="_Toc179632739"/>
      <w:bookmarkStart w:id="4644" w:name="_Toc282779075"/>
      <w:bookmarkStart w:id="4645" w:name="_Toc283794272"/>
      <w:bookmarkStart w:id="4646" w:name="_Toc288491600"/>
      <w:bookmarkStart w:id="4647" w:name="_Toc5426"/>
      <w:bookmarkStart w:id="4648" w:name="_Toc10921"/>
      <w:bookmarkStart w:id="4649" w:name="_Toc32433"/>
      <w:bookmarkStart w:id="4650" w:name="_Toc27596"/>
      <w:bookmarkStart w:id="4651" w:name="_Toc282779584"/>
      <w:bookmarkStart w:id="4652" w:name="_Toc30641"/>
      <w:bookmarkStart w:id="4653" w:name="_Toc152042500"/>
      <w:bookmarkStart w:id="4654" w:name="_Toc287853424"/>
      <w:bookmarkStart w:id="4655" w:name="_Toc11521"/>
      <w:bookmarkStart w:id="4656" w:name="_Toc32230"/>
      <w:bookmarkStart w:id="4657" w:name="_Toc237923900"/>
      <w:bookmarkStart w:id="4658" w:name="_Toc29390"/>
      <w:bookmarkStart w:id="4659" w:name="_Toc11610"/>
      <w:bookmarkStart w:id="4660" w:name="_Toc14011"/>
      <w:bookmarkStart w:id="4661" w:name="_Toc288546724"/>
      <w:bookmarkStart w:id="4662" w:name="_Toc152045721"/>
      <w:r>
        <w:rPr>
          <w:rFonts w:hint="eastAsia"/>
          <w:b/>
          <w:sz w:val="21"/>
          <w:szCs w:val="21"/>
        </w:rPr>
        <w:t xml:space="preserve">17.3 </w:t>
      </w:r>
      <w:r>
        <w:rPr>
          <w:rFonts w:hint="eastAsia"/>
          <w:sz w:val="21"/>
          <w:szCs w:val="21"/>
        </w:rPr>
        <w:t xml:space="preserve"> 工程进度付款</w:t>
      </w:r>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p>
    <w:p>
      <w:pPr>
        <w:spacing w:line="420" w:lineRule="exact"/>
        <w:ind w:firstLine="420" w:firstLineChars="200"/>
        <w:rPr>
          <w:rFonts w:ascii="宋体" w:hAnsi="宋体"/>
          <w:szCs w:val="21"/>
        </w:rPr>
      </w:pPr>
      <w:r>
        <w:rPr>
          <w:rFonts w:hint="eastAsia"/>
          <w:szCs w:val="21"/>
        </w:rPr>
        <w:t xml:space="preserve">17.3.1  </w:t>
      </w:r>
      <w:r>
        <w:rPr>
          <w:rFonts w:hint="eastAsia" w:ascii="宋体" w:hAnsi="宋体"/>
          <w:szCs w:val="21"/>
        </w:rPr>
        <w:t>付款周期</w:t>
      </w:r>
    </w:p>
    <w:p>
      <w:pPr>
        <w:spacing w:line="420" w:lineRule="exact"/>
        <w:ind w:firstLine="420" w:firstLineChars="200"/>
        <w:rPr>
          <w:szCs w:val="21"/>
        </w:rPr>
      </w:pPr>
      <w:r>
        <w:rPr>
          <w:rFonts w:hint="eastAsia"/>
          <w:szCs w:val="21"/>
        </w:rPr>
        <w:t>付款周期同计量周期。</w:t>
      </w:r>
    </w:p>
    <w:p>
      <w:pPr>
        <w:spacing w:line="420" w:lineRule="exact"/>
        <w:ind w:firstLine="420" w:firstLineChars="200"/>
        <w:rPr>
          <w:rFonts w:ascii="宋体" w:hAnsi="宋体"/>
          <w:szCs w:val="21"/>
        </w:rPr>
      </w:pPr>
      <w:r>
        <w:rPr>
          <w:rFonts w:hint="eastAsia"/>
          <w:szCs w:val="21"/>
        </w:rPr>
        <w:t xml:space="preserve">17.3.2  </w:t>
      </w:r>
      <w:r>
        <w:rPr>
          <w:rFonts w:hint="eastAsia" w:ascii="宋体" w:hAnsi="宋体"/>
          <w:szCs w:val="21"/>
        </w:rPr>
        <w:t>进度付款申请单</w:t>
      </w:r>
    </w:p>
    <w:p>
      <w:pPr>
        <w:spacing w:line="420" w:lineRule="exact"/>
        <w:ind w:firstLine="420" w:firstLineChars="200"/>
        <w:rPr>
          <w:dstrike/>
          <w:szCs w:val="21"/>
        </w:rPr>
      </w:pPr>
      <w:r>
        <w:rPr>
          <w:rFonts w:hint="eastAsia"/>
          <w:szCs w:val="21"/>
        </w:rPr>
        <w:t>承包人应在每个付款周期末，按监理人批准的格式和专用合同条款约定的份数，向监理人提交进度付款申请单，并附相应的支持性证明文件。除专用合同条款另有约定外，进度付款申请单应包括下列内容：</w:t>
      </w:r>
    </w:p>
    <w:p>
      <w:pPr>
        <w:spacing w:line="420" w:lineRule="exact"/>
        <w:ind w:firstLine="420" w:firstLineChars="200"/>
        <w:rPr>
          <w:szCs w:val="21"/>
        </w:rPr>
      </w:pPr>
      <w:r>
        <w:rPr>
          <w:rFonts w:hint="eastAsia"/>
          <w:szCs w:val="21"/>
        </w:rPr>
        <w:t>（1）截至本次付款周期末已实施工程的价款；</w:t>
      </w:r>
    </w:p>
    <w:p>
      <w:pPr>
        <w:spacing w:line="420" w:lineRule="exact"/>
        <w:ind w:firstLine="420" w:firstLineChars="200"/>
        <w:rPr>
          <w:szCs w:val="21"/>
        </w:rPr>
      </w:pPr>
      <w:r>
        <w:rPr>
          <w:rFonts w:hint="eastAsia"/>
          <w:szCs w:val="21"/>
        </w:rPr>
        <w:t>（2）根据第15条应增加和扣减的变更金额；</w:t>
      </w:r>
    </w:p>
    <w:p>
      <w:pPr>
        <w:spacing w:line="420" w:lineRule="exact"/>
        <w:ind w:firstLine="420" w:firstLineChars="200"/>
        <w:rPr>
          <w:szCs w:val="21"/>
        </w:rPr>
      </w:pPr>
      <w:r>
        <w:rPr>
          <w:rFonts w:hint="eastAsia"/>
          <w:szCs w:val="21"/>
        </w:rPr>
        <w:t>（3）根据第23条应增加和扣减的索赔金额；</w:t>
      </w:r>
    </w:p>
    <w:p>
      <w:pPr>
        <w:spacing w:line="420" w:lineRule="exact"/>
        <w:ind w:firstLine="420" w:firstLineChars="200"/>
        <w:rPr>
          <w:szCs w:val="21"/>
        </w:rPr>
      </w:pPr>
      <w:r>
        <w:rPr>
          <w:rFonts w:hint="eastAsia"/>
          <w:szCs w:val="21"/>
        </w:rPr>
        <w:t>（4）根据第17.2款约定应支付的预付款和扣减的返还预付款；</w:t>
      </w:r>
    </w:p>
    <w:p>
      <w:pPr>
        <w:spacing w:line="420" w:lineRule="exact"/>
        <w:ind w:firstLine="420" w:firstLineChars="200"/>
        <w:rPr>
          <w:szCs w:val="21"/>
        </w:rPr>
      </w:pPr>
      <w:r>
        <w:rPr>
          <w:rFonts w:hint="eastAsia"/>
          <w:szCs w:val="21"/>
        </w:rPr>
        <w:t>（5）根据第17.4.1项约定应扣减的质量保证金；</w:t>
      </w:r>
    </w:p>
    <w:p>
      <w:pPr>
        <w:spacing w:line="420" w:lineRule="exact"/>
        <w:ind w:firstLine="420" w:firstLineChars="200"/>
        <w:rPr>
          <w:szCs w:val="21"/>
        </w:rPr>
      </w:pPr>
      <w:r>
        <w:rPr>
          <w:rFonts w:hint="eastAsia"/>
          <w:szCs w:val="21"/>
        </w:rPr>
        <w:t>（6）根据合同应增加和扣减的其它金额。</w:t>
      </w:r>
    </w:p>
    <w:p>
      <w:pPr>
        <w:spacing w:line="420" w:lineRule="exact"/>
        <w:ind w:firstLine="420" w:firstLineChars="200"/>
        <w:rPr>
          <w:szCs w:val="21"/>
        </w:rPr>
      </w:pPr>
      <w:r>
        <w:rPr>
          <w:rFonts w:hint="eastAsia"/>
          <w:szCs w:val="21"/>
        </w:rPr>
        <w:t>17.3.3  进度付款证书和支付时间</w:t>
      </w:r>
    </w:p>
    <w:p>
      <w:pPr>
        <w:spacing w:line="420" w:lineRule="exact"/>
        <w:ind w:firstLine="420" w:firstLineChars="200"/>
        <w:rPr>
          <w:szCs w:val="21"/>
        </w:rPr>
      </w:pPr>
      <w:r>
        <w:rPr>
          <w:rFonts w:hint="eastAsia"/>
          <w:szCs w:val="21"/>
        </w:rPr>
        <w:t>（1）监理人在收到承包人进度付款申请单以及相应的支持性证明文件后的14天内完成核查，提出发包人到期应支付给承包人的金额以及相应的支持性材料，经发包人审查同意后，由监理人向承包人出具经发包人签认的进度付款证书。监理人有权扣发承包人未能按照合同要求履行任何工作或义务的相应金额。</w:t>
      </w:r>
    </w:p>
    <w:p>
      <w:pPr>
        <w:spacing w:line="420" w:lineRule="exact"/>
        <w:ind w:firstLine="420" w:firstLineChars="200"/>
        <w:rPr>
          <w:szCs w:val="21"/>
        </w:rPr>
      </w:pPr>
      <w:r>
        <w:rPr>
          <w:rFonts w:hint="eastAsia"/>
          <w:szCs w:val="21"/>
        </w:rPr>
        <w:t>（2）小修保养年度总承包的养护工程价款的支付按以下办法进行：</w:t>
      </w:r>
    </w:p>
    <w:p>
      <w:pPr>
        <w:spacing w:line="420" w:lineRule="exact"/>
        <w:ind w:firstLine="420" w:firstLineChars="200"/>
        <w:rPr>
          <w:szCs w:val="21"/>
        </w:rPr>
      </w:pPr>
      <w:r>
        <w:rPr>
          <w:szCs w:val="21"/>
        </w:rPr>
        <w:t>a</w:t>
      </w:r>
      <w:r>
        <w:rPr>
          <w:rFonts w:hint="eastAsia"/>
          <w:szCs w:val="21"/>
        </w:rPr>
        <w:t>．以小修保养年度总承包的工程价款支付，以签约合同总价分季度按比例支付，第</w:t>
      </w:r>
      <w:r>
        <w:rPr>
          <w:szCs w:val="21"/>
        </w:rPr>
        <w:t>1</w:t>
      </w:r>
      <w:r>
        <w:rPr>
          <w:rFonts w:hint="eastAsia"/>
          <w:szCs w:val="21"/>
        </w:rPr>
        <w:t>个季度</w:t>
      </w:r>
      <w:r>
        <w:rPr>
          <w:szCs w:val="21"/>
        </w:rPr>
        <w:t>%</w:t>
      </w:r>
      <w:r>
        <w:rPr>
          <w:rFonts w:hint="eastAsia"/>
          <w:szCs w:val="21"/>
        </w:rPr>
        <w:t>、第</w:t>
      </w:r>
      <w:r>
        <w:rPr>
          <w:szCs w:val="21"/>
        </w:rPr>
        <w:t>2</w:t>
      </w:r>
      <w:r>
        <w:rPr>
          <w:rFonts w:hint="eastAsia"/>
          <w:szCs w:val="21"/>
        </w:rPr>
        <w:t>个季度</w:t>
      </w:r>
      <w:r>
        <w:rPr>
          <w:szCs w:val="21"/>
        </w:rPr>
        <w:t>%</w:t>
      </w:r>
      <w:r>
        <w:rPr>
          <w:rFonts w:hint="eastAsia"/>
          <w:szCs w:val="21"/>
        </w:rPr>
        <w:t>、第</w:t>
      </w:r>
      <w:r>
        <w:rPr>
          <w:szCs w:val="21"/>
        </w:rPr>
        <w:t>3</w:t>
      </w:r>
      <w:r>
        <w:rPr>
          <w:rFonts w:hint="eastAsia"/>
          <w:szCs w:val="21"/>
        </w:rPr>
        <w:t>个季度</w:t>
      </w:r>
      <w:r>
        <w:rPr>
          <w:szCs w:val="21"/>
        </w:rPr>
        <w:t>%</w:t>
      </w:r>
      <w:r>
        <w:rPr>
          <w:rFonts w:hint="eastAsia"/>
          <w:szCs w:val="21"/>
        </w:rPr>
        <w:t>……。以每季首月的前</w:t>
      </w:r>
      <w:r>
        <w:rPr>
          <w:szCs w:val="21"/>
        </w:rPr>
        <w:t>15</w:t>
      </w:r>
      <w:r>
        <w:rPr>
          <w:rFonts w:hint="eastAsia"/>
          <w:szCs w:val="21"/>
        </w:rPr>
        <w:t>日内支付。</w:t>
      </w:r>
    </w:p>
    <w:p>
      <w:pPr>
        <w:spacing w:line="420" w:lineRule="exact"/>
        <w:ind w:firstLine="420" w:firstLineChars="200"/>
        <w:rPr>
          <w:kern w:val="0"/>
          <w:szCs w:val="21"/>
        </w:rPr>
      </w:pPr>
      <w:r>
        <w:rPr>
          <w:rFonts w:hint="eastAsia" w:ascii="ˎ̥" w:hAnsi="ˎ̥" w:cs="宋体"/>
          <w:kern w:val="0"/>
          <w:szCs w:val="21"/>
        </w:rPr>
        <w:t>b．在</w:t>
      </w:r>
      <w:r>
        <w:rPr>
          <w:rFonts w:hAnsi="宋体"/>
          <w:kern w:val="0"/>
          <w:szCs w:val="21"/>
        </w:rPr>
        <w:t>支付第</w:t>
      </w:r>
      <w:r>
        <w:rPr>
          <w:kern w:val="0"/>
          <w:szCs w:val="21"/>
        </w:rPr>
        <w:t>1</w:t>
      </w:r>
      <w:r>
        <w:rPr>
          <w:rFonts w:hAnsi="宋体"/>
          <w:szCs w:val="21"/>
        </w:rPr>
        <w:t>个季度</w:t>
      </w:r>
      <w:r>
        <w:rPr>
          <w:rFonts w:hAnsi="宋体"/>
          <w:kern w:val="0"/>
          <w:szCs w:val="21"/>
        </w:rPr>
        <w:t>工程价款时，应扣除发包人代为承包人缴纳而存入银行</w:t>
      </w:r>
      <w:r>
        <w:rPr>
          <w:rFonts w:hint="eastAsia"/>
          <w:kern w:val="0"/>
          <w:szCs w:val="21"/>
        </w:rPr>
        <w:t>“</w:t>
      </w:r>
      <w:r>
        <w:rPr>
          <w:rFonts w:hAnsi="宋体"/>
          <w:kern w:val="0"/>
          <w:szCs w:val="21"/>
        </w:rPr>
        <w:t>保证金专用存款账户</w:t>
      </w:r>
      <w:r>
        <w:rPr>
          <w:rFonts w:hint="eastAsia"/>
          <w:kern w:val="0"/>
          <w:szCs w:val="21"/>
        </w:rPr>
        <w:t>”</w:t>
      </w:r>
      <w:r>
        <w:rPr>
          <w:rFonts w:hAnsi="宋体"/>
          <w:kern w:val="0"/>
          <w:szCs w:val="21"/>
        </w:rPr>
        <w:t>的</w:t>
      </w:r>
      <w:r>
        <w:rPr>
          <w:rFonts w:hint="eastAsia"/>
          <w:kern w:val="0"/>
          <w:szCs w:val="21"/>
        </w:rPr>
        <w:t>“</w:t>
      </w:r>
      <w:r>
        <w:rPr>
          <w:rFonts w:hAnsi="宋体"/>
          <w:kern w:val="0"/>
          <w:szCs w:val="21"/>
        </w:rPr>
        <w:t>农民工工资支付保证金</w:t>
      </w:r>
      <w:r>
        <w:rPr>
          <w:rFonts w:hint="eastAsia"/>
          <w:kern w:val="0"/>
          <w:szCs w:val="21"/>
        </w:rPr>
        <w:t>”</w:t>
      </w:r>
      <w:r>
        <w:rPr>
          <w:rFonts w:hAnsi="宋体"/>
          <w:kern w:val="0"/>
          <w:szCs w:val="21"/>
        </w:rPr>
        <w:t>（</w:t>
      </w:r>
      <w:r>
        <w:rPr>
          <w:rFonts w:hint="eastAsia" w:hAnsi="宋体"/>
          <w:kern w:val="0"/>
          <w:szCs w:val="21"/>
        </w:rPr>
        <w:t>签约</w:t>
      </w:r>
      <w:r>
        <w:rPr>
          <w:rFonts w:hAnsi="宋体"/>
          <w:kern w:val="0"/>
          <w:szCs w:val="21"/>
        </w:rPr>
        <w:t>合同</w:t>
      </w:r>
      <w:r>
        <w:rPr>
          <w:rFonts w:hint="eastAsia" w:hAnsi="宋体"/>
          <w:kern w:val="0"/>
          <w:szCs w:val="21"/>
        </w:rPr>
        <w:t>总</w:t>
      </w:r>
      <w:r>
        <w:rPr>
          <w:rFonts w:hAnsi="宋体"/>
          <w:kern w:val="0"/>
          <w:szCs w:val="21"/>
        </w:rPr>
        <w:t>价的</w:t>
      </w:r>
      <w:r>
        <w:rPr>
          <w:kern w:val="0"/>
          <w:szCs w:val="21"/>
        </w:rPr>
        <w:t>2%</w:t>
      </w:r>
      <w:r>
        <w:rPr>
          <w:rFonts w:hAnsi="宋体"/>
          <w:kern w:val="0"/>
          <w:szCs w:val="21"/>
        </w:rPr>
        <w:t>，每个</w:t>
      </w:r>
      <w:r>
        <w:rPr>
          <w:rFonts w:hint="eastAsia" w:hAnsi="宋体"/>
          <w:kern w:val="0"/>
          <w:szCs w:val="21"/>
        </w:rPr>
        <w:t>标</w:t>
      </w:r>
      <w:r>
        <w:rPr>
          <w:rFonts w:hAnsi="宋体"/>
          <w:kern w:val="0"/>
          <w:szCs w:val="21"/>
        </w:rPr>
        <w:t>段最高不超过</w:t>
      </w:r>
      <w:r>
        <w:rPr>
          <w:kern w:val="0"/>
          <w:szCs w:val="21"/>
        </w:rPr>
        <w:t>300</w:t>
      </w:r>
      <w:r>
        <w:rPr>
          <w:rFonts w:hAnsi="宋体"/>
          <w:kern w:val="0"/>
          <w:szCs w:val="21"/>
        </w:rPr>
        <w:t>万元）。</w:t>
      </w:r>
    </w:p>
    <w:p>
      <w:pPr>
        <w:spacing w:line="420" w:lineRule="exact"/>
        <w:ind w:firstLine="420" w:firstLineChars="200"/>
        <w:rPr>
          <w:kern w:val="0"/>
          <w:szCs w:val="21"/>
        </w:rPr>
      </w:pPr>
      <w:r>
        <w:rPr>
          <w:szCs w:val="21"/>
        </w:rPr>
        <w:t>c</w:t>
      </w:r>
      <w:r>
        <w:rPr>
          <w:rFonts w:hint="eastAsia" w:hAnsi="宋体"/>
          <w:szCs w:val="21"/>
        </w:rPr>
        <w:t>．</w:t>
      </w:r>
      <w:r>
        <w:rPr>
          <w:rFonts w:hAnsi="宋体"/>
          <w:szCs w:val="21"/>
        </w:rPr>
        <w:t>专项养护工程的养护合同工程价款，经发包人以各工程</w:t>
      </w:r>
      <w:r>
        <w:rPr>
          <w:rFonts w:hint="eastAsia" w:hAnsi="宋体"/>
          <w:szCs w:val="21"/>
        </w:rPr>
        <w:t>子</w:t>
      </w:r>
      <w:r>
        <w:rPr>
          <w:rFonts w:hAnsi="宋体"/>
          <w:szCs w:val="21"/>
        </w:rPr>
        <w:t>目的计量并经验收合格后，与总承包养护项目工程价款合并按季支付。</w:t>
      </w:r>
    </w:p>
    <w:p>
      <w:pPr>
        <w:spacing w:line="420" w:lineRule="exact"/>
        <w:ind w:firstLine="420" w:firstLineChars="200"/>
        <w:rPr>
          <w:szCs w:val="21"/>
        </w:rPr>
      </w:pPr>
      <w:r>
        <w:rPr>
          <w:szCs w:val="21"/>
        </w:rPr>
        <w:t>d</w:t>
      </w:r>
      <w:r>
        <w:rPr>
          <w:rFonts w:hint="eastAsia" w:hAnsi="宋体"/>
          <w:szCs w:val="21"/>
        </w:rPr>
        <w:t>．</w:t>
      </w:r>
      <w:r>
        <w:rPr>
          <w:rFonts w:hAnsi="宋体"/>
          <w:szCs w:val="21"/>
        </w:rPr>
        <w:t>承包人应填按季支付结账单报发包人审批。按季结算支付的中期支付证书应包括材料预付款按规定扣回的款额。</w:t>
      </w:r>
    </w:p>
    <w:p>
      <w:pPr>
        <w:spacing w:line="420" w:lineRule="exact"/>
        <w:ind w:firstLine="420" w:firstLineChars="200"/>
        <w:rPr>
          <w:szCs w:val="21"/>
        </w:rPr>
      </w:pPr>
      <w:r>
        <w:rPr>
          <w:szCs w:val="21"/>
        </w:rPr>
        <w:t>e</w:t>
      </w:r>
      <w:r>
        <w:rPr>
          <w:rFonts w:hint="eastAsia" w:hAnsi="宋体"/>
          <w:szCs w:val="21"/>
        </w:rPr>
        <w:t>．</w:t>
      </w:r>
      <w:r>
        <w:rPr>
          <w:rFonts w:hAnsi="宋体"/>
          <w:kern w:val="0"/>
          <w:szCs w:val="21"/>
        </w:rPr>
        <w:t>承包人应按月如实向发包人报送项目的农民工工资支付情况。承包人没有按时报送农民工工资支付情况的，发包人将暂缓支付当季应支付的工程价款。</w:t>
      </w:r>
    </w:p>
    <w:p>
      <w:pPr>
        <w:spacing w:line="420" w:lineRule="exact"/>
        <w:ind w:firstLine="420" w:firstLineChars="200"/>
        <w:rPr>
          <w:szCs w:val="21"/>
        </w:rPr>
      </w:pPr>
      <w:r>
        <w:rPr>
          <w:rFonts w:hint="eastAsia"/>
          <w:szCs w:val="21"/>
        </w:rPr>
        <w:t>（2）大中修养护工程价款的支付按以下办法进行：</w:t>
      </w:r>
    </w:p>
    <w:p>
      <w:pPr>
        <w:spacing w:line="420" w:lineRule="exact"/>
        <w:ind w:firstLine="420" w:firstLineChars="200"/>
        <w:rPr>
          <w:szCs w:val="21"/>
        </w:rPr>
      </w:pPr>
      <w:r>
        <w:rPr>
          <w:rFonts w:hint="eastAsia"/>
          <w:szCs w:val="21"/>
        </w:rPr>
        <w:t>如果该付款周期应结算的价款经扣留和扣回后的款额少于项目专用合同条款数据表中列明的进度付款证书的最低金额，则该付款周期监理人可不核证支付，上述款额将按付款周期结转，直至累计应支付的款额达到项目专用合同条款数据表中列明的进度付款证书的最低金额为止。</w:t>
      </w:r>
    </w:p>
    <w:p>
      <w:pPr>
        <w:spacing w:line="420" w:lineRule="exact"/>
        <w:ind w:firstLine="420" w:firstLineChars="200"/>
        <w:rPr>
          <w:szCs w:val="21"/>
        </w:rPr>
      </w:pPr>
      <w:r>
        <w:rPr>
          <w:rFonts w:hint="eastAsia"/>
          <w:szCs w:val="21"/>
        </w:rPr>
        <w:t>（3）发包人应在监理人收到进度付款申请单后的28天内，将进度应付款支付给承包人。发包人不按期支付的，按专用合同条款的约定支付逾期付款违约金。</w:t>
      </w:r>
    </w:p>
    <w:p>
      <w:pPr>
        <w:spacing w:line="420" w:lineRule="exact"/>
        <w:ind w:firstLine="420" w:firstLineChars="200"/>
        <w:rPr>
          <w:szCs w:val="21"/>
        </w:rPr>
      </w:pPr>
      <w:r>
        <w:rPr>
          <w:rFonts w:hint="eastAsia"/>
          <w:szCs w:val="21"/>
        </w:rPr>
        <w:t>发包人不按期支付的，按项目专用合同条款数据表中约定的利率向承包人支付逾期付款违约金。违约金计算基数为发包人的全部未付款额，时间从应付而未付该款额之日算起（不计复利）。</w:t>
      </w:r>
    </w:p>
    <w:p>
      <w:pPr>
        <w:spacing w:line="420" w:lineRule="exact"/>
        <w:ind w:firstLine="420" w:firstLineChars="200"/>
        <w:rPr>
          <w:szCs w:val="21"/>
        </w:rPr>
      </w:pPr>
      <w:r>
        <w:rPr>
          <w:rFonts w:hint="eastAsia"/>
          <w:szCs w:val="21"/>
        </w:rPr>
        <w:t>（4）监理人出具进度付款证书，不应视为监理人已同意、批准或接受了承包人完成的该部分工作。</w:t>
      </w:r>
    </w:p>
    <w:p>
      <w:pPr>
        <w:spacing w:line="420" w:lineRule="exact"/>
        <w:ind w:firstLine="420" w:firstLineChars="200"/>
        <w:rPr>
          <w:szCs w:val="21"/>
        </w:rPr>
      </w:pPr>
      <w:r>
        <w:rPr>
          <w:rFonts w:hint="eastAsia"/>
          <w:szCs w:val="21"/>
        </w:rPr>
        <w:t>（5）进度付款涉及政府投资资金的，按照国库集中支付等国家相关规定和专用合同条款的约定办理。</w:t>
      </w:r>
    </w:p>
    <w:p>
      <w:pPr>
        <w:spacing w:line="420" w:lineRule="exact"/>
        <w:ind w:firstLine="420" w:firstLineChars="200"/>
        <w:rPr>
          <w:szCs w:val="21"/>
        </w:rPr>
      </w:pPr>
      <w:r>
        <w:rPr>
          <w:rFonts w:hint="eastAsia"/>
          <w:szCs w:val="21"/>
        </w:rPr>
        <w:t xml:space="preserve">17.3.4  </w:t>
      </w:r>
      <w:r>
        <w:rPr>
          <w:rFonts w:hint="eastAsia" w:ascii="宋体" w:hAnsi="宋体"/>
          <w:szCs w:val="21"/>
        </w:rPr>
        <w:t>工程进度付款的修正</w:t>
      </w:r>
    </w:p>
    <w:p>
      <w:pPr>
        <w:spacing w:line="420" w:lineRule="exact"/>
        <w:ind w:firstLine="420" w:firstLineChars="200"/>
        <w:rPr>
          <w:szCs w:val="21"/>
        </w:rPr>
      </w:pPr>
      <w:r>
        <w:rPr>
          <w:rFonts w:hint="eastAsia"/>
          <w:szCs w:val="21"/>
        </w:rPr>
        <w:t>在对以往历次已签发的进度付款证书进行汇总和复核中发现错、漏或重复的，监理人有权予以修正，承包人也有权提出修正申请。经双方复核同意的修正，应在本次进度付款中支付或扣除。</w:t>
      </w:r>
    </w:p>
    <w:p>
      <w:pPr>
        <w:pStyle w:val="27"/>
        <w:spacing w:beforeLines="50" w:afterLines="50" w:line="420" w:lineRule="exact"/>
        <w:rPr>
          <w:sz w:val="21"/>
          <w:szCs w:val="21"/>
        </w:rPr>
      </w:pPr>
      <w:bookmarkStart w:id="4663" w:name="_Toc144974693"/>
      <w:bookmarkStart w:id="4664" w:name="_Toc152042501"/>
      <w:bookmarkStart w:id="4665" w:name="_Toc152045722"/>
      <w:bookmarkStart w:id="4666" w:name="_Toc23392"/>
      <w:bookmarkStart w:id="4667" w:name="_Toc14982"/>
      <w:bookmarkStart w:id="4668" w:name="_Toc288491601"/>
      <w:bookmarkStart w:id="4669" w:name="_Toc288546725"/>
      <w:bookmarkStart w:id="4670" w:name="_Toc31378"/>
      <w:bookmarkStart w:id="4671" w:name="_Toc9992"/>
      <w:bookmarkStart w:id="4672" w:name="_Toc237923901"/>
      <w:bookmarkStart w:id="4673" w:name="_Toc199"/>
      <w:bookmarkStart w:id="4674" w:name="_Toc179632740"/>
      <w:bookmarkStart w:id="4675" w:name="_Toc282779585"/>
      <w:bookmarkStart w:id="4676" w:name="_Toc283794273"/>
      <w:bookmarkStart w:id="4677" w:name="_Toc7496"/>
      <w:bookmarkStart w:id="4678" w:name="_Toc16070"/>
      <w:bookmarkStart w:id="4679" w:name="_Toc282779076"/>
      <w:bookmarkStart w:id="4680" w:name="_Toc31638"/>
      <w:bookmarkStart w:id="4681" w:name="_Toc287853425"/>
      <w:bookmarkStart w:id="4682" w:name="_Toc6953"/>
      <w:bookmarkStart w:id="4683" w:name="_Toc11224"/>
      <w:bookmarkStart w:id="4684" w:name="_Toc282787525"/>
      <w:bookmarkStart w:id="4685" w:name="_Toc8058"/>
      <w:r>
        <w:rPr>
          <w:rFonts w:hint="eastAsia"/>
          <w:b/>
          <w:sz w:val="21"/>
          <w:szCs w:val="21"/>
        </w:rPr>
        <w:t>17.4</w:t>
      </w:r>
      <w:bookmarkEnd w:id="4663"/>
      <w:bookmarkEnd w:id="4664"/>
      <w:bookmarkEnd w:id="4665"/>
      <w:r>
        <w:rPr>
          <w:rFonts w:hint="eastAsia"/>
          <w:sz w:val="21"/>
          <w:szCs w:val="21"/>
        </w:rPr>
        <w:t xml:space="preserve"> 质量保证金</w:t>
      </w:r>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p>
    <w:p>
      <w:pPr>
        <w:spacing w:line="420" w:lineRule="exact"/>
        <w:ind w:firstLine="420" w:firstLineChars="200"/>
        <w:rPr>
          <w:szCs w:val="21"/>
        </w:rPr>
      </w:pPr>
      <w:r>
        <w:rPr>
          <w:rFonts w:hint="eastAsia"/>
          <w:szCs w:val="21"/>
        </w:rPr>
        <w:t>17.4.1 监理人应从第一个付款周期开始，在发包人的进度付款中，按项目专用合同条款数据表规定的百分比扣留质量保证金，直至扣留的质量保证金总额达到项目专用合同条款数据表规定的限额为止。质量保证金的计算额度不包括预付款的支付以及扣回的金额。</w:t>
      </w:r>
    </w:p>
    <w:p>
      <w:pPr>
        <w:spacing w:line="420" w:lineRule="exact"/>
        <w:ind w:firstLine="420" w:firstLineChars="200"/>
        <w:rPr>
          <w:szCs w:val="21"/>
        </w:rPr>
      </w:pPr>
      <w:r>
        <w:rPr>
          <w:rFonts w:hint="eastAsia"/>
          <w:szCs w:val="21"/>
        </w:rPr>
        <w:t>17.4.2  在第1.1.4.5目约定的缺陷责任期满时，承包人向发包人申请到期应返还承包人剩余的质量保证金金额，发包人应在14天内会同承包人按照合同约定的内容核实承包人是否完成缺陷责任。如无异议，发包人应当在核实后将剩余保证金返还承包人。</w:t>
      </w:r>
    </w:p>
    <w:p>
      <w:pPr>
        <w:spacing w:line="420" w:lineRule="exact"/>
        <w:ind w:firstLine="420" w:firstLineChars="200"/>
        <w:rPr>
          <w:szCs w:val="21"/>
        </w:rPr>
      </w:pPr>
      <w:r>
        <w:rPr>
          <w:rFonts w:hint="eastAsia"/>
          <w:szCs w:val="21"/>
        </w:rPr>
        <w:t xml:space="preserve">17.4.3  在第1.1.4.5目约定的缺陷责任期满时，承包人没有完成缺陷责任的，发包人有权扣留与未履行责任剩余工作所需金额相应的质量保证金余额，并有权根据第19.3款约定要求延长缺陷责任期，直至完成剩余工作为止。 </w:t>
      </w:r>
    </w:p>
    <w:p>
      <w:pPr>
        <w:pStyle w:val="27"/>
        <w:spacing w:beforeLines="50" w:afterLines="50" w:line="420" w:lineRule="exact"/>
        <w:rPr>
          <w:sz w:val="21"/>
          <w:szCs w:val="21"/>
        </w:rPr>
      </w:pPr>
      <w:bookmarkStart w:id="4686" w:name="_Toc29972"/>
      <w:bookmarkStart w:id="4687" w:name="_Toc288491602"/>
      <w:bookmarkStart w:id="4688" w:name="_Toc287853426"/>
      <w:bookmarkStart w:id="4689" w:name="_Toc152042502"/>
      <w:bookmarkStart w:id="4690" w:name="_Toc10461"/>
      <w:bookmarkStart w:id="4691" w:name="_Toc391"/>
      <w:bookmarkStart w:id="4692" w:name="_Toc282779077"/>
      <w:bookmarkStart w:id="4693" w:name="_Toc179632741"/>
      <w:bookmarkStart w:id="4694" w:name="_Toc22437"/>
      <w:bookmarkStart w:id="4695" w:name="_Toc3131"/>
      <w:bookmarkStart w:id="4696" w:name="_Toc66"/>
      <w:bookmarkStart w:id="4697" w:name="_Toc14015"/>
      <w:bookmarkStart w:id="4698" w:name="_Toc27079"/>
      <w:bookmarkStart w:id="4699" w:name="_Toc24061"/>
      <w:bookmarkStart w:id="4700" w:name="_Toc283794274"/>
      <w:bookmarkStart w:id="4701" w:name="_Toc8355"/>
      <w:bookmarkStart w:id="4702" w:name="_Toc288546726"/>
      <w:bookmarkStart w:id="4703" w:name="_Toc237923902"/>
      <w:bookmarkStart w:id="4704" w:name="_Toc282779586"/>
      <w:bookmarkStart w:id="4705" w:name="_Toc282787526"/>
      <w:bookmarkStart w:id="4706" w:name="_Toc144974694"/>
      <w:bookmarkStart w:id="4707" w:name="_Toc5571"/>
      <w:bookmarkStart w:id="4708" w:name="_Toc152045723"/>
      <w:r>
        <w:rPr>
          <w:rFonts w:hint="eastAsia"/>
          <w:b/>
          <w:sz w:val="21"/>
          <w:szCs w:val="21"/>
        </w:rPr>
        <w:t>17.5</w:t>
      </w:r>
      <w:r>
        <w:rPr>
          <w:rFonts w:hint="eastAsia"/>
          <w:sz w:val="21"/>
          <w:szCs w:val="21"/>
        </w:rPr>
        <w:t xml:space="preserve">  交（竣）工结算</w:t>
      </w:r>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p>
    <w:p>
      <w:pPr>
        <w:spacing w:line="420" w:lineRule="exact"/>
        <w:ind w:firstLine="420" w:firstLineChars="200"/>
        <w:rPr>
          <w:rFonts w:ascii="宋体" w:hAnsi="宋体"/>
          <w:szCs w:val="21"/>
        </w:rPr>
      </w:pPr>
      <w:r>
        <w:rPr>
          <w:rFonts w:hint="eastAsia"/>
          <w:szCs w:val="21"/>
        </w:rPr>
        <w:t xml:space="preserve">17.5.1  </w:t>
      </w:r>
      <w:r>
        <w:rPr>
          <w:rFonts w:hint="eastAsia" w:ascii="宋体" w:hAnsi="宋体"/>
          <w:szCs w:val="21"/>
        </w:rPr>
        <w:t>交工付款申请单（适用于小修保养工程）</w:t>
      </w:r>
    </w:p>
    <w:p>
      <w:pPr>
        <w:spacing w:line="420" w:lineRule="exact"/>
        <w:ind w:firstLine="420" w:firstLineChars="200"/>
        <w:rPr>
          <w:szCs w:val="21"/>
        </w:rPr>
      </w:pPr>
      <w:r>
        <w:rPr>
          <w:rFonts w:hint="eastAsia"/>
          <w:szCs w:val="21"/>
        </w:rPr>
        <w:t>（1）承包人向监理人提交交工付款申请单（包括相关证明材料）的份数在项目专用合同条款数据表中约定；期限：交工验收证书签发后42天内。</w:t>
      </w:r>
    </w:p>
    <w:p>
      <w:pPr>
        <w:spacing w:line="420" w:lineRule="exact"/>
        <w:ind w:firstLine="420" w:firstLineChars="200"/>
        <w:rPr>
          <w:szCs w:val="21"/>
        </w:rPr>
      </w:pPr>
      <w:r>
        <w:rPr>
          <w:rFonts w:hint="eastAsia"/>
          <w:szCs w:val="21"/>
        </w:rPr>
        <w:t>（2）工程接收证书颁发后，承包人应按专用合同条款约定的份数和期限向监理人提交工付款申请单，并提供相关证明材料。除专用合同条款另有约定外，交工付款申请单应包括下列内容：交工结算合同总价、发包人已支付承包人的工程价款、应扣留的质量保证金、应支付的交工付款金额。</w:t>
      </w:r>
    </w:p>
    <w:p>
      <w:pPr>
        <w:spacing w:line="420" w:lineRule="exact"/>
        <w:ind w:firstLine="420" w:firstLineChars="200"/>
        <w:rPr>
          <w:szCs w:val="21"/>
        </w:rPr>
      </w:pPr>
      <w:r>
        <w:rPr>
          <w:rFonts w:hint="eastAsia"/>
          <w:szCs w:val="21"/>
        </w:rPr>
        <w:t>（3）监理人对交工付款申请单有异议的，有权要求承包人进行修正和提供补充资料。经监理人和承包人协商后，由承包人向监理人提交修正后的交工付款申请单。</w:t>
      </w:r>
    </w:p>
    <w:p>
      <w:pPr>
        <w:spacing w:line="420" w:lineRule="exact"/>
        <w:ind w:firstLine="420" w:firstLineChars="200"/>
        <w:rPr>
          <w:rFonts w:ascii="宋体" w:hAnsi="宋体"/>
          <w:szCs w:val="21"/>
        </w:rPr>
      </w:pPr>
      <w:r>
        <w:rPr>
          <w:rFonts w:hint="eastAsia"/>
          <w:szCs w:val="21"/>
        </w:rPr>
        <w:t xml:space="preserve">17.5.1  </w:t>
      </w:r>
      <w:r>
        <w:rPr>
          <w:rFonts w:hint="eastAsia" w:ascii="宋体" w:hAnsi="宋体"/>
          <w:szCs w:val="21"/>
        </w:rPr>
        <w:t>竣工付款申请单（适用大中修养护工程）</w:t>
      </w:r>
    </w:p>
    <w:p>
      <w:pPr>
        <w:spacing w:line="420" w:lineRule="exact"/>
        <w:ind w:firstLine="420" w:firstLineChars="200"/>
        <w:rPr>
          <w:szCs w:val="21"/>
        </w:rPr>
      </w:pPr>
      <w:r>
        <w:rPr>
          <w:rFonts w:hint="eastAsia"/>
          <w:szCs w:val="21"/>
        </w:rPr>
        <w:t>（1）工程接收证书颁发后，承包人应按专用合同条款约定的份数和期限向监理人提交竣工付款申请单，并提供相关证明材料。除专用合同条款另有约定外，竣工付款申请单应包括下列内容：竣工结算合同总价、发包人已支付承包人的工程价款、应扣留的质量保证金、应支付的竣工付款金额。</w:t>
      </w:r>
    </w:p>
    <w:p>
      <w:pPr>
        <w:spacing w:line="420" w:lineRule="exact"/>
        <w:ind w:firstLine="420" w:firstLineChars="200"/>
        <w:rPr>
          <w:szCs w:val="21"/>
        </w:rPr>
      </w:pPr>
      <w:r>
        <w:rPr>
          <w:rFonts w:hint="eastAsia"/>
          <w:szCs w:val="21"/>
        </w:rPr>
        <w:t>（2）监理人对竣工付款申请单有异议的，有权要求承包人进行修正和提供补充资料。经监理人和承包人协商后，由承包人向监理人提交修正后的竣工付款申请单。</w:t>
      </w:r>
    </w:p>
    <w:p>
      <w:pPr>
        <w:spacing w:line="420" w:lineRule="exact"/>
        <w:ind w:firstLine="420" w:firstLineChars="200"/>
        <w:rPr>
          <w:szCs w:val="21"/>
        </w:rPr>
      </w:pPr>
      <w:r>
        <w:rPr>
          <w:rFonts w:hint="eastAsia"/>
          <w:szCs w:val="21"/>
        </w:rPr>
        <w:t xml:space="preserve">17.5.2 </w:t>
      </w:r>
      <w:r>
        <w:rPr>
          <w:rFonts w:hint="eastAsia" w:ascii="宋体" w:hAnsi="宋体"/>
          <w:szCs w:val="21"/>
        </w:rPr>
        <w:t xml:space="preserve"> 竣工付款证书及支付时间</w:t>
      </w:r>
    </w:p>
    <w:p>
      <w:pPr>
        <w:spacing w:line="420" w:lineRule="exact"/>
        <w:ind w:firstLine="420" w:firstLineChars="200"/>
        <w:rPr>
          <w:szCs w:val="21"/>
        </w:rPr>
      </w:pPr>
      <w:r>
        <w:rPr>
          <w:rFonts w:hint="eastAsia"/>
          <w:szCs w:val="21"/>
        </w:rPr>
        <w:t>（1）监理人在收到承包人提交的竣工付款申请单后的14天内完成核查，提出发包人到期应支付给承包人的价款送发包人审核并抄送承包人。发包人应在收到后14天内审核完毕，由监理人向承包人出具经发包人签认的竣工付款证书。监理人未在约定时间内核查，又未提出具体意见的，视为承包人提交的竣工付款申请单已经监理人核查同意；发包人未在约定时间内审核又未提出具体意见的，监理人提出发包人到期应支付给承包人的价款视为已经发包人同意。</w:t>
      </w:r>
    </w:p>
    <w:p>
      <w:pPr>
        <w:spacing w:line="420" w:lineRule="exact"/>
        <w:ind w:firstLine="420" w:firstLineChars="200"/>
        <w:rPr>
          <w:szCs w:val="21"/>
        </w:rPr>
      </w:pPr>
      <w:r>
        <w:rPr>
          <w:rFonts w:hint="eastAsia"/>
          <w:szCs w:val="21"/>
        </w:rPr>
        <w:t>（2）发包人应在监理人出具竣工付款证书后的14天内，将应支付款支付给承包人。发包人不按期支付的，按第17.3.3（2）目的约定，将逾期付款违约金支付给承包人。</w:t>
      </w:r>
    </w:p>
    <w:p>
      <w:pPr>
        <w:spacing w:line="420" w:lineRule="exact"/>
        <w:ind w:firstLine="420" w:firstLineChars="200"/>
        <w:rPr>
          <w:szCs w:val="21"/>
        </w:rPr>
      </w:pPr>
      <w:r>
        <w:rPr>
          <w:rFonts w:hint="eastAsia"/>
          <w:szCs w:val="21"/>
        </w:rPr>
        <w:t>（3）承包人对发包人签认的竣工付款证书有异议的，发包人可出具竣工付款申请单中承包人已同意部分的临时付款证书。存在争议的部分，按第24条的约定办理。</w:t>
      </w:r>
    </w:p>
    <w:p>
      <w:pPr>
        <w:spacing w:line="420" w:lineRule="exact"/>
        <w:ind w:firstLine="420" w:firstLineChars="200"/>
        <w:rPr>
          <w:szCs w:val="21"/>
        </w:rPr>
      </w:pPr>
      <w:r>
        <w:rPr>
          <w:rFonts w:hint="eastAsia"/>
          <w:szCs w:val="21"/>
        </w:rPr>
        <w:t>（4）竣工付款涉及政府投资资金的，按第17.3.3（4）目的约定办理。</w:t>
      </w:r>
    </w:p>
    <w:p>
      <w:pPr>
        <w:pStyle w:val="27"/>
        <w:spacing w:beforeLines="50" w:afterLines="50" w:line="420" w:lineRule="exact"/>
        <w:rPr>
          <w:sz w:val="21"/>
          <w:szCs w:val="21"/>
        </w:rPr>
      </w:pPr>
      <w:bookmarkStart w:id="4709" w:name="_Toc287853427"/>
      <w:bookmarkStart w:id="4710" w:name="_Toc11890"/>
      <w:bookmarkStart w:id="4711" w:name="_Toc288546727"/>
      <w:bookmarkStart w:id="4712" w:name="_Toc27264"/>
      <w:bookmarkStart w:id="4713" w:name="_Toc179632742"/>
      <w:bookmarkStart w:id="4714" w:name="_Toc282779078"/>
      <w:bookmarkStart w:id="4715" w:name="_Toc13286"/>
      <w:bookmarkStart w:id="4716" w:name="_Toc24580"/>
      <w:bookmarkStart w:id="4717" w:name="_Toc237923903"/>
      <w:bookmarkStart w:id="4718" w:name="_Toc32451"/>
      <w:bookmarkStart w:id="4719" w:name="_Toc283794275"/>
      <w:bookmarkStart w:id="4720" w:name="_Toc152042503"/>
      <w:bookmarkStart w:id="4721" w:name="_Toc14907"/>
      <w:bookmarkStart w:id="4722" w:name="_Toc18659"/>
      <w:bookmarkStart w:id="4723" w:name="_Toc152045724"/>
      <w:bookmarkStart w:id="4724" w:name="_Toc16932"/>
      <w:bookmarkStart w:id="4725" w:name="_Toc20201"/>
      <w:bookmarkStart w:id="4726" w:name="_Toc288491603"/>
      <w:bookmarkStart w:id="4727" w:name="_Toc6699"/>
      <w:bookmarkStart w:id="4728" w:name="_Toc929"/>
      <w:bookmarkStart w:id="4729" w:name="_Toc144974695"/>
      <w:bookmarkStart w:id="4730" w:name="_Toc282787527"/>
      <w:bookmarkStart w:id="4731" w:name="_Toc282779587"/>
      <w:r>
        <w:rPr>
          <w:rFonts w:hint="eastAsia"/>
          <w:b/>
          <w:sz w:val="21"/>
          <w:szCs w:val="21"/>
        </w:rPr>
        <w:t>17.6</w:t>
      </w:r>
      <w:r>
        <w:rPr>
          <w:rFonts w:hint="eastAsia"/>
          <w:sz w:val="21"/>
          <w:szCs w:val="21"/>
        </w:rPr>
        <w:t xml:space="preserve">  最终结清</w:t>
      </w:r>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p>
    <w:p>
      <w:pPr>
        <w:spacing w:line="420" w:lineRule="exact"/>
        <w:ind w:firstLine="420" w:firstLineChars="200"/>
        <w:rPr>
          <w:rFonts w:ascii="宋体" w:hAnsi="宋体"/>
          <w:szCs w:val="21"/>
        </w:rPr>
      </w:pPr>
      <w:r>
        <w:rPr>
          <w:rFonts w:hint="eastAsia"/>
          <w:szCs w:val="21"/>
        </w:rPr>
        <w:t xml:space="preserve">17.6.1  </w:t>
      </w:r>
      <w:r>
        <w:rPr>
          <w:rFonts w:hint="eastAsia" w:ascii="宋体" w:hAnsi="宋体"/>
          <w:szCs w:val="21"/>
        </w:rPr>
        <w:t>最终结清申请单</w:t>
      </w:r>
    </w:p>
    <w:p>
      <w:pPr>
        <w:spacing w:line="420" w:lineRule="exact"/>
        <w:ind w:firstLine="420" w:firstLineChars="200"/>
        <w:rPr>
          <w:szCs w:val="21"/>
        </w:rPr>
      </w:pPr>
      <w:r>
        <w:rPr>
          <w:rFonts w:hint="eastAsia"/>
          <w:szCs w:val="21"/>
        </w:rPr>
        <w:t>（1）缺陷责任期终止证书签发后，承包人可按专用合同条款约定的份数和期限向监理人提交最终结清申请单，并提供相关证明材料。</w:t>
      </w:r>
    </w:p>
    <w:p>
      <w:pPr>
        <w:spacing w:line="420" w:lineRule="exact"/>
        <w:ind w:firstLine="420" w:firstLineChars="200"/>
        <w:rPr>
          <w:szCs w:val="21"/>
        </w:rPr>
      </w:pPr>
      <w:r>
        <w:rPr>
          <w:rFonts w:hint="eastAsia"/>
          <w:szCs w:val="21"/>
        </w:rPr>
        <w:t>承包人向监理人提交最终结清申请单（包括相关证明材料）的份数在项目专用合同条款数据表中约定；期限：缺陷责任期终止证书签发后28天内。</w:t>
      </w:r>
    </w:p>
    <w:p>
      <w:pPr>
        <w:spacing w:line="420" w:lineRule="exact"/>
        <w:ind w:firstLine="420" w:firstLineChars="200"/>
        <w:rPr>
          <w:szCs w:val="21"/>
        </w:rPr>
      </w:pPr>
      <w:r>
        <w:rPr>
          <w:rFonts w:hint="eastAsia"/>
          <w:szCs w:val="21"/>
        </w:rPr>
        <w:t>最终结清申请单中的总金额应认为是代表了根据合同规定应付给承包人的全部款项的最后结算。</w:t>
      </w:r>
    </w:p>
    <w:p>
      <w:pPr>
        <w:spacing w:line="420" w:lineRule="exact"/>
        <w:ind w:firstLine="420" w:firstLineChars="200"/>
        <w:rPr>
          <w:szCs w:val="21"/>
        </w:rPr>
      </w:pPr>
      <w:r>
        <w:rPr>
          <w:rFonts w:hint="eastAsia"/>
          <w:szCs w:val="21"/>
        </w:rPr>
        <w:t>（2）发包人对最终结清申请单内容有异议的，有权要求承包人进行修正和提供补充资料，由承包人向监理人提交修正后的最终结清申请单。</w:t>
      </w:r>
    </w:p>
    <w:p>
      <w:pPr>
        <w:spacing w:line="420" w:lineRule="exact"/>
        <w:ind w:firstLine="420" w:firstLineChars="200"/>
        <w:rPr>
          <w:rFonts w:ascii="宋体" w:hAnsi="宋体"/>
          <w:szCs w:val="21"/>
        </w:rPr>
      </w:pPr>
      <w:r>
        <w:rPr>
          <w:rFonts w:hint="eastAsia"/>
          <w:szCs w:val="21"/>
        </w:rPr>
        <w:t xml:space="preserve">17.6.2 </w:t>
      </w:r>
      <w:r>
        <w:rPr>
          <w:rFonts w:hint="eastAsia" w:ascii="宋体" w:hAnsi="宋体"/>
          <w:szCs w:val="21"/>
        </w:rPr>
        <w:t xml:space="preserve"> 最终结清证书和支付时间</w:t>
      </w:r>
    </w:p>
    <w:p>
      <w:pPr>
        <w:spacing w:line="420" w:lineRule="exact"/>
        <w:ind w:firstLine="420" w:firstLineChars="200"/>
        <w:rPr>
          <w:szCs w:val="21"/>
        </w:rPr>
      </w:pPr>
      <w:r>
        <w:rPr>
          <w:rFonts w:hint="eastAsia"/>
          <w:szCs w:val="21"/>
        </w:rPr>
        <w:t>（1）监理人收到承包人提交的最终结清申请单后的14天内，提出发包人应支付给承包人的价款送发包人审核并抄送承包人。发包人应在收到后14天内审核完毕，由监理人向承包人出具经发包人签认的最终结清证书。监理人未在约定时间内核查，又未提出具体意见的，视为承包人提交的最终结清申请已经监理人核查同意；发包人未在约定时间内审核又未提出具体意见的，监理人提出应支付给承包人的价款视为已经发包人同意。</w:t>
      </w:r>
    </w:p>
    <w:p>
      <w:pPr>
        <w:spacing w:line="420" w:lineRule="exact"/>
        <w:ind w:firstLine="420" w:firstLineChars="200"/>
        <w:rPr>
          <w:szCs w:val="21"/>
        </w:rPr>
      </w:pPr>
      <w:r>
        <w:rPr>
          <w:rFonts w:hint="eastAsia"/>
          <w:szCs w:val="21"/>
        </w:rPr>
        <w:t>（2）发包人应在监理人出具最终结清证书后的14天内，将应支付款支付给承包人。发包人不按期支付的，按第17.3.3（2）目的约定，将逾期付款违约金支付给承包人。</w:t>
      </w:r>
    </w:p>
    <w:p>
      <w:pPr>
        <w:spacing w:line="420" w:lineRule="exact"/>
        <w:ind w:firstLine="420" w:firstLineChars="200"/>
        <w:rPr>
          <w:szCs w:val="21"/>
        </w:rPr>
      </w:pPr>
      <w:r>
        <w:rPr>
          <w:rFonts w:hint="eastAsia"/>
          <w:szCs w:val="21"/>
        </w:rPr>
        <w:t>（3）承包人对发包人签认的最终结清证书有异议的，按第24条的约定办理。</w:t>
      </w:r>
    </w:p>
    <w:p>
      <w:pPr>
        <w:spacing w:line="420" w:lineRule="exact"/>
        <w:ind w:firstLine="420" w:firstLineChars="200"/>
        <w:rPr>
          <w:szCs w:val="21"/>
        </w:rPr>
      </w:pPr>
      <w:r>
        <w:rPr>
          <w:rFonts w:hint="eastAsia"/>
          <w:szCs w:val="21"/>
        </w:rPr>
        <w:t>（4）最终结清付款涉及政府投资资金的，按第17.3.3（4）目的约定办理。</w:t>
      </w:r>
    </w:p>
    <w:p>
      <w:pPr>
        <w:pStyle w:val="28"/>
        <w:spacing w:beforeLines="50" w:afterLines="50" w:line="420" w:lineRule="exact"/>
        <w:rPr>
          <w:szCs w:val="28"/>
        </w:rPr>
      </w:pPr>
      <w:bookmarkStart w:id="4732" w:name="_Toc288491604"/>
      <w:bookmarkStart w:id="4733" w:name="_Toc25368"/>
      <w:bookmarkStart w:id="4734" w:name="_Toc21814"/>
      <w:bookmarkStart w:id="4735" w:name="_Toc282779588"/>
      <w:bookmarkStart w:id="4736" w:name="_Toc179632743"/>
      <w:bookmarkStart w:id="4737" w:name="_Toc287853428"/>
      <w:bookmarkStart w:id="4738" w:name="_Toc283794276"/>
      <w:bookmarkStart w:id="4739" w:name="_Toc5359"/>
      <w:bookmarkStart w:id="4740" w:name="_Toc3915"/>
      <w:bookmarkStart w:id="4741" w:name="_Toc20013"/>
      <w:bookmarkStart w:id="4742" w:name="_Toc7689"/>
      <w:bookmarkStart w:id="4743" w:name="_Toc15170"/>
      <w:bookmarkStart w:id="4744" w:name="_Toc288546728"/>
      <w:bookmarkStart w:id="4745" w:name="_Toc144974696"/>
      <w:bookmarkStart w:id="4746" w:name="_Toc237923904"/>
      <w:bookmarkStart w:id="4747" w:name="_Toc152045725"/>
      <w:bookmarkStart w:id="4748" w:name="_Toc152042504"/>
      <w:bookmarkStart w:id="4749" w:name="_Toc9258"/>
      <w:bookmarkStart w:id="4750" w:name="_Toc282787528"/>
      <w:bookmarkStart w:id="4751" w:name="_Toc282779079"/>
      <w:bookmarkStart w:id="4752" w:name="_Toc30132"/>
      <w:bookmarkStart w:id="4753" w:name="_Toc5660"/>
      <w:bookmarkStart w:id="4754" w:name="_Toc4913"/>
      <w:r>
        <w:rPr>
          <w:rFonts w:hint="eastAsia"/>
          <w:szCs w:val="28"/>
        </w:rPr>
        <w:t>18．交（竣）工验收</w:t>
      </w:r>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p>
    <w:p>
      <w:pPr>
        <w:pStyle w:val="27"/>
        <w:spacing w:beforeLines="50" w:afterLines="50" w:line="420" w:lineRule="exact"/>
        <w:rPr>
          <w:sz w:val="21"/>
          <w:szCs w:val="21"/>
        </w:rPr>
      </w:pPr>
      <w:bookmarkStart w:id="4755" w:name="_Toc179632744"/>
      <w:bookmarkStart w:id="4756" w:name="_Toc152042505"/>
      <w:bookmarkStart w:id="4757" w:name="_Toc5779"/>
      <w:bookmarkStart w:id="4758" w:name="_Toc18512"/>
      <w:bookmarkStart w:id="4759" w:name="_Toc25650"/>
      <w:bookmarkStart w:id="4760" w:name="_Toc17661"/>
      <w:bookmarkStart w:id="4761" w:name="_Toc283794277"/>
      <w:bookmarkStart w:id="4762" w:name="_Toc12397"/>
      <w:bookmarkStart w:id="4763" w:name="_Toc15896"/>
      <w:bookmarkStart w:id="4764" w:name="_Toc237923905"/>
      <w:bookmarkStart w:id="4765" w:name="_Toc26441"/>
      <w:bookmarkStart w:id="4766" w:name="_Toc282779589"/>
      <w:bookmarkStart w:id="4767" w:name="_Toc288491605"/>
      <w:bookmarkStart w:id="4768" w:name="_Toc282779080"/>
      <w:bookmarkStart w:id="4769" w:name="_Toc29921"/>
      <w:bookmarkStart w:id="4770" w:name="_Toc287853429"/>
      <w:bookmarkStart w:id="4771" w:name="_Toc152045726"/>
      <w:bookmarkStart w:id="4772" w:name="_Toc21716"/>
      <w:bookmarkStart w:id="4773" w:name="_Toc144974697"/>
      <w:bookmarkStart w:id="4774" w:name="_Toc28511"/>
      <w:bookmarkStart w:id="4775" w:name="_Toc23284"/>
      <w:bookmarkStart w:id="4776" w:name="_Toc288546729"/>
      <w:bookmarkStart w:id="4777" w:name="_Toc282787529"/>
      <w:r>
        <w:rPr>
          <w:rFonts w:hint="eastAsia"/>
          <w:b/>
          <w:sz w:val="21"/>
          <w:szCs w:val="21"/>
        </w:rPr>
        <w:t>18.1</w:t>
      </w:r>
      <w:r>
        <w:rPr>
          <w:rFonts w:hint="eastAsia"/>
          <w:sz w:val="21"/>
          <w:szCs w:val="21"/>
        </w:rPr>
        <w:t xml:space="preserve">  交（竣）工验收的含义</w:t>
      </w:r>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p>
    <w:p>
      <w:pPr>
        <w:spacing w:line="420" w:lineRule="exact"/>
        <w:ind w:firstLine="420" w:firstLineChars="200"/>
        <w:rPr>
          <w:szCs w:val="21"/>
        </w:rPr>
      </w:pPr>
      <w:r>
        <w:rPr>
          <w:rFonts w:hint="eastAsia"/>
          <w:szCs w:val="21"/>
        </w:rPr>
        <w:t>18.1.1  交（竣）工验收指承包人完成了全部合同工作后，发包人按合同要求进行的验收。</w:t>
      </w:r>
    </w:p>
    <w:p>
      <w:pPr>
        <w:spacing w:line="420" w:lineRule="exact"/>
        <w:ind w:firstLine="420" w:firstLineChars="200"/>
        <w:rPr>
          <w:szCs w:val="21"/>
        </w:rPr>
      </w:pPr>
      <w:r>
        <w:rPr>
          <w:rFonts w:hint="eastAsia"/>
          <w:szCs w:val="21"/>
        </w:rPr>
        <w:t>18.1.2  国家验收是政府有关部门根据法律、规范、规程和政策要求，针对发包人全面组织实施的整个工程正式交付投运前的验收。</w:t>
      </w:r>
    </w:p>
    <w:p>
      <w:pPr>
        <w:spacing w:line="420" w:lineRule="exact"/>
        <w:ind w:firstLine="420" w:firstLineChars="200"/>
        <w:rPr>
          <w:szCs w:val="21"/>
        </w:rPr>
      </w:pPr>
      <w:r>
        <w:rPr>
          <w:rFonts w:hint="eastAsia"/>
          <w:szCs w:val="21"/>
        </w:rPr>
        <w:t xml:space="preserve">18.1.3  </w:t>
      </w:r>
      <w:r>
        <w:rPr>
          <w:rFonts w:ascii="ˎ̥" w:hAnsi="ˎ̥"/>
          <w:szCs w:val="21"/>
        </w:rPr>
        <w:t>小</w:t>
      </w:r>
      <w:r>
        <w:rPr>
          <w:rFonts w:hint="eastAsia" w:ascii="ˎ̥" w:hAnsi="ˎ̥"/>
          <w:szCs w:val="21"/>
        </w:rPr>
        <w:t>修保养工程的</w:t>
      </w:r>
      <w:r>
        <w:rPr>
          <w:rFonts w:ascii="ˎ̥" w:hAnsi="ˎ̥"/>
          <w:szCs w:val="21"/>
        </w:rPr>
        <w:t>养护项目，经</w:t>
      </w:r>
      <w:r>
        <w:rPr>
          <w:rFonts w:hint="eastAsia" w:ascii="ˎ̥" w:hAnsi="ˎ̥"/>
          <w:szCs w:val="21"/>
        </w:rPr>
        <w:t>公路养护</w:t>
      </w:r>
      <w:r>
        <w:rPr>
          <w:rFonts w:ascii="ˎ̥" w:hAnsi="ˎ̥"/>
          <w:szCs w:val="21"/>
        </w:rPr>
        <w:t>主</w:t>
      </w:r>
      <w:r>
        <w:rPr>
          <w:rFonts w:hint="eastAsia" w:ascii="ˎ̥" w:hAnsi="ˎ̥"/>
          <w:szCs w:val="21"/>
        </w:rPr>
        <w:t>管部门</w:t>
      </w:r>
      <w:r>
        <w:rPr>
          <w:rFonts w:ascii="ˎ̥" w:hAnsi="ˎ̥"/>
          <w:szCs w:val="21"/>
        </w:rPr>
        <w:t>批准可交竣工合并为一次</w:t>
      </w:r>
      <w:r>
        <w:rPr>
          <w:rFonts w:hint="eastAsia" w:ascii="ˎ̥" w:hAnsi="ˎ̥"/>
          <w:szCs w:val="21"/>
        </w:rPr>
        <w:t>交</w:t>
      </w:r>
      <w:r>
        <w:rPr>
          <w:rFonts w:ascii="ˎ̥" w:hAnsi="ˎ̥"/>
          <w:szCs w:val="21"/>
        </w:rPr>
        <w:t>工验收。</w:t>
      </w:r>
    </w:p>
    <w:p>
      <w:pPr>
        <w:pStyle w:val="27"/>
        <w:spacing w:beforeLines="50" w:afterLines="50" w:line="420" w:lineRule="exact"/>
        <w:rPr>
          <w:sz w:val="21"/>
          <w:szCs w:val="21"/>
        </w:rPr>
      </w:pPr>
      <w:bookmarkStart w:id="4778" w:name="_Toc152042506"/>
      <w:bookmarkStart w:id="4779" w:name="_Toc19432"/>
      <w:bookmarkStart w:id="4780" w:name="_Toc237923906"/>
      <w:bookmarkStart w:id="4781" w:name="_Toc988"/>
      <w:bookmarkStart w:id="4782" w:name="_Toc6231"/>
      <w:bookmarkStart w:id="4783" w:name="_Toc21555"/>
      <w:bookmarkStart w:id="4784" w:name="_Toc282779081"/>
      <w:bookmarkStart w:id="4785" w:name="_Toc27019"/>
      <w:bookmarkStart w:id="4786" w:name="_Toc179632745"/>
      <w:bookmarkStart w:id="4787" w:name="_Toc6923"/>
      <w:bookmarkStart w:id="4788" w:name="_Toc283794278"/>
      <w:bookmarkStart w:id="4789" w:name="_Toc288491606"/>
      <w:bookmarkStart w:id="4790" w:name="_Toc288546730"/>
      <w:bookmarkStart w:id="4791" w:name="_Toc152045727"/>
      <w:bookmarkStart w:id="4792" w:name="_Toc19075"/>
      <w:bookmarkStart w:id="4793" w:name="_Toc10064"/>
      <w:bookmarkStart w:id="4794" w:name="_Toc21479"/>
      <w:bookmarkStart w:id="4795" w:name="_Toc144974698"/>
      <w:bookmarkStart w:id="4796" w:name="_Toc282779590"/>
      <w:bookmarkStart w:id="4797" w:name="_Toc282787530"/>
      <w:bookmarkStart w:id="4798" w:name="_Toc29592"/>
      <w:bookmarkStart w:id="4799" w:name="_Toc23357"/>
      <w:bookmarkStart w:id="4800" w:name="_Toc287853430"/>
      <w:r>
        <w:rPr>
          <w:rFonts w:hint="eastAsia"/>
          <w:b/>
          <w:sz w:val="21"/>
          <w:szCs w:val="21"/>
        </w:rPr>
        <w:t>18.2</w:t>
      </w:r>
      <w:r>
        <w:rPr>
          <w:rFonts w:hint="eastAsia"/>
          <w:sz w:val="21"/>
          <w:szCs w:val="21"/>
        </w:rPr>
        <w:t xml:space="preserve">  交（竣）工验收申请报告</w:t>
      </w:r>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p>
    <w:p>
      <w:pPr>
        <w:spacing w:line="420" w:lineRule="exact"/>
        <w:ind w:firstLine="420" w:firstLineChars="200"/>
        <w:rPr>
          <w:szCs w:val="21"/>
        </w:rPr>
      </w:pPr>
      <w:r>
        <w:rPr>
          <w:rFonts w:hint="eastAsia"/>
          <w:szCs w:val="21"/>
        </w:rPr>
        <w:t>当工程具备以下条件时，承包人即可向监理人报送竣工验收申请报告：</w:t>
      </w:r>
    </w:p>
    <w:p>
      <w:pPr>
        <w:spacing w:line="420" w:lineRule="exact"/>
        <w:ind w:firstLine="359" w:firstLineChars="171"/>
        <w:rPr>
          <w:szCs w:val="21"/>
        </w:rPr>
      </w:pPr>
      <w:r>
        <w:rPr>
          <w:rFonts w:hint="eastAsia"/>
          <w:szCs w:val="21"/>
        </w:rPr>
        <w:t>（1）除监理人同意列入缺陷责任期内完成的尾工（甩项）工程和缺陷修补工作外，合同范围内的全部单位工程以及有关工作，包括合同要求的试验、试运行以及检验和验收均已完成，并符合合同要求；</w:t>
      </w:r>
    </w:p>
    <w:p>
      <w:pPr>
        <w:spacing w:line="420" w:lineRule="exact"/>
        <w:ind w:firstLine="359" w:firstLineChars="171"/>
        <w:rPr>
          <w:szCs w:val="21"/>
        </w:rPr>
      </w:pPr>
      <w:r>
        <w:rPr>
          <w:rFonts w:hint="eastAsia"/>
          <w:szCs w:val="21"/>
        </w:rPr>
        <w:t>（2）已按合同约定的内容和份数备齐了符合要求的竣工资料；</w:t>
      </w:r>
    </w:p>
    <w:p>
      <w:pPr>
        <w:spacing w:line="420" w:lineRule="exact"/>
        <w:ind w:firstLine="420" w:firstLineChars="200"/>
        <w:rPr>
          <w:szCs w:val="21"/>
        </w:rPr>
      </w:pPr>
      <w:r>
        <w:rPr>
          <w:rFonts w:hint="eastAsia"/>
          <w:szCs w:val="21"/>
        </w:rPr>
        <w:t>竣工资料的内容：承包人应按照《浙江省公路大中修工程交（竣）工文件编制办法（试行）》（浙江省公路管理局 浙公路［2005］51号）的规定，编制竣工图表和施工资料。</w:t>
      </w:r>
    </w:p>
    <w:p>
      <w:pPr>
        <w:spacing w:line="420" w:lineRule="exact"/>
        <w:ind w:firstLine="420" w:firstLineChars="200"/>
        <w:rPr>
          <w:szCs w:val="21"/>
        </w:rPr>
      </w:pPr>
      <w:r>
        <w:rPr>
          <w:rFonts w:hint="eastAsia"/>
          <w:szCs w:val="21"/>
        </w:rPr>
        <w:t>竣工资料的份数在项目专用合同条款数据表中约定。</w:t>
      </w:r>
    </w:p>
    <w:p>
      <w:pPr>
        <w:spacing w:line="420" w:lineRule="exact"/>
        <w:ind w:firstLine="359" w:firstLineChars="171"/>
        <w:rPr>
          <w:szCs w:val="21"/>
        </w:rPr>
      </w:pPr>
      <w:r>
        <w:rPr>
          <w:rFonts w:hint="eastAsia"/>
          <w:szCs w:val="21"/>
        </w:rPr>
        <w:t>（3）已按监理人的要求编制了在缺陷责任期内完成的尾工（甩项）工程和缺陷修补工作清单以及相应施工计划；</w:t>
      </w:r>
    </w:p>
    <w:p>
      <w:pPr>
        <w:spacing w:line="420" w:lineRule="exact"/>
        <w:ind w:firstLine="359" w:firstLineChars="171"/>
        <w:rPr>
          <w:szCs w:val="21"/>
        </w:rPr>
      </w:pPr>
      <w:r>
        <w:rPr>
          <w:rFonts w:hint="eastAsia"/>
          <w:szCs w:val="21"/>
        </w:rPr>
        <w:t>（4）监理人要求在竣工验收前应完成的其它工作；</w:t>
      </w:r>
    </w:p>
    <w:p>
      <w:pPr>
        <w:spacing w:line="420" w:lineRule="exact"/>
        <w:ind w:firstLine="359" w:firstLineChars="171"/>
        <w:rPr>
          <w:szCs w:val="21"/>
        </w:rPr>
      </w:pPr>
      <w:r>
        <w:rPr>
          <w:rFonts w:hint="eastAsia"/>
          <w:szCs w:val="21"/>
        </w:rPr>
        <w:t>（5）监理人要求提交的竣工验收资料清单。</w:t>
      </w:r>
    </w:p>
    <w:p>
      <w:pPr>
        <w:pStyle w:val="27"/>
        <w:spacing w:beforeLines="50" w:afterLines="50" w:line="420" w:lineRule="exact"/>
        <w:rPr>
          <w:sz w:val="21"/>
          <w:szCs w:val="21"/>
        </w:rPr>
      </w:pPr>
      <w:bookmarkStart w:id="4801" w:name="_Toc179632746"/>
      <w:bookmarkStart w:id="4802" w:name="_Toc152045728"/>
      <w:bookmarkStart w:id="4803" w:name="_Toc152042507"/>
      <w:bookmarkStart w:id="4804" w:name="_Toc16212"/>
      <w:bookmarkStart w:id="4805" w:name="_Toc288546731"/>
      <w:bookmarkStart w:id="4806" w:name="_Toc2631"/>
      <w:bookmarkStart w:id="4807" w:name="_Toc282787531"/>
      <w:bookmarkStart w:id="4808" w:name="_Toc10787"/>
      <w:bookmarkStart w:id="4809" w:name="_Toc283794279"/>
      <w:bookmarkStart w:id="4810" w:name="_Toc15426"/>
      <w:bookmarkStart w:id="4811" w:name="_Toc282779591"/>
      <w:bookmarkStart w:id="4812" w:name="_Toc287853431"/>
      <w:bookmarkStart w:id="4813" w:name="_Toc282779082"/>
      <w:bookmarkStart w:id="4814" w:name="_Toc27607"/>
      <w:bookmarkStart w:id="4815" w:name="_Toc31411"/>
      <w:bookmarkStart w:id="4816" w:name="_Toc32267"/>
      <w:bookmarkStart w:id="4817" w:name="_Toc7143"/>
      <w:bookmarkStart w:id="4818" w:name="_Toc237923907"/>
      <w:bookmarkStart w:id="4819" w:name="_Toc18808"/>
      <w:bookmarkStart w:id="4820" w:name="_Toc14851"/>
      <w:bookmarkStart w:id="4821" w:name="_Toc7573"/>
      <w:bookmarkStart w:id="4822" w:name="_Toc288491607"/>
      <w:bookmarkStart w:id="4823" w:name="_Toc144974699"/>
      <w:r>
        <w:rPr>
          <w:rFonts w:hint="eastAsia"/>
          <w:b/>
          <w:sz w:val="21"/>
          <w:szCs w:val="21"/>
        </w:rPr>
        <w:t>18.3</w:t>
      </w:r>
      <w:r>
        <w:rPr>
          <w:rFonts w:hint="eastAsia"/>
          <w:sz w:val="21"/>
          <w:szCs w:val="21"/>
        </w:rPr>
        <w:t xml:space="preserve">  验收</w:t>
      </w:r>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p>
    <w:p>
      <w:pPr>
        <w:spacing w:line="420" w:lineRule="exact"/>
        <w:ind w:firstLine="420" w:firstLineChars="200"/>
        <w:rPr>
          <w:szCs w:val="21"/>
        </w:rPr>
      </w:pPr>
      <w:r>
        <w:rPr>
          <w:rFonts w:hint="eastAsia"/>
          <w:szCs w:val="21"/>
        </w:rPr>
        <w:t>监理人收到承包人按第18.2款约定提交的竣工验收申请报告后，应审查申请报告的各项内容，并按以下不同情况进行处理。</w:t>
      </w:r>
    </w:p>
    <w:p>
      <w:pPr>
        <w:spacing w:line="420" w:lineRule="exact"/>
        <w:ind w:firstLine="420" w:firstLineChars="200"/>
        <w:rPr>
          <w:szCs w:val="21"/>
        </w:rPr>
      </w:pPr>
      <w:r>
        <w:rPr>
          <w:rFonts w:hint="eastAsia"/>
          <w:szCs w:val="21"/>
        </w:rPr>
        <w:t>18.3.1  监理人审查后认为尚不具备竣工验收条件的，应在收到竣工验收申请报告后的28天内通知承包人，指出在颁发接收证书前承包人还需进行的工作内容。承包人完成监理人通知的全部工作内容后，应再次提交竣工验收申请报告，直至监理人同意为止。</w:t>
      </w:r>
    </w:p>
    <w:p>
      <w:pPr>
        <w:spacing w:line="420" w:lineRule="exact"/>
        <w:ind w:firstLine="420" w:firstLineChars="200"/>
        <w:rPr>
          <w:szCs w:val="21"/>
        </w:rPr>
      </w:pPr>
      <w:r>
        <w:rPr>
          <w:rFonts w:hint="eastAsia"/>
          <w:szCs w:val="21"/>
        </w:rPr>
        <w:t>18.3.2  监理人审查后认为已具备竣工验收条件的，应在收到竣工验收申请报告后的28天内提请发包人进行工程验收。</w:t>
      </w:r>
    </w:p>
    <w:p>
      <w:pPr>
        <w:spacing w:line="420" w:lineRule="exact"/>
        <w:ind w:firstLine="420" w:firstLineChars="200"/>
        <w:rPr>
          <w:szCs w:val="21"/>
        </w:rPr>
      </w:pPr>
      <w:r>
        <w:rPr>
          <w:rFonts w:hint="eastAsia"/>
          <w:szCs w:val="21"/>
        </w:rPr>
        <w:t>交工验收由发包人主持，由发包人、监理人、质监、管理养护等有关部门代表组成交工验收小组，对本项目的养护工程质量进行评定，并写出交工验收报告报公路主管部门备案。承包人应按发包人的要求提交竣工资料，完成交工验收准备工作。</w:t>
      </w:r>
    </w:p>
    <w:p>
      <w:pPr>
        <w:spacing w:line="420" w:lineRule="exact"/>
        <w:ind w:firstLine="420" w:firstLineChars="200"/>
        <w:rPr>
          <w:szCs w:val="21"/>
        </w:rPr>
      </w:pPr>
      <w:r>
        <w:rPr>
          <w:rFonts w:hint="eastAsia"/>
          <w:szCs w:val="21"/>
        </w:rPr>
        <w:t>18.3.3  发包人经过验收后同意接受工程的，应在监理人收到交（竣）工验收申请报告后的56天内，由监理人向承包人出具经发包人签认的工程接收证书。发包人验收后同意接收工程但提出整修和完善要求的，限期修好，并颁发工程接收证书。整修和完善工作完成后，监理人复查达到要求的，经发包人同意后，再向承包人出具工程接收证书。</w:t>
      </w:r>
    </w:p>
    <w:p>
      <w:pPr>
        <w:spacing w:line="420" w:lineRule="exact"/>
        <w:ind w:firstLine="420" w:firstLineChars="200"/>
        <w:rPr>
          <w:szCs w:val="21"/>
        </w:rPr>
      </w:pPr>
      <w:r>
        <w:rPr>
          <w:rFonts w:hint="eastAsia"/>
          <w:szCs w:val="21"/>
        </w:rPr>
        <w:t>18.3.4  发包人验收后不同意接收工程的，监理人应按照发包人的验收意见发出指示，要求承包人对不合格工程认真返工重作或进行补救处理，并承担由此产生的费用。承包人在完成不合格工程的返工重作或补救工作后，应重新提交交（竣）工验收申请报告，按第18.3.1项、第18.3.2项和第18.3.3项的约定进行。</w:t>
      </w:r>
    </w:p>
    <w:p>
      <w:pPr>
        <w:spacing w:line="420" w:lineRule="exact"/>
        <w:ind w:firstLine="420" w:firstLineChars="200"/>
        <w:rPr>
          <w:szCs w:val="21"/>
        </w:rPr>
      </w:pPr>
      <w:r>
        <w:rPr>
          <w:rFonts w:hint="eastAsia"/>
          <w:szCs w:val="21"/>
        </w:rPr>
        <w:t>18.3.5  除专用合同条款另有约定外，经验收合格工程的实际交（竣）工日期，以提交交（竣）工验收申请报告的日期为准，并在工程接收证书中写明。</w:t>
      </w:r>
    </w:p>
    <w:p>
      <w:pPr>
        <w:spacing w:line="420" w:lineRule="exact"/>
        <w:ind w:firstLine="420" w:firstLineChars="200"/>
        <w:rPr>
          <w:szCs w:val="21"/>
        </w:rPr>
      </w:pPr>
      <w:r>
        <w:rPr>
          <w:rFonts w:hint="eastAsia"/>
          <w:szCs w:val="21"/>
        </w:rPr>
        <w:t>经验收合格工程的实际交工日期，以最终提交交工验收申请报告的日期为准，并在交工验收证书中写明。</w:t>
      </w:r>
    </w:p>
    <w:p>
      <w:pPr>
        <w:spacing w:line="420" w:lineRule="exact"/>
        <w:ind w:firstLine="420" w:firstLineChars="200"/>
        <w:rPr>
          <w:szCs w:val="21"/>
        </w:rPr>
      </w:pPr>
      <w:r>
        <w:rPr>
          <w:rFonts w:hint="eastAsia"/>
          <w:szCs w:val="21"/>
        </w:rPr>
        <w:t>18.3.6  发包人在收到承包人交（竣）工验收申请报告56天后未进行验收的，视为验收合格，实际竣工日期以提交交（竣）工验收申请报告的日期为准，但发包人由于不可抗力不能进行验收的除外。</w:t>
      </w:r>
    </w:p>
    <w:p>
      <w:pPr>
        <w:spacing w:line="420" w:lineRule="exact"/>
        <w:ind w:firstLine="420" w:firstLineChars="200"/>
        <w:rPr>
          <w:szCs w:val="21"/>
        </w:rPr>
      </w:pPr>
      <w:r>
        <w:rPr>
          <w:rFonts w:hint="eastAsia"/>
          <w:szCs w:val="21"/>
        </w:rPr>
        <w:t>18.3.7  组织办理交（竣）工验收和签发交（竣）工验收证书的费用由发包人承担。但按照第18.3.4项规定达不到合格标准的交（竣）工验收费用由承包人承担。</w:t>
      </w:r>
    </w:p>
    <w:p>
      <w:pPr>
        <w:pStyle w:val="27"/>
        <w:spacing w:beforeLines="50" w:afterLines="50" w:line="420" w:lineRule="exact"/>
        <w:rPr>
          <w:sz w:val="21"/>
          <w:szCs w:val="21"/>
        </w:rPr>
      </w:pPr>
      <w:bookmarkStart w:id="4824" w:name="_Toc179632747"/>
      <w:bookmarkStart w:id="4825" w:name="_Toc19375"/>
      <w:bookmarkStart w:id="4826" w:name="_Toc152042508"/>
      <w:bookmarkStart w:id="4827" w:name="_Toc237923908"/>
      <w:bookmarkStart w:id="4828" w:name="_Toc282787532"/>
      <w:bookmarkStart w:id="4829" w:name="_Toc282779083"/>
      <w:bookmarkStart w:id="4830" w:name="_Toc12568"/>
      <w:bookmarkStart w:id="4831" w:name="_Toc282779592"/>
      <w:bookmarkStart w:id="4832" w:name="_Toc20368"/>
      <w:bookmarkStart w:id="4833" w:name="_Toc144974700"/>
      <w:bookmarkStart w:id="4834" w:name="_Toc28253"/>
      <w:bookmarkStart w:id="4835" w:name="_Toc31636"/>
      <w:bookmarkStart w:id="4836" w:name="_Toc288546732"/>
      <w:bookmarkStart w:id="4837" w:name="_Toc283794280"/>
      <w:bookmarkStart w:id="4838" w:name="_Toc14807"/>
      <w:bookmarkStart w:id="4839" w:name="_Toc287853432"/>
      <w:bookmarkStart w:id="4840" w:name="_Toc15698"/>
      <w:bookmarkStart w:id="4841" w:name="_Toc288491608"/>
      <w:bookmarkStart w:id="4842" w:name="_Toc6219"/>
      <w:bookmarkStart w:id="4843" w:name="_Toc7616"/>
      <w:bookmarkStart w:id="4844" w:name="_Toc23486"/>
      <w:bookmarkStart w:id="4845" w:name="_Toc152045729"/>
      <w:bookmarkStart w:id="4846" w:name="_Toc4109"/>
      <w:r>
        <w:rPr>
          <w:rFonts w:hint="eastAsia"/>
          <w:b/>
          <w:sz w:val="21"/>
          <w:szCs w:val="21"/>
        </w:rPr>
        <w:t>18.4</w:t>
      </w:r>
      <w:r>
        <w:rPr>
          <w:rFonts w:hint="eastAsia"/>
          <w:sz w:val="21"/>
          <w:szCs w:val="21"/>
        </w:rPr>
        <w:t xml:space="preserve">  单位工程验收</w:t>
      </w:r>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p>
    <w:p>
      <w:pPr>
        <w:spacing w:line="420" w:lineRule="exact"/>
        <w:ind w:firstLine="420" w:firstLineChars="200"/>
        <w:rPr>
          <w:szCs w:val="21"/>
        </w:rPr>
      </w:pPr>
      <w:r>
        <w:rPr>
          <w:rFonts w:hint="eastAsia"/>
          <w:szCs w:val="21"/>
        </w:rPr>
        <w:t>18.4.1  发包人根据合同进度计划安排，在全部工程竣工前需要使用已经竣工的单位工程时，或承包人提出经发包人同意时，可进行单位工程验收。验收的程序可参照第18.2款与第18.3款的约定进行。验收合格后，由监理人向承包人出具经发包人签认的单位工程验收证书。已签发单位工程接收证书的单位工程由发包人负责照管。单位工程的验收成果和结论作为全部工程竣工验收申请报告的附件。</w:t>
      </w:r>
    </w:p>
    <w:p>
      <w:pPr>
        <w:spacing w:line="420" w:lineRule="exact"/>
        <w:ind w:firstLine="420" w:firstLineChars="200"/>
        <w:rPr>
          <w:szCs w:val="21"/>
        </w:rPr>
      </w:pPr>
      <w:r>
        <w:rPr>
          <w:rFonts w:hint="eastAsia"/>
          <w:szCs w:val="21"/>
        </w:rPr>
        <w:t>18.4.2  发包人在全部工程竣工前，使用已接收的单位工程导致承包人费用增加的，发包人应承担由此增加的费用和（或）工期延误，并支付承包人合理利润。</w:t>
      </w:r>
    </w:p>
    <w:p>
      <w:pPr>
        <w:pStyle w:val="27"/>
        <w:spacing w:beforeLines="50" w:afterLines="50" w:line="420" w:lineRule="exact"/>
        <w:rPr>
          <w:sz w:val="21"/>
          <w:szCs w:val="21"/>
        </w:rPr>
      </w:pPr>
      <w:bookmarkStart w:id="4847" w:name="_Toc25783"/>
      <w:bookmarkStart w:id="4848" w:name="_Toc237923909"/>
      <w:bookmarkStart w:id="4849" w:name="_Toc288546733"/>
      <w:bookmarkStart w:id="4850" w:name="_Toc152042509"/>
      <w:bookmarkStart w:id="4851" w:name="_Toc282779084"/>
      <w:bookmarkStart w:id="4852" w:name="_Toc144974701"/>
      <w:bookmarkStart w:id="4853" w:name="_Toc282787533"/>
      <w:bookmarkStart w:id="4854" w:name="_Toc20142"/>
      <w:bookmarkStart w:id="4855" w:name="_Toc1287"/>
      <w:bookmarkStart w:id="4856" w:name="_Toc14686"/>
      <w:bookmarkStart w:id="4857" w:name="_Toc31031"/>
      <w:bookmarkStart w:id="4858" w:name="_Toc6267"/>
      <w:bookmarkStart w:id="4859" w:name="_Toc282779593"/>
      <w:bookmarkStart w:id="4860" w:name="_Toc24492"/>
      <w:bookmarkStart w:id="4861" w:name="_Toc179632748"/>
      <w:bookmarkStart w:id="4862" w:name="_Toc152045730"/>
      <w:bookmarkStart w:id="4863" w:name="_Toc18013"/>
      <w:bookmarkStart w:id="4864" w:name="_Toc288491609"/>
      <w:bookmarkStart w:id="4865" w:name="_Toc283794281"/>
      <w:bookmarkStart w:id="4866" w:name="_Toc27246"/>
      <w:bookmarkStart w:id="4867" w:name="_Toc287853433"/>
      <w:bookmarkStart w:id="4868" w:name="_Toc30382"/>
      <w:bookmarkStart w:id="4869" w:name="_Toc17760"/>
      <w:r>
        <w:rPr>
          <w:rFonts w:hint="eastAsia"/>
          <w:b/>
          <w:sz w:val="21"/>
          <w:szCs w:val="21"/>
        </w:rPr>
        <w:t>18.5</w:t>
      </w:r>
      <w:r>
        <w:rPr>
          <w:rFonts w:hint="eastAsia"/>
          <w:sz w:val="21"/>
          <w:szCs w:val="21"/>
        </w:rPr>
        <w:t xml:space="preserve">  施工期运行</w:t>
      </w:r>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p>
    <w:p>
      <w:pPr>
        <w:spacing w:line="420" w:lineRule="exact"/>
        <w:ind w:firstLine="420" w:firstLineChars="200"/>
        <w:rPr>
          <w:szCs w:val="21"/>
        </w:rPr>
      </w:pPr>
      <w:r>
        <w:rPr>
          <w:rFonts w:hint="eastAsia"/>
          <w:szCs w:val="21"/>
        </w:rPr>
        <w:t>18.5.1  施工期运行是指合同工程尚未全部竣工，其中某项或某几项单位工程或工程设备安装已竣工，根据专用合同条款约定，需要投入施工期运行的，经发包人按第18.4款的约定验收合格，证明能确保安全后，才能在施工期投入运行。</w:t>
      </w:r>
    </w:p>
    <w:p>
      <w:pPr>
        <w:spacing w:line="420" w:lineRule="exact"/>
        <w:ind w:firstLine="420" w:firstLineChars="200"/>
        <w:rPr>
          <w:szCs w:val="21"/>
        </w:rPr>
      </w:pPr>
      <w:r>
        <w:rPr>
          <w:rFonts w:hint="eastAsia"/>
          <w:szCs w:val="21"/>
        </w:rPr>
        <w:t>18.5.2  在施工期运行中发现工程或工程设备损坏或存在缺陷的，由承包人按第19.2款约定进行修复。</w:t>
      </w:r>
    </w:p>
    <w:p>
      <w:pPr>
        <w:pStyle w:val="27"/>
        <w:spacing w:beforeLines="50" w:afterLines="50" w:line="420" w:lineRule="exact"/>
        <w:rPr>
          <w:sz w:val="21"/>
          <w:szCs w:val="21"/>
        </w:rPr>
      </w:pPr>
      <w:bookmarkStart w:id="4870" w:name="_Toc5794"/>
      <w:bookmarkStart w:id="4871" w:name="_Toc288491610"/>
      <w:bookmarkStart w:id="4872" w:name="_Toc2568"/>
      <w:bookmarkStart w:id="4873" w:name="_Toc282779594"/>
      <w:bookmarkStart w:id="4874" w:name="_Toc5841"/>
      <w:bookmarkStart w:id="4875" w:name="_Toc282779085"/>
      <w:bookmarkStart w:id="4876" w:name="_Toc31137"/>
      <w:bookmarkStart w:id="4877" w:name="_Toc237923910"/>
      <w:bookmarkStart w:id="4878" w:name="_Toc283794282"/>
      <w:bookmarkStart w:id="4879" w:name="_Toc287853434"/>
      <w:bookmarkStart w:id="4880" w:name="_Toc18528"/>
      <w:bookmarkStart w:id="4881" w:name="_Toc30977"/>
      <w:bookmarkStart w:id="4882" w:name="_Toc3892"/>
      <w:bookmarkStart w:id="4883" w:name="_Toc15997"/>
      <w:bookmarkStart w:id="4884" w:name="_Toc144974702"/>
      <w:bookmarkStart w:id="4885" w:name="_Toc288546734"/>
      <w:bookmarkStart w:id="4886" w:name="_Toc152042510"/>
      <w:bookmarkStart w:id="4887" w:name="_Toc179632749"/>
      <w:bookmarkStart w:id="4888" w:name="_Toc18431"/>
      <w:bookmarkStart w:id="4889" w:name="_Toc282787534"/>
      <w:bookmarkStart w:id="4890" w:name="_Toc152045731"/>
      <w:bookmarkStart w:id="4891" w:name="_Toc13269"/>
      <w:bookmarkStart w:id="4892" w:name="_Toc2334"/>
      <w:r>
        <w:rPr>
          <w:rFonts w:hint="eastAsia"/>
          <w:b/>
          <w:sz w:val="21"/>
          <w:szCs w:val="21"/>
        </w:rPr>
        <w:t>18.6</w:t>
      </w:r>
      <w:r>
        <w:rPr>
          <w:rFonts w:hint="eastAsia"/>
          <w:sz w:val="21"/>
          <w:szCs w:val="21"/>
        </w:rPr>
        <w:t xml:space="preserve">  试运行</w:t>
      </w:r>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p>
    <w:p>
      <w:pPr>
        <w:spacing w:line="420" w:lineRule="exact"/>
        <w:ind w:firstLine="420" w:firstLineChars="200"/>
        <w:rPr>
          <w:szCs w:val="21"/>
        </w:rPr>
      </w:pPr>
      <w:r>
        <w:rPr>
          <w:rFonts w:hint="eastAsia"/>
          <w:szCs w:val="21"/>
        </w:rPr>
        <w:t>18.6.1  除专用合同条款另有约定外，承包人应按专用合同条款约定进行工程及工程设备试运行，负责提供试运行所需的人员、器材和必要的条件，并承担全部试运行费用。</w:t>
      </w:r>
    </w:p>
    <w:p>
      <w:pPr>
        <w:spacing w:line="420" w:lineRule="exact"/>
        <w:ind w:firstLine="420" w:firstLineChars="200"/>
        <w:rPr>
          <w:szCs w:val="21"/>
        </w:rPr>
      </w:pPr>
      <w:r>
        <w:rPr>
          <w:rFonts w:hint="eastAsia"/>
          <w:szCs w:val="21"/>
        </w:rPr>
        <w:t>18.6.2  由于承包人的原因导致试运行失败的，承包人应采取措施保证试运行合格，并承担相应费用。由于发包人的原因导致试运行失败的，承包人应当采取措施保证试运行合格，发包人应承担由此产生的费用，并支付承包人合理利润。</w:t>
      </w:r>
    </w:p>
    <w:p>
      <w:pPr>
        <w:pStyle w:val="27"/>
        <w:spacing w:beforeLines="50" w:afterLines="50" w:line="420" w:lineRule="exact"/>
        <w:rPr>
          <w:sz w:val="21"/>
          <w:szCs w:val="21"/>
        </w:rPr>
      </w:pPr>
      <w:bookmarkStart w:id="4893" w:name="_Toc179632750"/>
      <w:bookmarkStart w:id="4894" w:name="_Toc288491611"/>
      <w:bookmarkStart w:id="4895" w:name="_Toc12291"/>
      <w:bookmarkStart w:id="4896" w:name="_Toc287853435"/>
      <w:bookmarkStart w:id="4897" w:name="_Toc24193"/>
      <w:bookmarkStart w:id="4898" w:name="_Toc2397"/>
      <w:bookmarkStart w:id="4899" w:name="_Toc283794283"/>
      <w:bookmarkStart w:id="4900" w:name="_Toc144974703"/>
      <w:bookmarkStart w:id="4901" w:name="_Toc152045732"/>
      <w:bookmarkStart w:id="4902" w:name="_Toc282779086"/>
      <w:bookmarkStart w:id="4903" w:name="_Toc288546735"/>
      <w:bookmarkStart w:id="4904" w:name="_Toc237923911"/>
      <w:bookmarkStart w:id="4905" w:name="_Toc282787535"/>
      <w:bookmarkStart w:id="4906" w:name="_Toc29522"/>
      <w:bookmarkStart w:id="4907" w:name="_Toc31909"/>
      <w:bookmarkStart w:id="4908" w:name="_Toc24296"/>
      <w:bookmarkStart w:id="4909" w:name="_Toc624"/>
      <w:bookmarkStart w:id="4910" w:name="_Toc4457"/>
      <w:bookmarkStart w:id="4911" w:name="_Toc13830"/>
      <w:bookmarkStart w:id="4912" w:name="_Toc152042511"/>
      <w:bookmarkStart w:id="4913" w:name="_Toc25813"/>
      <w:bookmarkStart w:id="4914" w:name="_Toc4402"/>
      <w:bookmarkStart w:id="4915" w:name="_Toc282779595"/>
      <w:r>
        <w:rPr>
          <w:rFonts w:hint="eastAsia"/>
          <w:b/>
          <w:sz w:val="21"/>
          <w:szCs w:val="21"/>
        </w:rPr>
        <w:t>18.7</w:t>
      </w:r>
      <w:r>
        <w:rPr>
          <w:rFonts w:hint="eastAsia"/>
          <w:sz w:val="21"/>
          <w:szCs w:val="21"/>
        </w:rPr>
        <w:t xml:space="preserve">  竣工清场</w:t>
      </w:r>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p>
    <w:p>
      <w:pPr>
        <w:spacing w:line="420" w:lineRule="exact"/>
        <w:ind w:firstLine="420" w:firstLineChars="200"/>
        <w:rPr>
          <w:szCs w:val="21"/>
        </w:rPr>
      </w:pPr>
      <w:r>
        <w:rPr>
          <w:rFonts w:hint="eastAsia"/>
          <w:szCs w:val="21"/>
        </w:rPr>
        <w:t>18.7.1 除合同另有约定外，工程接收证书颁发后，承包人应按以下要求对施工场地进行清理，直至监理人检验合格为止。竣工清场费用由承包人承担。</w:t>
      </w:r>
    </w:p>
    <w:p>
      <w:pPr>
        <w:spacing w:line="420" w:lineRule="exact"/>
        <w:ind w:firstLine="420" w:firstLineChars="200"/>
        <w:rPr>
          <w:szCs w:val="21"/>
        </w:rPr>
      </w:pPr>
      <w:r>
        <w:rPr>
          <w:rFonts w:hint="eastAsia"/>
          <w:szCs w:val="21"/>
        </w:rPr>
        <w:t>（1）施工场地内残留的垃圾已全部清除出场；</w:t>
      </w:r>
    </w:p>
    <w:p>
      <w:pPr>
        <w:spacing w:line="420" w:lineRule="exact"/>
        <w:ind w:firstLine="420" w:firstLineChars="200"/>
        <w:rPr>
          <w:szCs w:val="21"/>
        </w:rPr>
      </w:pPr>
      <w:r>
        <w:rPr>
          <w:rFonts w:hint="eastAsia"/>
          <w:szCs w:val="21"/>
        </w:rPr>
        <w:t>（2）临时工程已拆除，场地已按合同要求进行清理、平整或复原；</w:t>
      </w:r>
    </w:p>
    <w:p>
      <w:pPr>
        <w:spacing w:line="420" w:lineRule="exact"/>
        <w:ind w:firstLine="420" w:firstLineChars="200"/>
        <w:rPr>
          <w:szCs w:val="21"/>
        </w:rPr>
      </w:pPr>
      <w:r>
        <w:rPr>
          <w:rFonts w:hint="eastAsia"/>
          <w:szCs w:val="21"/>
        </w:rPr>
        <w:t>（3）按合同约定应撤离的承包人设备和剩余的材料，包括废弃的施工设备和材料，已按计划撤离施工场地；</w:t>
      </w:r>
    </w:p>
    <w:p>
      <w:pPr>
        <w:spacing w:line="420" w:lineRule="exact"/>
        <w:ind w:firstLine="420" w:firstLineChars="200"/>
        <w:rPr>
          <w:szCs w:val="21"/>
        </w:rPr>
      </w:pPr>
      <w:r>
        <w:rPr>
          <w:rFonts w:hint="eastAsia"/>
          <w:szCs w:val="21"/>
        </w:rPr>
        <w:t>（4）工程建筑物周边及其附近道路、河道的施工堆积物，已按监理人指示全部清理；</w:t>
      </w:r>
    </w:p>
    <w:p>
      <w:pPr>
        <w:spacing w:line="420" w:lineRule="exact"/>
        <w:ind w:firstLine="420" w:firstLineChars="200"/>
        <w:rPr>
          <w:szCs w:val="21"/>
        </w:rPr>
      </w:pPr>
      <w:r>
        <w:rPr>
          <w:rFonts w:hint="eastAsia"/>
          <w:szCs w:val="21"/>
        </w:rPr>
        <w:t>（5）监理人指示的其它场地清理工作已全部完成。</w:t>
      </w:r>
    </w:p>
    <w:p>
      <w:pPr>
        <w:spacing w:line="420" w:lineRule="exact"/>
        <w:ind w:firstLine="420" w:firstLineChars="200"/>
        <w:rPr>
          <w:szCs w:val="21"/>
        </w:rPr>
      </w:pPr>
      <w:r>
        <w:rPr>
          <w:rFonts w:hint="eastAsia"/>
          <w:szCs w:val="21"/>
        </w:rPr>
        <w:t>18.7.2  承包人未按监理人的要求恢复临时占地，或者场地清理未达到合同约定的，发包人有权委托其他人恢复或清理，所发生的金额从拟支付给承包人的款项中扣除。</w:t>
      </w:r>
    </w:p>
    <w:p>
      <w:pPr>
        <w:pStyle w:val="27"/>
        <w:spacing w:beforeLines="50" w:afterLines="50" w:line="420" w:lineRule="exact"/>
        <w:rPr>
          <w:sz w:val="21"/>
          <w:szCs w:val="21"/>
        </w:rPr>
      </w:pPr>
      <w:bookmarkStart w:id="4916" w:name="_Toc2426"/>
      <w:bookmarkStart w:id="4917" w:name="_Toc152045733"/>
      <w:bookmarkStart w:id="4918" w:name="_Toc28095"/>
      <w:bookmarkStart w:id="4919" w:name="_Toc10473"/>
      <w:bookmarkStart w:id="4920" w:name="_Toc81"/>
      <w:bookmarkStart w:id="4921" w:name="_Toc20936"/>
      <w:bookmarkStart w:id="4922" w:name="_Toc287853436"/>
      <w:bookmarkStart w:id="4923" w:name="_Toc18315"/>
      <w:bookmarkStart w:id="4924" w:name="_Toc179632751"/>
      <w:bookmarkStart w:id="4925" w:name="_Toc288491612"/>
      <w:bookmarkStart w:id="4926" w:name="_Toc282779087"/>
      <w:bookmarkStart w:id="4927" w:name="_Toc2309"/>
      <w:bookmarkStart w:id="4928" w:name="_Toc10449"/>
      <w:bookmarkStart w:id="4929" w:name="_Toc27039"/>
      <w:bookmarkStart w:id="4930" w:name="_Toc283794284"/>
      <w:bookmarkStart w:id="4931" w:name="_Toc237923912"/>
      <w:bookmarkStart w:id="4932" w:name="_Toc4685"/>
      <w:bookmarkStart w:id="4933" w:name="_Toc22830"/>
      <w:bookmarkStart w:id="4934" w:name="_Toc282779596"/>
      <w:bookmarkStart w:id="4935" w:name="_Toc144974704"/>
      <w:bookmarkStart w:id="4936" w:name="_Toc152042512"/>
      <w:bookmarkStart w:id="4937" w:name="_Toc288546736"/>
      <w:bookmarkStart w:id="4938" w:name="_Toc282787536"/>
      <w:r>
        <w:rPr>
          <w:rFonts w:hint="eastAsia"/>
          <w:b/>
          <w:sz w:val="21"/>
          <w:szCs w:val="21"/>
        </w:rPr>
        <w:t>18.8</w:t>
      </w:r>
      <w:r>
        <w:rPr>
          <w:rFonts w:hint="eastAsia"/>
          <w:sz w:val="21"/>
          <w:szCs w:val="21"/>
        </w:rPr>
        <w:t xml:space="preserve">  施工队伍的撤离</w:t>
      </w:r>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p>
    <w:p>
      <w:pPr>
        <w:spacing w:line="420" w:lineRule="exact"/>
        <w:ind w:firstLine="420" w:firstLineChars="200"/>
        <w:rPr>
          <w:szCs w:val="21"/>
        </w:rPr>
      </w:pPr>
      <w:r>
        <w:rPr>
          <w:rFonts w:hint="eastAsia"/>
          <w:szCs w:val="21"/>
        </w:rPr>
        <w:t>工程接收证书颁发后的56天内，除了经监理人同意需在缺陷责任期内继续工作和使用的人员、施工设备和临时工程外，其余的人员、施工设备和临时工程均应撤离施工场地或拆除。除合同另有约定外，缺陷责任期满时，承包人的人员和施工设备应全部撤离施工场地。</w:t>
      </w:r>
    </w:p>
    <w:p>
      <w:pPr>
        <w:pStyle w:val="27"/>
        <w:spacing w:beforeLines="50" w:afterLines="50" w:line="420" w:lineRule="exact"/>
        <w:rPr>
          <w:sz w:val="21"/>
          <w:szCs w:val="21"/>
        </w:rPr>
      </w:pPr>
      <w:bookmarkStart w:id="4939" w:name="_Toc283794285"/>
      <w:bookmarkStart w:id="4940" w:name="_Toc287853437"/>
      <w:bookmarkStart w:id="4941" w:name="_Toc20536"/>
      <w:bookmarkStart w:id="4942" w:name="_Toc30167"/>
      <w:bookmarkStart w:id="4943" w:name="_Toc282787537"/>
      <w:bookmarkStart w:id="4944" w:name="_Toc8281"/>
      <w:bookmarkStart w:id="4945" w:name="_Toc288491613"/>
      <w:bookmarkStart w:id="4946" w:name="_Toc15762"/>
      <w:bookmarkStart w:id="4947" w:name="_Toc19503"/>
      <w:bookmarkStart w:id="4948" w:name="_Toc16479"/>
      <w:bookmarkStart w:id="4949" w:name="_Toc17482"/>
      <w:bookmarkStart w:id="4950" w:name="_Toc10367"/>
      <w:bookmarkStart w:id="4951" w:name="_Toc21974"/>
      <w:bookmarkStart w:id="4952" w:name="_Toc282779088"/>
      <w:bookmarkStart w:id="4953" w:name="_Toc7051"/>
      <w:bookmarkStart w:id="4954" w:name="_Toc282779597"/>
      <w:bookmarkStart w:id="4955" w:name="_Toc288546737"/>
      <w:bookmarkStart w:id="4956" w:name="_Toc22035"/>
      <w:r>
        <w:rPr>
          <w:rFonts w:hint="eastAsia"/>
          <w:b/>
          <w:sz w:val="21"/>
          <w:szCs w:val="21"/>
        </w:rPr>
        <w:t>18.9</w:t>
      </w:r>
      <w:r>
        <w:rPr>
          <w:rFonts w:hint="eastAsia"/>
          <w:sz w:val="21"/>
          <w:szCs w:val="21"/>
        </w:rPr>
        <w:t xml:space="preserve">  交（竣）工文件</w:t>
      </w:r>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p>
    <w:p>
      <w:pPr>
        <w:spacing w:line="420" w:lineRule="exact"/>
        <w:ind w:firstLine="420" w:firstLineChars="200"/>
        <w:rPr>
          <w:szCs w:val="21"/>
        </w:rPr>
      </w:pPr>
      <w:r>
        <w:rPr>
          <w:rFonts w:hint="eastAsia"/>
          <w:szCs w:val="21"/>
        </w:rPr>
        <w:t>承包人应按照《公路工程交竣工验收办法》的相关规定，在缺陷责任期内为竣工验收补充竣工资料，并在签发缺陷责任期终止证书之前提交。</w:t>
      </w:r>
    </w:p>
    <w:p>
      <w:pPr>
        <w:pStyle w:val="28"/>
        <w:spacing w:beforeLines="50" w:afterLines="50" w:line="420" w:lineRule="exact"/>
        <w:rPr>
          <w:szCs w:val="28"/>
        </w:rPr>
      </w:pPr>
      <w:bookmarkStart w:id="4957" w:name="_Toc27578"/>
      <w:bookmarkStart w:id="4958" w:name="_Toc152042513"/>
      <w:bookmarkStart w:id="4959" w:name="_Toc152045734"/>
      <w:bookmarkStart w:id="4960" w:name="_Toc282779598"/>
      <w:bookmarkStart w:id="4961" w:name="_Toc15903"/>
      <w:bookmarkStart w:id="4962" w:name="_Toc25969"/>
      <w:bookmarkStart w:id="4963" w:name="_Toc16961"/>
      <w:bookmarkStart w:id="4964" w:name="_Toc18612"/>
      <w:bookmarkStart w:id="4965" w:name="_Toc14519"/>
      <w:bookmarkStart w:id="4966" w:name="_Toc287853438"/>
      <w:bookmarkStart w:id="4967" w:name="_Toc283794286"/>
      <w:bookmarkStart w:id="4968" w:name="_Toc288491614"/>
      <w:bookmarkStart w:id="4969" w:name="_Toc237923913"/>
      <w:bookmarkStart w:id="4970" w:name="_Toc282787538"/>
      <w:bookmarkStart w:id="4971" w:name="_Toc144974705"/>
      <w:bookmarkStart w:id="4972" w:name="_Toc946"/>
      <w:bookmarkStart w:id="4973" w:name="_Toc22064"/>
      <w:bookmarkStart w:id="4974" w:name="_Toc29877"/>
      <w:bookmarkStart w:id="4975" w:name="_Toc288546738"/>
      <w:bookmarkStart w:id="4976" w:name="_Toc27226"/>
      <w:bookmarkStart w:id="4977" w:name="_Toc15550"/>
      <w:bookmarkStart w:id="4978" w:name="_Toc282779089"/>
      <w:bookmarkStart w:id="4979" w:name="_Toc179632752"/>
      <w:r>
        <w:rPr>
          <w:rFonts w:hint="eastAsia"/>
          <w:szCs w:val="28"/>
        </w:rPr>
        <w:t>19．缺陷责任与保修责任</w:t>
      </w:r>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p>
    <w:p>
      <w:pPr>
        <w:pStyle w:val="27"/>
        <w:spacing w:beforeLines="50" w:afterLines="50" w:line="420" w:lineRule="exact"/>
        <w:rPr>
          <w:sz w:val="21"/>
          <w:szCs w:val="21"/>
        </w:rPr>
      </w:pPr>
      <w:bookmarkStart w:id="4980" w:name="_Toc8456"/>
      <w:bookmarkStart w:id="4981" w:name="_Toc1546"/>
      <w:bookmarkStart w:id="4982" w:name="_Toc282787539"/>
      <w:bookmarkStart w:id="4983" w:name="_Toc288491615"/>
      <w:bookmarkStart w:id="4984" w:name="_Toc152045735"/>
      <w:bookmarkStart w:id="4985" w:name="_Toc27374"/>
      <w:bookmarkStart w:id="4986" w:name="_Toc179632753"/>
      <w:bookmarkStart w:id="4987" w:name="_Toc14140"/>
      <w:bookmarkStart w:id="4988" w:name="_Toc19341"/>
      <w:bookmarkStart w:id="4989" w:name="_Toc237923914"/>
      <w:bookmarkStart w:id="4990" w:name="_Toc288546739"/>
      <w:bookmarkStart w:id="4991" w:name="_Toc152042514"/>
      <w:bookmarkStart w:id="4992" w:name="_Toc15075"/>
      <w:bookmarkStart w:id="4993" w:name="_Toc283794287"/>
      <w:bookmarkStart w:id="4994" w:name="_Toc4290"/>
      <w:bookmarkStart w:id="4995" w:name="_Toc10096"/>
      <w:bookmarkStart w:id="4996" w:name="_Toc287853439"/>
      <w:bookmarkStart w:id="4997" w:name="_Toc144974706"/>
      <w:bookmarkStart w:id="4998" w:name="_Toc2998"/>
      <w:bookmarkStart w:id="4999" w:name="_Toc12153"/>
      <w:bookmarkStart w:id="5000" w:name="_Toc282779599"/>
      <w:bookmarkStart w:id="5001" w:name="_Toc282779090"/>
      <w:bookmarkStart w:id="5002" w:name="_Toc7305"/>
      <w:r>
        <w:rPr>
          <w:rFonts w:hint="eastAsia"/>
          <w:b/>
          <w:sz w:val="21"/>
          <w:szCs w:val="21"/>
        </w:rPr>
        <w:t>19.1</w:t>
      </w:r>
      <w:r>
        <w:rPr>
          <w:rFonts w:hint="eastAsia"/>
          <w:sz w:val="21"/>
          <w:szCs w:val="21"/>
        </w:rPr>
        <w:t xml:space="preserve">  缺陷责任期的起算时间</w:t>
      </w:r>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p>
    <w:p>
      <w:pPr>
        <w:spacing w:line="420" w:lineRule="exact"/>
        <w:ind w:firstLine="420" w:firstLineChars="200"/>
        <w:jc w:val="left"/>
        <w:rPr>
          <w:szCs w:val="21"/>
        </w:rPr>
      </w:pPr>
      <w:r>
        <w:rPr>
          <w:rFonts w:hint="eastAsia"/>
          <w:szCs w:val="21"/>
        </w:rPr>
        <w:t>缺陷责任期自实际竣工日期起计算。在全部工程竣工验收前，已经发包人提前验收的单位工程，其缺陷责任期的起算日期相应提前。</w:t>
      </w:r>
    </w:p>
    <w:p>
      <w:pPr>
        <w:spacing w:line="420" w:lineRule="exact"/>
        <w:ind w:firstLine="420" w:firstLineChars="200"/>
        <w:jc w:val="left"/>
        <w:rPr>
          <w:szCs w:val="21"/>
        </w:rPr>
      </w:pPr>
      <w:r>
        <w:rPr>
          <w:rFonts w:hint="eastAsia"/>
          <w:szCs w:val="21"/>
        </w:rPr>
        <w:t>公路路面大中修养护工程自实际交工日期起计算1年；桥隧结构物大中修养护工程自实际交工日期起计算为2年。</w:t>
      </w:r>
    </w:p>
    <w:p>
      <w:pPr>
        <w:spacing w:line="420" w:lineRule="exact"/>
        <w:ind w:firstLine="420" w:firstLineChars="200"/>
        <w:jc w:val="left"/>
        <w:rPr>
          <w:szCs w:val="21"/>
        </w:rPr>
      </w:pPr>
      <w:r>
        <w:rPr>
          <w:szCs w:val="21"/>
        </w:rPr>
        <w:t>其它项目的缺陷责任由发包方与承包方合同约定</w:t>
      </w:r>
      <w:r>
        <w:rPr>
          <w:rFonts w:hint="eastAsia"/>
          <w:szCs w:val="21"/>
        </w:rPr>
        <w:t>。</w:t>
      </w:r>
    </w:p>
    <w:p>
      <w:pPr>
        <w:pStyle w:val="27"/>
        <w:spacing w:beforeLines="50" w:afterLines="50" w:line="420" w:lineRule="exact"/>
        <w:rPr>
          <w:sz w:val="21"/>
          <w:szCs w:val="21"/>
        </w:rPr>
      </w:pPr>
      <w:bookmarkStart w:id="5003" w:name="_Toc144974707"/>
      <w:bookmarkStart w:id="5004" w:name="_Toc282787540"/>
      <w:bookmarkStart w:id="5005" w:name="_Toc5363"/>
      <w:bookmarkStart w:id="5006" w:name="_Toc288546740"/>
      <w:bookmarkStart w:id="5007" w:name="_Toc6915"/>
      <w:bookmarkStart w:id="5008" w:name="_Toc9352"/>
      <w:bookmarkStart w:id="5009" w:name="_Toc23274"/>
      <w:bookmarkStart w:id="5010" w:name="_Toc25446"/>
      <w:bookmarkStart w:id="5011" w:name="_Toc282779600"/>
      <w:bookmarkStart w:id="5012" w:name="_Toc43"/>
      <w:bookmarkStart w:id="5013" w:name="_Toc152042515"/>
      <w:bookmarkStart w:id="5014" w:name="_Toc15659"/>
      <w:bookmarkStart w:id="5015" w:name="_Toc288491616"/>
      <w:bookmarkStart w:id="5016" w:name="_Toc283794288"/>
      <w:bookmarkStart w:id="5017" w:name="_Toc179632754"/>
      <w:bookmarkStart w:id="5018" w:name="_Toc22805"/>
      <w:bookmarkStart w:id="5019" w:name="_Toc237923915"/>
      <w:bookmarkStart w:id="5020" w:name="_Toc287853440"/>
      <w:bookmarkStart w:id="5021" w:name="_Toc15839"/>
      <w:bookmarkStart w:id="5022" w:name="_Toc1563"/>
      <w:bookmarkStart w:id="5023" w:name="_Toc282779091"/>
      <w:bookmarkStart w:id="5024" w:name="_Toc152045736"/>
      <w:bookmarkStart w:id="5025" w:name="_Toc20546"/>
      <w:r>
        <w:rPr>
          <w:rFonts w:hint="eastAsia"/>
          <w:b/>
          <w:sz w:val="21"/>
          <w:szCs w:val="21"/>
        </w:rPr>
        <w:t>19.2</w:t>
      </w:r>
      <w:r>
        <w:rPr>
          <w:rFonts w:hint="eastAsia"/>
          <w:sz w:val="21"/>
          <w:szCs w:val="21"/>
        </w:rPr>
        <w:t xml:space="preserve">  缺陷责任</w:t>
      </w:r>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p>
    <w:p>
      <w:pPr>
        <w:spacing w:line="420" w:lineRule="exact"/>
        <w:ind w:firstLine="420" w:firstLineChars="200"/>
        <w:rPr>
          <w:szCs w:val="21"/>
        </w:rPr>
      </w:pPr>
      <w:r>
        <w:rPr>
          <w:rFonts w:hint="eastAsia"/>
          <w:szCs w:val="21"/>
        </w:rPr>
        <w:t>19.2.1  承包人应在缺陷责任期内对已交付使用的工程承担缺陷责任。</w:t>
      </w:r>
    </w:p>
    <w:p>
      <w:pPr>
        <w:spacing w:line="420" w:lineRule="exact"/>
        <w:ind w:firstLine="420" w:firstLineChars="200"/>
        <w:rPr>
          <w:szCs w:val="21"/>
        </w:rPr>
      </w:pPr>
      <w:r>
        <w:rPr>
          <w:rFonts w:hint="eastAsia"/>
          <w:szCs w:val="21"/>
        </w:rPr>
        <w:t>19.2.2  缺陷责任期内，发包人对已接收使用的工程负责日常维护工作。发包人在使用过程中，发现已接收的工程存在新的缺陷或已修复的缺陷部位或部件又遭损坏的，承包人应负责修复，直至检验合格为止。</w:t>
      </w:r>
    </w:p>
    <w:p>
      <w:pPr>
        <w:spacing w:line="420" w:lineRule="exact"/>
        <w:ind w:firstLine="420" w:firstLineChars="200"/>
        <w:rPr>
          <w:szCs w:val="21"/>
        </w:rPr>
      </w:pPr>
      <w:r>
        <w:rPr>
          <w:rFonts w:hint="eastAsia"/>
          <w:szCs w:val="21"/>
        </w:rPr>
        <w:t>在缺陷责任期内，承包人应尽快完成在交工验收证书中写明的未完成工作，并完成对本工程缺陷的修复或监理人指令的修补工作。</w:t>
      </w:r>
    </w:p>
    <w:p>
      <w:pPr>
        <w:spacing w:line="420" w:lineRule="exact"/>
        <w:ind w:firstLine="420" w:firstLineChars="200"/>
        <w:rPr>
          <w:szCs w:val="21"/>
        </w:rPr>
      </w:pPr>
      <w:r>
        <w:rPr>
          <w:rFonts w:hint="eastAsia"/>
          <w:szCs w:val="21"/>
        </w:rPr>
        <w:t>19.2.3  监理人和承包人应共同查清缺陷和（或）损坏的原因。经查明属承包人原因造成的，应由承包人承担修复和查验的费用。经查验属发包人原因造成的，发包人应承担修复和查验的费用，并支付承包人合理利润。</w:t>
      </w:r>
    </w:p>
    <w:p>
      <w:pPr>
        <w:spacing w:line="420" w:lineRule="exact"/>
        <w:ind w:firstLine="420" w:firstLineChars="200"/>
        <w:rPr>
          <w:szCs w:val="21"/>
        </w:rPr>
      </w:pPr>
      <w:r>
        <w:rPr>
          <w:rFonts w:hint="eastAsia"/>
          <w:szCs w:val="21"/>
        </w:rPr>
        <w:t>19.2.4  承包人不能在合理时间内修复缺陷的，发包人可自行修复或委托其他人修复，所需费用和利润的承担，按第19.2.3项约定办理。</w:t>
      </w:r>
    </w:p>
    <w:p>
      <w:pPr>
        <w:pStyle w:val="27"/>
        <w:spacing w:beforeLines="50" w:afterLines="50" w:line="420" w:lineRule="exact"/>
        <w:rPr>
          <w:sz w:val="21"/>
          <w:szCs w:val="21"/>
        </w:rPr>
      </w:pPr>
      <w:bookmarkStart w:id="5026" w:name="_Toc282779601"/>
      <w:bookmarkStart w:id="5027" w:name="_Toc288546741"/>
      <w:bookmarkStart w:id="5028" w:name="_Toc31432"/>
      <w:bookmarkStart w:id="5029" w:name="_Toc9832"/>
      <w:bookmarkStart w:id="5030" w:name="_Toc179632755"/>
      <w:bookmarkStart w:id="5031" w:name="_Toc30799"/>
      <w:bookmarkStart w:id="5032" w:name="_Toc283794289"/>
      <w:bookmarkStart w:id="5033" w:name="_Toc287853441"/>
      <w:bookmarkStart w:id="5034" w:name="_Toc152045737"/>
      <w:bookmarkStart w:id="5035" w:name="_Toc11871"/>
      <w:bookmarkStart w:id="5036" w:name="_Toc237923916"/>
      <w:bookmarkStart w:id="5037" w:name="_Toc25965"/>
      <w:bookmarkStart w:id="5038" w:name="_Toc8271"/>
      <w:bookmarkStart w:id="5039" w:name="_Toc144974708"/>
      <w:bookmarkStart w:id="5040" w:name="_Toc15079"/>
      <w:bookmarkStart w:id="5041" w:name="_Toc282779092"/>
      <w:bookmarkStart w:id="5042" w:name="_Toc23366"/>
      <w:bookmarkStart w:id="5043" w:name="_Toc18456"/>
      <w:bookmarkStart w:id="5044" w:name="_Toc282787541"/>
      <w:bookmarkStart w:id="5045" w:name="_Toc29649"/>
      <w:bookmarkStart w:id="5046" w:name="_Toc9472"/>
      <w:bookmarkStart w:id="5047" w:name="_Toc288491617"/>
      <w:bookmarkStart w:id="5048" w:name="_Toc152042516"/>
      <w:r>
        <w:rPr>
          <w:rFonts w:hint="eastAsia"/>
          <w:b/>
          <w:sz w:val="21"/>
          <w:szCs w:val="21"/>
        </w:rPr>
        <w:t>19.3</w:t>
      </w:r>
      <w:r>
        <w:rPr>
          <w:rFonts w:hint="eastAsia"/>
          <w:sz w:val="21"/>
          <w:szCs w:val="21"/>
        </w:rPr>
        <w:t xml:space="preserve">  缺陷责任期的延长</w:t>
      </w:r>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p>
    <w:p>
      <w:pPr>
        <w:spacing w:line="420" w:lineRule="exact"/>
        <w:ind w:firstLine="420" w:firstLineChars="200"/>
        <w:rPr>
          <w:szCs w:val="21"/>
        </w:rPr>
      </w:pPr>
      <w:r>
        <w:rPr>
          <w:rFonts w:hint="eastAsia"/>
          <w:szCs w:val="21"/>
        </w:rPr>
        <w:t>由于承包人原因造成某项缺陷或损坏使某项工程或工程设备不能按原定目标使用而需要再次检查、检验和修复的，发包人有权要求承包人相应延长缺陷责任期，但缺陷责任期最长不超过2年。</w:t>
      </w:r>
    </w:p>
    <w:p>
      <w:pPr>
        <w:pStyle w:val="27"/>
        <w:spacing w:beforeLines="50" w:afterLines="50" w:line="420" w:lineRule="exact"/>
        <w:rPr>
          <w:sz w:val="21"/>
          <w:szCs w:val="21"/>
        </w:rPr>
      </w:pPr>
      <w:bookmarkStart w:id="5049" w:name="_Toc14373"/>
      <w:bookmarkStart w:id="5050" w:name="_Toc283794290"/>
      <w:bookmarkStart w:id="5051" w:name="_Toc152042517"/>
      <w:bookmarkStart w:id="5052" w:name="_Toc4162"/>
      <w:bookmarkStart w:id="5053" w:name="_Toc26068"/>
      <w:bookmarkStart w:id="5054" w:name="_Toc179632756"/>
      <w:bookmarkStart w:id="5055" w:name="_Toc282779093"/>
      <w:bookmarkStart w:id="5056" w:name="_Toc3021"/>
      <w:bookmarkStart w:id="5057" w:name="_Toc23763"/>
      <w:bookmarkStart w:id="5058" w:name="_Toc288491618"/>
      <w:bookmarkStart w:id="5059" w:name="_Toc24059"/>
      <w:bookmarkStart w:id="5060" w:name="_Toc237923917"/>
      <w:bookmarkStart w:id="5061" w:name="_Toc282787542"/>
      <w:bookmarkStart w:id="5062" w:name="_Toc144974709"/>
      <w:bookmarkStart w:id="5063" w:name="_Toc152045738"/>
      <w:bookmarkStart w:id="5064" w:name="_Toc27588"/>
      <w:bookmarkStart w:id="5065" w:name="_Toc288546742"/>
      <w:bookmarkStart w:id="5066" w:name="_Toc24647"/>
      <w:bookmarkStart w:id="5067" w:name="_Toc23378"/>
      <w:bookmarkStart w:id="5068" w:name="_Toc287853442"/>
      <w:bookmarkStart w:id="5069" w:name="_Toc25807"/>
      <w:bookmarkStart w:id="5070" w:name="_Toc282779602"/>
      <w:bookmarkStart w:id="5071" w:name="_Toc22113"/>
      <w:r>
        <w:rPr>
          <w:rFonts w:hint="eastAsia"/>
          <w:b/>
          <w:sz w:val="21"/>
          <w:szCs w:val="21"/>
        </w:rPr>
        <w:t>19.4</w:t>
      </w:r>
      <w:r>
        <w:rPr>
          <w:rFonts w:hint="eastAsia"/>
          <w:sz w:val="21"/>
          <w:szCs w:val="21"/>
        </w:rPr>
        <w:t xml:space="preserve">  进一步试验和试运行</w:t>
      </w:r>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p>
    <w:p>
      <w:pPr>
        <w:spacing w:line="420" w:lineRule="exact"/>
        <w:ind w:firstLine="420" w:firstLineChars="200"/>
        <w:rPr>
          <w:szCs w:val="21"/>
        </w:rPr>
      </w:pPr>
      <w:r>
        <w:rPr>
          <w:rFonts w:hint="eastAsia"/>
          <w:szCs w:val="21"/>
        </w:rPr>
        <w:t>任何一项缺陷或损坏修复后，经检查证明其影响了工程或工程设备的使用性能，承包人应重新进行合同约定的试验和试运行，试验和试运行的全部费用应由责任方承担。</w:t>
      </w:r>
    </w:p>
    <w:p>
      <w:pPr>
        <w:pStyle w:val="27"/>
        <w:spacing w:beforeLines="50" w:afterLines="50" w:line="420" w:lineRule="exact"/>
        <w:rPr>
          <w:sz w:val="21"/>
          <w:szCs w:val="21"/>
        </w:rPr>
      </w:pPr>
      <w:bookmarkStart w:id="5072" w:name="_Toc237923918"/>
      <w:bookmarkStart w:id="5073" w:name="_Toc23699"/>
      <w:bookmarkStart w:id="5074" w:name="_Toc30149"/>
      <w:bookmarkStart w:id="5075" w:name="_Toc152045739"/>
      <w:bookmarkStart w:id="5076" w:name="_Toc179632757"/>
      <w:bookmarkStart w:id="5077" w:name="_Toc282779094"/>
      <w:bookmarkStart w:id="5078" w:name="_Toc288491619"/>
      <w:bookmarkStart w:id="5079" w:name="_Toc5527"/>
      <w:bookmarkStart w:id="5080" w:name="_Toc20887"/>
      <w:bookmarkStart w:id="5081" w:name="_Toc288546743"/>
      <w:bookmarkStart w:id="5082" w:name="_Toc8561"/>
      <w:bookmarkStart w:id="5083" w:name="_Toc31641"/>
      <w:bookmarkStart w:id="5084" w:name="_Toc287853443"/>
      <w:bookmarkStart w:id="5085" w:name="_Toc23718"/>
      <w:bookmarkStart w:id="5086" w:name="_Toc282779603"/>
      <w:bookmarkStart w:id="5087" w:name="_Toc10971"/>
      <w:bookmarkStart w:id="5088" w:name="_Toc4107"/>
      <w:bookmarkStart w:id="5089" w:name="_Toc283794291"/>
      <w:bookmarkStart w:id="5090" w:name="_Toc144974710"/>
      <w:bookmarkStart w:id="5091" w:name="_Toc5327"/>
      <w:bookmarkStart w:id="5092" w:name="_Toc17872"/>
      <w:bookmarkStart w:id="5093" w:name="_Toc152042518"/>
      <w:bookmarkStart w:id="5094" w:name="_Toc282787543"/>
      <w:r>
        <w:rPr>
          <w:rFonts w:hint="eastAsia"/>
          <w:b/>
          <w:sz w:val="21"/>
          <w:szCs w:val="21"/>
        </w:rPr>
        <w:t>19.5</w:t>
      </w:r>
      <w:r>
        <w:rPr>
          <w:rFonts w:hint="eastAsia"/>
          <w:sz w:val="21"/>
          <w:szCs w:val="21"/>
        </w:rPr>
        <w:t xml:space="preserve">  承包人的进入权</w:t>
      </w:r>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p>
    <w:p>
      <w:pPr>
        <w:spacing w:line="420" w:lineRule="exact"/>
        <w:ind w:firstLine="420" w:firstLineChars="200"/>
        <w:rPr>
          <w:szCs w:val="21"/>
        </w:rPr>
      </w:pPr>
      <w:r>
        <w:rPr>
          <w:rFonts w:hint="eastAsia"/>
          <w:szCs w:val="21"/>
        </w:rPr>
        <w:t>缺陷责任期内承包人为缺陷修复工作需要，有权进入工程现场，但应遵守发包人的保安和保密规定。</w:t>
      </w:r>
    </w:p>
    <w:p>
      <w:pPr>
        <w:spacing w:line="420" w:lineRule="exact"/>
        <w:ind w:firstLine="420" w:firstLineChars="200"/>
        <w:rPr>
          <w:szCs w:val="21"/>
        </w:rPr>
      </w:pPr>
      <w:r>
        <w:rPr>
          <w:rFonts w:hint="eastAsia"/>
          <w:szCs w:val="21"/>
        </w:rPr>
        <w:t>承包人在缺陷修复施工过程中，应服从管养单位的有关安全管理规定，由于承包人自身原因造成的人员伤亡、设备和材料的损毁及罚款等责任由承包人自负。</w:t>
      </w:r>
    </w:p>
    <w:p>
      <w:pPr>
        <w:pStyle w:val="27"/>
        <w:spacing w:beforeLines="50" w:afterLines="50" w:line="420" w:lineRule="exact"/>
        <w:rPr>
          <w:sz w:val="21"/>
          <w:szCs w:val="21"/>
        </w:rPr>
      </w:pPr>
      <w:bookmarkStart w:id="5095" w:name="_Toc12622"/>
      <w:bookmarkStart w:id="5096" w:name="_Toc282779095"/>
      <w:bookmarkStart w:id="5097" w:name="_Toc282779604"/>
      <w:bookmarkStart w:id="5098" w:name="_Toc288546744"/>
      <w:bookmarkStart w:id="5099" w:name="_Toc144974711"/>
      <w:bookmarkStart w:id="5100" w:name="_Toc11332"/>
      <w:bookmarkStart w:id="5101" w:name="_Toc282787544"/>
      <w:bookmarkStart w:id="5102" w:name="_Toc283794292"/>
      <w:bookmarkStart w:id="5103" w:name="_Toc152042519"/>
      <w:bookmarkStart w:id="5104" w:name="_Toc13837"/>
      <w:bookmarkStart w:id="5105" w:name="_Toc1833"/>
      <w:bookmarkStart w:id="5106" w:name="_Toc179632758"/>
      <w:bookmarkStart w:id="5107" w:name="_Toc287853444"/>
      <w:bookmarkStart w:id="5108" w:name="_Toc152045740"/>
      <w:bookmarkStart w:id="5109" w:name="_Toc12159"/>
      <w:bookmarkStart w:id="5110" w:name="_Toc288491620"/>
      <w:bookmarkStart w:id="5111" w:name="_Toc16795"/>
      <w:bookmarkStart w:id="5112" w:name="_Toc19551"/>
      <w:bookmarkStart w:id="5113" w:name="_Toc29078"/>
      <w:bookmarkStart w:id="5114" w:name="_Toc27368"/>
      <w:bookmarkStart w:id="5115" w:name="_Toc21393"/>
      <w:bookmarkStart w:id="5116" w:name="_Toc237923919"/>
      <w:bookmarkStart w:id="5117" w:name="_Toc15368"/>
      <w:r>
        <w:rPr>
          <w:rFonts w:hint="eastAsia"/>
          <w:b/>
          <w:sz w:val="21"/>
          <w:szCs w:val="21"/>
        </w:rPr>
        <w:t>19.6</w:t>
      </w:r>
      <w:r>
        <w:rPr>
          <w:rFonts w:hint="eastAsia"/>
          <w:sz w:val="21"/>
          <w:szCs w:val="21"/>
        </w:rPr>
        <w:t xml:space="preserve">  缺陷责任期终止证书</w:t>
      </w:r>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p>
    <w:p>
      <w:pPr>
        <w:spacing w:line="420" w:lineRule="exact"/>
        <w:ind w:firstLine="420" w:firstLineChars="200"/>
        <w:rPr>
          <w:szCs w:val="21"/>
        </w:rPr>
      </w:pPr>
      <w:r>
        <w:rPr>
          <w:rFonts w:hint="eastAsia"/>
          <w:szCs w:val="21"/>
        </w:rPr>
        <w:t>在第1.1.4.5目约定的缺陷责任期，包括根据第19.3款延长的期限终止后14天内，由监理人向承包人出具经发包人签认的缺陷责任期终止证书，并退还剩余的质量保证金。</w:t>
      </w:r>
    </w:p>
    <w:p>
      <w:pPr>
        <w:pStyle w:val="27"/>
        <w:spacing w:beforeLines="50" w:afterLines="50" w:line="420" w:lineRule="exact"/>
        <w:rPr>
          <w:sz w:val="21"/>
          <w:szCs w:val="21"/>
        </w:rPr>
      </w:pPr>
      <w:bookmarkStart w:id="5118" w:name="_Toc6145"/>
      <w:bookmarkStart w:id="5119" w:name="_Toc283794293"/>
      <w:bookmarkStart w:id="5120" w:name="_Toc152045741"/>
      <w:bookmarkStart w:id="5121" w:name="_Toc4110"/>
      <w:bookmarkStart w:id="5122" w:name="_Toc282779096"/>
      <w:bookmarkStart w:id="5123" w:name="_Toc6548"/>
      <w:bookmarkStart w:id="5124" w:name="_Toc282787545"/>
      <w:bookmarkStart w:id="5125" w:name="_Toc287853445"/>
      <w:bookmarkStart w:id="5126" w:name="_Toc29654"/>
      <w:bookmarkStart w:id="5127" w:name="_Toc288546745"/>
      <w:bookmarkStart w:id="5128" w:name="_Toc144974712"/>
      <w:bookmarkStart w:id="5129" w:name="_Toc282779605"/>
      <w:bookmarkStart w:id="5130" w:name="_Toc7533"/>
      <w:bookmarkStart w:id="5131" w:name="_Toc179632759"/>
      <w:bookmarkStart w:id="5132" w:name="_Toc22859"/>
      <w:bookmarkStart w:id="5133" w:name="_Toc2675"/>
      <w:bookmarkStart w:id="5134" w:name="_Toc237923920"/>
      <w:bookmarkStart w:id="5135" w:name="_Toc24218"/>
      <w:bookmarkStart w:id="5136" w:name="_Toc6485"/>
      <w:bookmarkStart w:id="5137" w:name="_Toc26241"/>
      <w:bookmarkStart w:id="5138" w:name="_Toc31070"/>
      <w:bookmarkStart w:id="5139" w:name="_Toc152042520"/>
      <w:bookmarkStart w:id="5140" w:name="_Toc288491621"/>
      <w:r>
        <w:rPr>
          <w:rFonts w:hint="eastAsia"/>
          <w:b/>
          <w:sz w:val="21"/>
          <w:szCs w:val="21"/>
        </w:rPr>
        <w:t>19.7</w:t>
      </w:r>
      <w:r>
        <w:rPr>
          <w:rFonts w:hint="eastAsia"/>
          <w:sz w:val="21"/>
          <w:szCs w:val="21"/>
        </w:rPr>
        <w:t xml:space="preserve">  保修责任</w:t>
      </w:r>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p>
    <w:p>
      <w:pPr>
        <w:spacing w:line="420" w:lineRule="exact"/>
        <w:ind w:firstLine="420" w:firstLineChars="200"/>
        <w:rPr>
          <w:szCs w:val="21"/>
        </w:rPr>
      </w:pPr>
      <w:r>
        <w:rPr>
          <w:rFonts w:hint="eastAsia"/>
          <w:szCs w:val="21"/>
        </w:rPr>
        <w:t>合同当事人根据有关法律规定，在专用合同条款中约定工程质量保修范围、期限和责任。保修期自实际竣工日期起计算。在全部工程竣工验收前，已经发包人提前验收的单位工程，其保修期的起算日期相应提前。</w:t>
      </w:r>
    </w:p>
    <w:p>
      <w:pPr>
        <w:pStyle w:val="28"/>
        <w:spacing w:beforeLines="50" w:afterLines="50" w:line="420" w:lineRule="exact"/>
        <w:rPr>
          <w:szCs w:val="28"/>
        </w:rPr>
      </w:pPr>
      <w:bookmarkStart w:id="5141" w:name="_Toc282779606"/>
      <w:bookmarkStart w:id="5142" w:name="_Toc31355"/>
      <w:bookmarkStart w:id="5143" w:name="_Toc283794294"/>
      <w:bookmarkStart w:id="5144" w:name="_Toc31099"/>
      <w:bookmarkStart w:id="5145" w:name="_Toc237923921"/>
      <w:bookmarkStart w:id="5146" w:name="_Toc179632760"/>
      <w:bookmarkStart w:id="5147" w:name="_Toc23281"/>
      <w:bookmarkStart w:id="5148" w:name="_Toc11608"/>
      <w:bookmarkStart w:id="5149" w:name="_Toc287853446"/>
      <w:bookmarkStart w:id="5150" w:name="_Toc703"/>
      <w:bookmarkStart w:id="5151" w:name="_Toc144974713"/>
      <w:bookmarkStart w:id="5152" w:name="_Toc31132"/>
      <w:bookmarkStart w:id="5153" w:name="_Toc152045742"/>
      <w:bookmarkStart w:id="5154" w:name="_Toc26002"/>
      <w:bookmarkStart w:id="5155" w:name="_Toc11351"/>
      <w:bookmarkStart w:id="5156" w:name="_Toc282787546"/>
      <w:bookmarkStart w:id="5157" w:name="_Toc18477"/>
      <w:bookmarkStart w:id="5158" w:name="_Toc288491622"/>
      <w:bookmarkStart w:id="5159" w:name="_Toc282779097"/>
      <w:bookmarkStart w:id="5160" w:name="_Toc21380"/>
      <w:bookmarkStart w:id="5161" w:name="_Toc288546746"/>
      <w:bookmarkStart w:id="5162" w:name="_Toc32496"/>
      <w:bookmarkStart w:id="5163" w:name="_Toc152042521"/>
      <w:r>
        <w:rPr>
          <w:rFonts w:hint="eastAsia"/>
          <w:szCs w:val="28"/>
        </w:rPr>
        <w:t>20．保险</w:t>
      </w:r>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p>
    <w:p>
      <w:pPr>
        <w:pStyle w:val="27"/>
        <w:spacing w:beforeLines="50" w:afterLines="50" w:line="420" w:lineRule="exact"/>
        <w:rPr>
          <w:sz w:val="21"/>
          <w:szCs w:val="21"/>
        </w:rPr>
      </w:pPr>
      <w:bookmarkStart w:id="5164" w:name="_Toc288546747"/>
      <w:bookmarkStart w:id="5165" w:name="_Toc283794295"/>
      <w:bookmarkStart w:id="5166" w:name="_Toc288491623"/>
      <w:bookmarkStart w:id="5167" w:name="_Toc5105"/>
      <w:bookmarkStart w:id="5168" w:name="_Toc460"/>
      <w:bookmarkStart w:id="5169" w:name="_Toc3615"/>
      <w:bookmarkStart w:id="5170" w:name="_Toc31027"/>
      <w:bookmarkStart w:id="5171" w:name="_Toc179632761"/>
      <w:bookmarkStart w:id="5172" w:name="_Toc22930"/>
      <w:bookmarkStart w:id="5173" w:name="_Toc8759"/>
      <w:bookmarkStart w:id="5174" w:name="_Toc4962"/>
      <w:bookmarkStart w:id="5175" w:name="_Toc152045743"/>
      <w:bookmarkStart w:id="5176" w:name="_Toc282779098"/>
      <w:bookmarkStart w:id="5177" w:name="_Toc32138"/>
      <w:bookmarkStart w:id="5178" w:name="_Toc6820"/>
      <w:bookmarkStart w:id="5179" w:name="_Toc144974714"/>
      <w:bookmarkStart w:id="5180" w:name="_Toc152042522"/>
      <w:bookmarkStart w:id="5181" w:name="_Toc287853447"/>
      <w:bookmarkStart w:id="5182" w:name="_Toc282787547"/>
      <w:bookmarkStart w:id="5183" w:name="_Toc237923922"/>
      <w:bookmarkStart w:id="5184" w:name="_Toc1125"/>
      <w:bookmarkStart w:id="5185" w:name="_Toc282779607"/>
      <w:bookmarkStart w:id="5186" w:name="_Toc30955"/>
      <w:r>
        <w:rPr>
          <w:rFonts w:hint="eastAsia"/>
          <w:b/>
          <w:sz w:val="21"/>
          <w:szCs w:val="21"/>
        </w:rPr>
        <w:t>20.1</w:t>
      </w:r>
      <w:r>
        <w:rPr>
          <w:rFonts w:hint="eastAsia"/>
          <w:sz w:val="21"/>
          <w:szCs w:val="21"/>
        </w:rPr>
        <w:t xml:space="preserve">  工程保险</w:t>
      </w:r>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p>
    <w:p>
      <w:pPr>
        <w:spacing w:line="420" w:lineRule="exact"/>
        <w:ind w:firstLine="420" w:firstLineChars="200"/>
        <w:rPr>
          <w:szCs w:val="21"/>
        </w:rPr>
      </w:pPr>
      <w:r>
        <w:rPr>
          <w:rFonts w:hint="eastAsia"/>
          <w:szCs w:val="21"/>
        </w:rPr>
        <w:t>除专用合同条款另有约定外，承包人应以发包人和承包人的共同名义向双方同意的保险人投保建筑工程一切险、安装工程一切险。</w:t>
      </w:r>
    </w:p>
    <w:p>
      <w:pPr>
        <w:spacing w:line="420" w:lineRule="exact"/>
        <w:ind w:firstLine="420" w:firstLineChars="200"/>
        <w:rPr>
          <w:szCs w:val="21"/>
        </w:rPr>
      </w:pPr>
      <w:r>
        <w:rPr>
          <w:rFonts w:hint="eastAsia"/>
          <w:szCs w:val="21"/>
        </w:rPr>
        <w:t>建筑工程一切险的投保内容：为本合同工程的养护工程、临时工程和设备及已运至施工工地用于养护工程的材料和设备所投的保险。</w:t>
      </w:r>
    </w:p>
    <w:p>
      <w:pPr>
        <w:spacing w:line="420" w:lineRule="exact"/>
        <w:ind w:firstLine="420" w:firstLineChars="200"/>
        <w:rPr>
          <w:szCs w:val="21"/>
        </w:rPr>
      </w:pPr>
      <w:r>
        <w:rPr>
          <w:rFonts w:hint="eastAsia"/>
          <w:szCs w:val="21"/>
        </w:rPr>
        <w:t>保险金额：工程量清单第100章（不含建筑工程一切险及第三者责任险的保险费）至第700章（或第1000章）的合计金额；</w:t>
      </w:r>
    </w:p>
    <w:p>
      <w:pPr>
        <w:spacing w:line="420" w:lineRule="exact"/>
        <w:ind w:firstLine="420" w:firstLineChars="200"/>
        <w:rPr>
          <w:szCs w:val="21"/>
        </w:rPr>
      </w:pPr>
      <w:r>
        <w:rPr>
          <w:rFonts w:hint="eastAsia"/>
          <w:szCs w:val="21"/>
        </w:rPr>
        <w:t>保险费率：在项目专用合同条款数据表中约定。</w:t>
      </w:r>
    </w:p>
    <w:p>
      <w:pPr>
        <w:spacing w:line="420" w:lineRule="exact"/>
        <w:ind w:firstLine="420" w:firstLineChars="200"/>
        <w:rPr>
          <w:szCs w:val="21"/>
        </w:rPr>
      </w:pPr>
      <w:r>
        <w:rPr>
          <w:rFonts w:hint="eastAsia"/>
          <w:szCs w:val="21"/>
        </w:rPr>
        <w:t>保险期限：开工日起直至本合同工程签发缺陷责任期终止证书止（即合同工期＋缺陷责任期）。</w:t>
      </w:r>
    </w:p>
    <w:p>
      <w:pPr>
        <w:spacing w:line="420" w:lineRule="exact"/>
        <w:ind w:firstLine="420" w:firstLineChars="200"/>
        <w:rPr>
          <w:szCs w:val="21"/>
        </w:rPr>
      </w:pPr>
      <w:r>
        <w:rPr>
          <w:rFonts w:hint="eastAsia"/>
          <w:szCs w:val="21"/>
        </w:rPr>
        <w:t>承包人应以发包人和承包人的共同名义投保建筑工程一切险。建筑工程一切险的保险费由承包人报价时列入工程量清单100章内。发包人在接到保险单后，将保险单费用直接向承包人支付。</w:t>
      </w:r>
    </w:p>
    <w:p>
      <w:pPr>
        <w:pStyle w:val="27"/>
        <w:spacing w:beforeLines="50" w:afterLines="50" w:line="420" w:lineRule="exact"/>
        <w:rPr>
          <w:sz w:val="21"/>
          <w:szCs w:val="21"/>
        </w:rPr>
      </w:pPr>
      <w:bookmarkStart w:id="5187" w:name="_Toc2819"/>
      <w:bookmarkStart w:id="5188" w:name="_Toc237923923"/>
      <w:bookmarkStart w:id="5189" w:name="_Toc17162"/>
      <w:bookmarkStart w:id="5190" w:name="_Toc9002"/>
      <w:bookmarkStart w:id="5191" w:name="_Toc288491624"/>
      <w:bookmarkStart w:id="5192" w:name="_Toc16424"/>
      <w:bookmarkStart w:id="5193" w:name="_Toc283794296"/>
      <w:bookmarkStart w:id="5194" w:name="_Toc144974715"/>
      <w:bookmarkStart w:id="5195" w:name="_Toc15765"/>
      <w:bookmarkStart w:id="5196" w:name="_Toc14977"/>
      <w:bookmarkStart w:id="5197" w:name="_Toc12175"/>
      <w:bookmarkStart w:id="5198" w:name="_Toc152045744"/>
      <w:bookmarkStart w:id="5199" w:name="_Toc282787548"/>
      <w:bookmarkStart w:id="5200" w:name="_Toc11160"/>
      <w:bookmarkStart w:id="5201" w:name="_Toc282779099"/>
      <w:bookmarkStart w:id="5202" w:name="_Toc29617"/>
      <w:bookmarkStart w:id="5203" w:name="_Toc288546748"/>
      <w:bookmarkStart w:id="5204" w:name="_Toc287853448"/>
      <w:bookmarkStart w:id="5205" w:name="_Toc152042523"/>
      <w:bookmarkStart w:id="5206" w:name="_Toc32522"/>
      <w:bookmarkStart w:id="5207" w:name="_Toc2384"/>
      <w:bookmarkStart w:id="5208" w:name="_Toc179632762"/>
      <w:bookmarkStart w:id="5209" w:name="_Toc282779608"/>
      <w:r>
        <w:rPr>
          <w:rFonts w:hint="eastAsia"/>
          <w:b/>
          <w:sz w:val="21"/>
          <w:szCs w:val="21"/>
        </w:rPr>
        <w:t>20.2</w:t>
      </w:r>
      <w:r>
        <w:rPr>
          <w:rFonts w:hint="eastAsia"/>
          <w:sz w:val="21"/>
          <w:szCs w:val="21"/>
        </w:rPr>
        <w:t xml:space="preserve">  人员工伤事故的保险</w:t>
      </w:r>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p>
    <w:p>
      <w:pPr>
        <w:spacing w:line="420" w:lineRule="exact"/>
        <w:ind w:firstLine="420" w:firstLineChars="200"/>
        <w:rPr>
          <w:rFonts w:ascii="宋体" w:hAnsi="宋体"/>
          <w:szCs w:val="21"/>
        </w:rPr>
      </w:pPr>
      <w:r>
        <w:rPr>
          <w:rFonts w:hint="eastAsia"/>
          <w:szCs w:val="21"/>
        </w:rPr>
        <w:t xml:space="preserve">20.2.1  </w:t>
      </w:r>
      <w:r>
        <w:rPr>
          <w:rFonts w:hint="eastAsia" w:ascii="宋体" w:hAnsi="宋体"/>
          <w:szCs w:val="21"/>
        </w:rPr>
        <w:t>承包人员工伤事故的保险</w:t>
      </w:r>
    </w:p>
    <w:p>
      <w:pPr>
        <w:spacing w:line="420" w:lineRule="exact"/>
        <w:ind w:firstLine="420" w:firstLineChars="200"/>
        <w:rPr>
          <w:szCs w:val="21"/>
        </w:rPr>
      </w:pPr>
      <w:r>
        <w:rPr>
          <w:rFonts w:hint="eastAsia"/>
          <w:szCs w:val="21"/>
        </w:rPr>
        <w:t>承包人应</w:t>
      </w:r>
      <w:r>
        <w:rPr>
          <w:szCs w:val="21"/>
        </w:rPr>
        <w:t>依照</w:t>
      </w:r>
      <w:r>
        <w:rPr>
          <w:rFonts w:hint="eastAsia"/>
          <w:szCs w:val="21"/>
        </w:rPr>
        <w:t>有关法律</w:t>
      </w:r>
      <w:r>
        <w:rPr>
          <w:szCs w:val="21"/>
        </w:rPr>
        <w:t>规定参加工伤保险，</w:t>
      </w:r>
      <w:r>
        <w:rPr>
          <w:rFonts w:hint="eastAsia"/>
          <w:szCs w:val="21"/>
        </w:rPr>
        <w:t>为其履行合同所雇佣的全部人员，</w:t>
      </w:r>
      <w:r>
        <w:rPr>
          <w:szCs w:val="21"/>
        </w:rPr>
        <w:t>缴纳工伤保险费</w:t>
      </w:r>
      <w:r>
        <w:rPr>
          <w:rFonts w:hint="eastAsia"/>
          <w:szCs w:val="21"/>
        </w:rPr>
        <w:t>，并要求其分包人也进行此项保险。</w:t>
      </w:r>
    </w:p>
    <w:p>
      <w:pPr>
        <w:spacing w:line="420" w:lineRule="exact"/>
        <w:ind w:firstLine="420" w:firstLineChars="200"/>
        <w:rPr>
          <w:rFonts w:ascii="宋体" w:hAnsi="宋体"/>
          <w:szCs w:val="21"/>
        </w:rPr>
      </w:pPr>
      <w:r>
        <w:rPr>
          <w:rFonts w:hint="eastAsia"/>
          <w:szCs w:val="21"/>
        </w:rPr>
        <w:t>20.2.2</w:t>
      </w:r>
      <w:r>
        <w:rPr>
          <w:rFonts w:hint="eastAsia" w:ascii="宋体" w:hAnsi="宋体"/>
          <w:szCs w:val="21"/>
        </w:rPr>
        <w:t>发包人员工伤事故的保险</w:t>
      </w:r>
    </w:p>
    <w:p>
      <w:pPr>
        <w:spacing w:line="420" w:lineRule="exact"/>
        <w:ind w:firstLine="420" w:firstLineChars="200"/>
        <w:rPr>
          <w:szCs w:val="21"/>
        </w:rPr>
      </w:pPr>
      <w:r>
        <w:rPr>
          <w:rFonts w:hint="eastAsia"/>
          <w:szCs w:val="21"/>
        </w:rPr>
        <w:t>发包人应</w:t>
      </w:r>
      <w:r>
        <w:rPr>
          <w:szCs w:val="21"/>
        </w:rPr>
        <w:t>依照</w:t>
      </w:r>
      <w:r>
        <w:rPr>
          <w:rFonts w:hint="eastAsia"/>
          <w:szCs w:val="21"/>
        </w:rPr>
        <w:t>有关法律</w:t>
      </w:r>
      <w:r>
        <w:rPr>
          <w:szCs w:val="21"/>
        </w:rPr>
        <w:t>规定参加工伤保险，</w:t>
      </w:r>
      <w:r>
        <w:rPr>
          <w:rFonts w:hint="eastAsia"/>
          <w:szCs w:val="21"/>
        </w:rPr>
        <w:t>为其现场机构雇佣的全部人员，</w:t>
      </w:r>
      <w:r>
        <w:rPr>
          <w:szCs w:val="21"/>
        </w:rPr>
        <w:t>缴纳工伤保险费</w:t>
      </w:r>
      <w:r>
        <w:rPr>
          <w:rFonts w:hint="eastAsia"/>
          <w:szCs w:val="21"/>
        </w:rPr>
        <w:t>，并要求其监理人也进行此项保险。</w:t>
      </w:r>
    </w:p>
    <w:p>
      <w:pPr>
        <w:pStyle w:val="27"/>
        <w:spacing w:beforeLines="50" w:afterLines="50" w:line="420" w:lineRule="exact"/>
        <w:rPr>
          <w:sz w:val="21"/>
          <w:szCs w:val="21"/>
        </w:rPr>
      </w:pPr>
      <w:bookmarkStart w:id="5210" w:name="_Toc288546749"/>
      <w:bookmarkStart w:id="5211" w:name="_Toc13156"/>
      <w:bookmarkStart w:id="5212" w:name="_Toc2392"/>
      <w:bookmarkStart w:id="5213" w:name="_Toc152042524"/>
      <w:bookmarkStart w:id="5214" w:name="_Toc5816"/>
      <w:bookmarkStart w:id="5215" w:name="_Toc237923924"/>
      <w:bookmarkStart w:id="5216" w:name="_Toc287853449"/>
      <w:bookmarkStart w:id="5217" w:name="_Toc152045745"/>
      <w:bookmarkStart w:id="5218" w:name="_Toc179632763"/>
      <w:bookmarkStart w:id="5219" w:name="_Toc11590"/>
      <w:bookmarkStart w:id="5220" w:name="_Toc25775"/>
      <w:bookmarkStart w:id="5221" w:name="_Toc31302"/>
      <w:bookmarkStart w:id="5222" w:name="_Toc282787549"/>
      <w:bookmarkStart w:id="5223" w:name="_Toc282779609"/>
      <w:bookmarkStart w:id="5224" w:name="_Toc10546"/>
      <w:bookmarkStart w:id="5225" w:name="_Toc28263"/>
      <w:bookmarkStart w:id="5226" w:name="_Toc144974716"/>
      <w:bookmarkStart w:id="5227" w:name="_Toc288491625"/>
      <w:bookmarkStart w:id="5228" w:name="_Toc5773"/>
      <w:bookmarkStart w:id="5229" w:name="_Toc283794297"/>
      <w:bookmarkStart w:id="5230" w:name="_Toc10610"/>
      <w:bookmarkStart w:id="5231" w:name="_Toc282779100"/>
      <w:bookmarkStart w:id="5232" w:name="_Toc24491"/>
      <w:r>
        <w:rPr>
          <w:rFonts w:hint="eastAsia"/>
          <w:b/>
          <w:sz w:val="21"/>
          <w:szCs w:val="21"/>
        </w:rPr>
        <w:t>20.3</w:t>
      </w:r>
      <w:r>
        <w:rPr>
          <w:rFonts w:hint="eastAsia"/>
          <w:sz w:val="21"/>
          <w:szCs w:val="21"/>
        </w:rPr>
        <w:t xml:space="preserve">  人身意外伤害险</w:t>
      </w:r>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p>
    <w:p>
      <w:pPr>
        <w:spacing w:line="420" w:lineRule="exact"/>
        <w:ind w:firstLine="420" w:firstLineChars="200"/>
        <w:rPr>
          <w:szCs w:val="21"/>
        </w:rPr>
      </w:pPr>
      <w:r>
        <w:rPr>
          <w:rFonts w:hint="eastAsia"/>
          <w:szCs w:val="21"/>
        </w:rPr>
        <w:t>20.3.1  发包人应在整个施工期间为其现场机构雇用的全部人员，投保人身意外伤害险，缴纳保险费，并要求其监理人也进行此项保险。</w:t>
      </w:r>
    </w:p>
    <w:p>
      <w:pPr>
        <w:spacing w:line="420" w:lineRule="exact"/>
        <w:ind w:firstLine="420" w:firstLineChars="200"/>
        <w:rPr>
          <w:szCs w:val="21"/>
        </w:rPr>
      </w:pPr>
      <w:r>
        <w:rPr>
          <w:rFonts w:hint="eastAsia"/>
          <w:szCs w:val="21"/>
        </w:rPr>
        <w:t>20.3.2  承包人应在整个施工期间为其现场机构雇用的全部人员，投保人身意外伤害险，缴纳保险费，并要求其分包人也进行此项保险。</w:t>
      </w:r>
    </w:p>
    <w:p>
      <w:pPr>
        <w:spacing w:line="420" w:lineRule="exact"/>
        <w:ind w:firstLine="420" w:firstLineChars="200"/>
        <w:rPr>
          <w:szCs w:val="21"/>
        </w:rPr>
      </w:pPr>
      <w:r>
        <w:rPr>
          <w:rFonts w:hint="eastAsia" w:hAnsi="宋体"/>
          <w:szCs w:val="21"/>
        </w:rPr>
        <w:t>承包人对其为本工程合同工作的人员进行人身意外伤害保险，投保金额可暂定为30万元，按议定的保险费率办理。保险费由投标人报价时列入工程量清单第100章内。发包人在接到保险单后，将按照保险单的费用直接向承包人支付。</w:t>
      </w:r>
    </w:p>
    <w:p>
      <w:pPr>
        <w:pStyle w:val="27"/>
        <w:spacing w:beforeLines="50" w:afterLines="50" w:line="420" w:lineRule="exact"/>
        <w:rPr>
          <w:sz w:val="21"/>
          <w:szCs w:val="21"/>
        </w:rPr>
      </w:pPr>
      <w:bookmarkStart w:id="5233" w:name="_Toc14173"/>
      <w:bookmarkStart w:id="5234" w:name="_Toc283794298"/>
      <w:bookmarkStart w:id="5235" w:name="_Toc282779610"/>
      <w:bookmarkStart w:id="5236" w:name="_Toc17662"/>
      <w:bookmarkStart w:id="5237" w:name="_Toc152045746"/>
      <w:bookmarkStart w:id="5238" w:name="_Toc20447"/>
      <w:bookmarkStart w:id="5239" w:name="_Toc21184"/>
      <w:bookmarkStart w:id="5240" w:name="_Toc13245"/>
      <w:bookmarkStart w:id="5241" w:name="_Toc282779101"/>
      <w:bookmarkStart w:id="5242" w:name="_Toc12740"/>
      <w:bookmarkStart w:id="5243" w:name="_Toc7464"/>
      <w:bookmarkStart w:id="5244" w:name="_Toc15522"/>
      <w:bookmarkStart w:id="5245" w:name="_Toc288546750"/>
      <w:bookmarkStart w:id="5246" w:name="_Toc282787550"/>
      <w:bookmarkStart w:id="5247" w:name="_Toc179632764"/>
      <w:bookmarkStart w:id="5248" w:name="_Toc288491626"/>
      <w:bookmarkStart w:id="5249" w:name="_Toc21687"/>
      <w:bookmarkStart w:id="5250" w:name="_Toc237923925"/>
      <w:bookmarkStart w:id="5251" w:name="_Toc152042525"/>
      <w:bookmarkStart w:id="5252" w:name="_Toc13922"/>
      <w:bookmarkStart w:id="5253" w:name="_Toc144974717"/>
      <w:bookmarkStart w:id="5254" w:name="_Toc287853450"/>
      <w:bookmarkStart w:id="5255" w:name="_Toc23916"/>
      <w:r>
        <w:rPr>
          <w:rFonts w:hint="eastAsia"/>
          <w:b/>
          <w:sz w:val="21"/>
          <w:szCs w:val="21"/>
        </w:rPr>
        <w:t>20.4</w:t>
      </w:r>
      <w:r>
        <w:rPr>
          <w:rFonts w:hint="eastAsia"/>
          <w:sz w:val="21"/>
          <w:szCs w:val="21"/>
        </w:rPr>
        <w:t xml:space="preserve">  第三者责任险</w:t>
      </w:r>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p>
    <w:p>
      <w:pPr>
        <w:spacing w:line="420" w:lineRule="exact"/>
        <w:ind w:firstLine="420" w:firstLineChars="200"/>
        <w:rPr>
          <w:szCs w:val="21"/>
        </w:rPr>
      </w:pPr>
      <w:r>
        <w:rPr>
          <w:rFonts w:hint="eastAsia"/>
          <w:szCs w:val="21"/>
        </w:rPr>
        <w:t>20.4.1  第三者责任系指在保险期内，对因工程意外事故造成的、依法应由被保险人负责的工地上及毗邻地区的第三者人身伤亡、疾病或财产损失（本工程除外），以及被保险人因此而支付的诉讼费用和事先经保险人书面同意支付的其它费用等赔偿责任。</w:t>
      </w:r>
    </w:p>
    <w:p>
      <w:pPr>
        <w:spacing w:line="420" w:lineRule="exact"/>
        <w:ind w:firstLine="420" w:firstLineChars="200"/>
        <w:rPr>
          <w:szCs w:val="21"/>
        </w:rPr>
      </w:pPr>
      <w:r>
        <w:rPr>
          <w:rFonts w:hint="eastAsia"/>
          <w:szCs w:val="21"/>
        </w:rPr>
        <w:t>20.4.2  在缺陷责任期终止证书颁发前，承包人应以承包人和发包人的共同名义，投保第20.4.1项约定的第三者责任险，其保险费率、保险金额等有关内容在专用合同条款中约定。</w:t>
      </w:r>
    </w:p>
    <w:p>
      <w:pPr>
        <w:spacing w:line="420" w:lineRule="exact"/>
        <w:ind w:firstLine="420" w:firstLineChars="200"/>
        <w:rPr>
          <w:szCs w:val="21"/>
        </w:rPr>
      </w:pPr>
      <w:r>
        <w:rPr>
          <w:szCs w:val="21"/>
        </w:rPr>
        <w:t>第三者责任险的保险费由承包人报价时列入工程量清单100章内。发包人在接到保险单后，将按照保险单的费用直接向承包人支付。</w:t>
      </w:r>
    </w:p>
    <w:p>
      <w:pPr>
        <w:pStyle w:val="27"/>
        <w:spacing w:beforeLines="50" w:afterLines="50" w:line="420" w:lineRule="exact"/>
        <w:rPr>
          <w:sz w:val="21"/>
          <w:szCs w:val="21"/>
        </w:rPr>
      </w:pPr>
      <w:bookmarkStart w:id="5256" w:name="_Toc287853451"/>
      <w:bookmarkStart w:id="5257" w:name="_Toc282779611"/>
      <w:bookmarkStart w:id="5258" w:name="_Toc283794299"/>
      <w:bookmarkStart w:id="5259" w:name="_Toc237923926"/>
      <w:bookmarkStart w:id="5260" w:name="_Toc28325"/>
      <w:bookmarkStart w:id="5261" w:name="_Toc27997"/>
      <w:bookmarkStart w:id="5262" w:name="_Toc23800"/>
      <w:bookmarkStart w:id="5263" w:name="_Toc152045747"/>
      <w:bookmarkStart w:id="5264" w:name="_Toc152042526"/>
      <w:bookmarkStart w:id="5265" w:name="_Toc185"/>
      <w:bookmarkStart w:id="5266" w:name="_Toc282787551"/>
      <w:bookmarkStart w:id="5267" w:name="_Toc10472"/>
      <w:bookmarkStart w:id="5268" w:name="_Toc4967"/>
      <w:bookmarkStart w:id="5269" w:name="_Toc288546751"/>
      <w:bookmarkStart w:id="5270" w:name="_Toc23137"/>
      <w:bookmarkStart w:id="5271" w:name="_Toc16184"/>
      <w:bookmarkStart w:id="5272" w:name="_Toc288491627"/>
      <w:bookmarkStart w:id="5273" w:name="_Toc282779102"/>
      <w:bookmarkStart w:id="5274" w:name="_Toc179632765"/>
      <w:bookmarkStart w:id="5275" w:name="_Toc997"/>
      <w:bookmarkStart w:id="5276" w:name="_Toc144974718"/>
      <w:bookmarkStart w:id="5277" w:name="_Toc4365"/>
      <w:bookmarkStart w:id="5278" w:name="_Toc7463"/>
      <w:r>
        <w:rPr>
          <w:rFonts w:hint="eastAsia"/>
          <w:b/>
          <w:sz w:val="21"/>
          <w:szCs w:val="21"/>
        </w:rPr>
        <w:t>20.5</w:t>
      </w:r>
      <w:r>
        <w:rPr>
          <w:rFonts w:hint="eastAsia"/>
          <w:sz w:val="21"/>
          <w:szCs w:val="21"/>
        </w:rPr>
        <w:t xml:space="preserve">  其它保险</w:t>
      </w:r>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p>
    <w:p>
      <w:pPr>
        <w:spacing w:line="420" w:lineRule="exact"/>
        <w:ind w:firstLine="420" w:firstLineChars="200"/>
        <w:rPr>
          <w:szCs w:val="21"/>
        </w:rPr>
      </w:pPr>
      <w:r>
        <w:rPr>
          <w:rFonts w:hint="eastAsia"/>
          <w:szCs w:val="21"/>
        </w:rPr>
        <w:t>除专用合同条款另有约定外，承包人应为其施工设备、进场的材料和工程设备等办理保险。</w:t>
      </w:r>
    </w:p>
    <w:p>
      <w:pPr>
        <w:spacing w:line="420" w:lineRule="exact"/>
        <w:ind w:firstLine="420" w:firstLineChars="200"/>
        <w:rPr>
          <w:szCs w:val="21"/>
        </w:rPr>
      </w:pPr>
      <w:r>
        <w:rPr>
          <w:rFonts w:hint="eastAsia"/>
          <w:szCs w:val="21"/>
        </w:rPr>
        <w:t>承包人为其施工设备等办理保险，其投标金额应足以现场重置。办理本款保险的一切费用均由承包人承担，并包括在工程量清单的单价及总额价中，发包人不单独支付。</w:t>
      </w:r>
    </w:p>
    <w:p>
      <w:pPr>
        <w:pStyle w:val="27"/>
        <w:spacing w:beforeLines="50" w:afterLines="50" w:line="420" w:lineRule="exact"/>
        <w:rPr>
          <w:sz w:val="21"/>
          <w:szCs w:val="21"/>
        </w:rPr>
      </w:pPr>
      <w:bookmarkStart w:id="5279" w:name="_Toc3182"/>
      <w:bookmarkStart w:id="5280" w:name="_Toc1397"/>
      <w:bookmarkStart w:id="5281" w:name="_Toc282787552"/>
      <w:bookmarkStart w:id="5282" w:name="_Toc8811"/>
      <w:bookmarkStart w:id="5283" w:name="_Toc282779612"/>
      <w:bookmarkStart w:id="5284" w:name="_Toc179632766"/>
      <w:bookmarkStart w:id="5285" w:name="_Toc144974719"/>
      <w:bookmarkStart w:id="5286" w:name="_Toc26997"/>
      <w:bookmarkStart w:id="5287" w:name="_Toc32590"/>
      <w:bookmarkStart w:id="5288" w:name="_Toc152042527"/>
      <w:bookmarkStart w:id="5289" w:name="_Toc152045748"/>
      <w:bookmarkStart w:id="5290" w:name="_Toc237923927"/>
      <w:bookmarkStart w:id="5291" w:name="_Toc1733"/>
      <w:bookmarkStart w:id="5292" w:name="_Toc283794300"/>
      <w:bookmarkStart w:id="5293" w:name="_Toc288546752"/>
      <w:bookmarkStart w:id="5294" w:name="_Toc19833"/>
      <w:bookmarkStart w:id="5295" w:name="_Toc282779103"/>
      <w:bookmarkStart w:id="5296" w:name="_Toc2876"/>
      <w:bookmarkStart w:id="5297" w:name="_Toc18224"/>
      <w:bookmarkStart w:id="5298" w:name="_Toc8080"/>
      <w:bookmarkStart w:id="5299" w:name="_Toc287853452"/>
      <w:bookmarkStart w:id="5300" w:name="_Toc288491628"/>
      <w:bookmarkStart w:id="5301" w:name="_Toc2796"/>
      <w:r>
        <w:rPr>
          <w:rFonts w:hint="eastAsia"/>
          <w:b/>
          <w:sz w:val="21"/>
          <w:szCs w:val="21"/>
        </w:rPr>
        <w:t>20.6</w:t>
      </w:r>
      <w:r>
        <w:rPr>
          <w:rFonts w:hint="eastAsia"/>
          <w:sz w:val="21"/>
          <w:szCs w:val="21"/>
        </w:rPr>
        <w:t xml:space="preserve">  对各项保险的一般要求</w:t>
      </w:r>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p>
    <w:p>
      <w:pPr>
        <w:spacing w:line="420" w:lineRule="exact"/>
        <w:ind w:firstLine="420" w:firstLineChars="200"/>
        <w:rPr>
          <w:rFonts w:ascii="宋体" w:hAnsi="宋体"/>
          <w:szCs w:val="21"/>
        </w:rPr>
      </w:pPr>
      <w:r>
        <w:rPr>
          <w:rFonts w:hint="eastAsia"/>
          <w:szCs w:val="21"/>
        </w:rPr>
        <w:t xml:space="preserve">20.6.1  </w:t>
      </w:r>
      <w:r>
        <w:rPr>
          <w:rFonts w:hint="eastAsia" w:ascii="宋体" w:hAnsi="宋体"/>
          <w:szCs w:val="21"/>
        </w:rPr>
        <w:t>保险凭证</w:t>
      </w:r>
    </w:p>
    <w:p>
      <w:pPr>
        <w:spacing w:line="420" w:lineRule="exact"/>
        <w:ind w:firstLine="420" w:firstLineChars="200"/>
        <w:rPr>
          <w:szCs w:val="21"/>
        </w:rPr>
      </w:pPr>
      <w:r>
        <w:rPr>
          <w:rFonts w:hint="eastAsia"/>
          <w:szCs w:val="21"/>
        </w:rPr>
        <w:t>承包人向发包人提交各项保险生效的证据和保险单副本的期限：开工后56天内。保险单必须与专用合同条款约定的条件保持一致。</w:t>
      </w:r>
    </w:p>
    <w:p>
      <w:pPr>
        <w:spacing w:line="420" w:lineRule="exact"/>
        <w:ind w:firstLine="420" w:firstLineChars="200"/>
        <w:rPr>
          <w:rFonts w:ascii="宋体" w:hAnsi="宋体"/>
          <w:szCs w:val="21"/>
        </w:rPr>
      </w:pPr>
      <w:r>
        <w:rPr>
          <w:rFonts w:hint="eastAsia"/>
          <w:szCs w:val="21"/>
        </w:rPr>
        <w:t xml:space="preserve">20.6.2  </w:t>
      </w:r>
      <w:r>
        <w:rPr>
          <w:rFonts w:hint="eastAsia" w:ascii="宋体" w:hAnsi="宋体"/>
          <w:szCs w:val="21"/>
        </w:rPr>
        <w:t>保险合同条款的变动</w:t>
      </w:r>
    </w:p>
    <w:p>
      <w:pPr>
        <w:spacing w:line="420" w:lineRule="exact"/>
        <w:ind w:firstLine="420" w:firstLineChars="200"/>
        <w:rPr>
          <w:szCs w:val="21"/>
        </w:rPr>
      </w:pPr>
      <w:r>
        <w:rPr>
          <w:rFonts w:hint="eastAsia"/>
          <w:szCs w:val="21"/>
        </w:rPr>
        <w:t>承包人需要变动保险合同条款时，应事先征得发包人同意，并通知监理人。保险人作出变动的，承包人应在收到保险人通知后立即通知发包人和监理人。</w:t>
      </w:r>
    </w:p>
    <w:p>
      <w:pPr>
        <w:spacing w:line="420" w:lineRule="exact"/>
        <w:ind w:firstLine="420" w:firstLineChars="200"/>
        <w:rPr>
          <w:rFonts w:ascii="宋体" w:hAnsi="宋体"/>
          <w:szCs w:val="21"/>
        </w:rPr>
      </w:pPr>
      <w:r>
        <w:rPr>
          <w:rFonts w:hint="eastAsia"/>
          <w:szCs w:val="21"/>
        </w:rPr>
        <w:t xml:space="preserve">20.6.3 </w:t>
      </w:r>
      <w:r>
        <w:rPr>
          <w:rFonts w:hint="eastAsia" w:ascii="宋体" w:hAnsi="宋体"/>
          <w:szCs w:val="21"/>
        </w:rPr>
        <w:t xml:space="preserve"> 持续保险</w:t>
      </w:r>
    </w:p>
    <w:p>
      <w:pPr>
        <w:spacing w:line="420" w:lineRule="exact"/>
        <w:ind w:firstLine="420" w:firstLineChars="200"/>
        <w:rPr>
          <w:szCs w:val="21"/>
        </w:rPr>
      </w:pPr>
      <w:r>
        <w:rPr>
          <w:rFonts w:hint="eastAsia"/>
          <w:szCs w:val="21"/>
        </w:rPr>
        <w:t>承包人应与保险人保持联系，使保险人能够随时了解工程实施中的变动，并确保按保险合同条款要求持续保险。在整个合同期内，承包人应按合同条款规定保证足够的保险额。</w:t>
      </w:r>
    </w:p>
    <w:p>
      <w:pPr>
        <w:spacing w:line="420" w:lineRule="exact"/>
        <w:ind w:firstLine="420" w:firstLineChars="200"/>
        <w:rPr>
          <w:rFonts w:ascii="黑体" w:eastAsia="黑体"/>
          <w:szCs w:val="21"/>
        </w:rPr>
      </w:pPr>
      <w:r>
        <w:rPr>
          <w:rFonts w:hint="eastAsia"/>
          <w:szCs w:val="21"/>
        </w:rPr>
        <w:t xml:space="preserve">20.6.4  </w:t>
      </w:r>
      <w:r>
        <w:rPr>
          <w:rFonts w:hint="eastAsia" w:ascii="宋体" w:hAnsi="宋体"/>
          <w:szCs w:val="21"/>
        </w:rPr>
        <w:t>保险金不足的补偿</w:t>
      </w:r>
    </w:p>
    <w:p>
      <w:pPr>
        <w:spacing w:line="420" w:lineRule="exact"/>
        <w:ind w:firstLine="420" w:firstLineChars="200"/>
        <w:rPr>
          <w:szCs w:val="21"/>
        </w:rPr>
      </w:pPr>
      <w:r>
        <w:rPr>
          <w:rFonts w:hint="eastAsia"/>
          <w:szCs w:val="21"/>
        </w:rPr>
        <w:t>保险金不足以补偿损失的，应由承包人和（或）发包人按合同约定负责补偿。保险金不足以补偿损失的（包括免赔额和超过赔偿限额的部分），应由承包人和（或）发包人按合同约定负责补偿。</w:t>
      </w:r>
    </w:p>
    <w:p>
      <w:pPr>
        <w:spacing w:line="420" w:lineRule="exact"/>
        <w:ind w:firstLine="420" w:firstLineChars="200"/>
        <w:rPr>
          <w:rFonts w:ascii="黑体" w:eastAsia="黑体"/>
          <w:szCs w:val="21"/>
        </w:rPr>
      </w:pPr>
      <w:r>
        <w:rPr>
          <w:rFonts w:hint="eastAsia"/>
          <w:szCs w:val="21"/>
        </w:rPr>
        <w:t xml:space="preserve">20.6.5  </w:t>
      </w:r>
      <w:r>
        <w:rPr>
          <w:rFonts w:hint="eastAsia" w:ascii="宋体" w:hAnsi="宋体"/>
          <w:szCs w:val="21"/>
        </w:rPr>
        <w:t>未按约定投保的补救</w:t>
      </w:r>
    </w:p>
    <w:p>
      <w:pPr>
        <w:spacing w:line="420" w:lineRule="exact"/>
        <w:ind w:firstLine="420" w:firstLineChars="200"/>
        <w:rPr>
          <w:rFonts w:ascii="黑体" w:eastAsia="黑体"/>
          <w:szCs w:val="21"/>
        </w:rPr>
      </w:pPr>
      <w:r>
        <w:rPr>
          <w:rFonts w:hint="eastAsia"/>
          <w:szCs w:val="21"/>
        </w:rPr>
        <w:t>（1）由于负有投保义务的一方当事人未按合同约定办理保险，或未能使保险持续有效的，另一方当事人可代为办理，所需费用由对方当事人承担。</w:t>
      </w:r>
    </w:p>
    <w:p>
      <w:pPr>
        <w:spacing w:line="420" w:lineRule="exact"/>
        <w:ind w:firstLine="420" w:firstLineChars="200"/>
        <w:rPr>
          <w:szCs w:val="21"/>
        </w:rPr>
      </w:pPr>
      <w:r>
        <w:rPr>
          <w:rFonts w:hint="eastAsia"/>
          <w:szCs w:val="21"/>
        </w:rPr>
        <w:t>（2）由于负有投保义务的一方当事人未按合同约定办理某项保险，或未按保险单规定的条件和限期及时向保险人报告事故情况，或未按要求的保险期限进行投标，或未按要求投保足够的保险金额，导致受益人未能全部得到保险人的赔偿，原应从该项保险得到的保险金应由负有投保义务的一方当事人支付。</w:t>
      </w:r>
    </w:p>
    <w:p>
      <w:pPr>
        <w:spacing w:line="420" w:lineRule="exact"/>
        <w:ind w:firstLine="420" w:firstLineChars="200"/>
        <w:rPr>
          <w:rFonts w:ascii="黑体" w:eastAsia="黑体"/>
          <w:szCs w:val="21"/>
        </w:rPr>
      </w:pPr>
      <w:r>
        <w:rPr>
          <w:rFonts w:hint="eastAsia"/>
          <w:szCs w:val="21"/>
        </w:rPr>
        <w:t xml:space="preserve">20.6.6  </w:t>
      </w:r>
      <w:r>
        <w:rPr>
          <w:rFonts w:hint="eastAsia" w:ascii="宋体" w:hAnsi="宋体"/>
          <w:szCs w:val="21"/>
        </w:rPr>
        <w:t>报告义务</w:t>
      </w:r>
    </w:p>
    <w:p>
      <w:pPr>
        <w:spacing w:line="420" w:lineRule="exact"/>
        <w:ind w:firstLine="420" w:firstLineChars="200"/>
        <w:rPr>
          <w:szCs w:val="21"/>
        </w:rPr>
      </w:pPr>
      <w:r>
        <w:rPr>
          <w:rFonts w:hint="eastAsia"/>
          <w:szCs w:val="21"/>
        </w:rPr>
        <w:t>当保险事故发生时，投保人应按照保险单规定的条件和期限及时向保险人报告。</w:t>
      </w:r>
    </w:p>
    <w:p>
      <w:pPr>
        <w:pStyle w:val="28"/>
        <w:spacing w:beforeLines="50" w:afterLines="50" w:line="420" w:lineRule="exact"/>
        <w:rPr>
          <w:szCs w:val="28"/>
        </w:rPr>
      </w:pPr>
      <w:bookmarkStart w:id="5302" w:name="_Toc144974720"/>
      <w:bookmarkStart w:id="5303" w:name="_Toc283794301"/>
      <w:bookmarkStart w:id="5304" w:name="_Toc30691"/>
      <w:bookmarkStart w:id="5305" w:name="_Toc288546753"/>
      <w:bookmarkStart w:id="5306" w:name="_Toc3587"/>
      <w:bookmarkStart w:id="5307" w:name="_Toc16064"/>
      <w:bookmarkStart w:id="5308" w:name="_Toc282779104"/>
      <w:bookmarkStart w:id="5309" w:name="_Toc1338"/>
      <w:bookmarkStart w:id="5310" w:name="_Toc152045749"/>
      <w:bookmarkStart w:id="5311" w:name="_Toc23411"/>
      <w:bookmarkStart w:id="5312" w:name="_Toc287853453"/>
      <w:bookmarkStart w:id="5313" w:name="_Toc237923928"/>
      <w:bookmarkStart w:id="5314" w:name="_Toc282787553"/>
      <w:bookmarkStart w:id="5315" w:name="_Toc282779613"/>
      <w:bookmarkStart w:id="5316" w:name="_Toc86"/>
      <w:bookmarkStart w:id="5317" w:name="_Toc29596"/>
      <w:bookmarkStart w:id="5318" w:name="_Toc23876"/>
      <w:bookmarkStart w:id="5319" w:name="_Toc3565"/>
      <w:bookmarkStart w:id="5320" w:name="_Toc152042528"/>
      <w:bookmarkStart w:id="5321" w:name="_Toc288491629"/>
      <w:bookmarkStart w:id="5322" w:name="_Toc1085"/>
      <w:bookmarkStart w:id="5323" w:name="_Toc179632767"/>
      <w:bookmarkStart w:id="5324" w:name="_Toc26807"/>
      <w:r>
        <w:rPr>
          <w:rFonts w:hint="eastAsia"/>
          <w:szCs w:val="28"/>
        </w:rPr>
        <w:t>21．不可抗力</w:t>
      </w:r>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p>
    <w:p>
      <w:pPr>
        <w:pStyle w:val="27"/>
        <w:spacing w:beforeLines="50" w:afterLines="50" w:line="420" w:lineRule="exact"/>
        <w:rPr>
          <w:sz w:val="21"/>
          <w:szCs w:val="21"/>
        </w:rPr>
      </w:pPr>
      <w:bookmarkStart w:id="5325" w:name="_Toc282779105"/>
      <w:bookmarkStart w:id="5326" w:name="_Toc152045750"/>
      <w:bookmarkStart w:id="5327" w:name="_Toc31363"/>
      <w:bookmarkStart w:id="5328" w:name="_Toc31276"/>
      <w:bookmarkStart w:id="5329" w:name="_Toc2511"/>
      <w:bookmarkStart w:id="5330" w:name="_Toc287853454"/>
      <w:bookmarkStart w:id="5331" w:name="_Toc20421"/>
      <w:bookmarkStart w:id="5332" w:name="_Toc237923929"/>
      <w:bookmarkStart w:id="5333" w:name="_Toc7214"/>
      <w:bookmarkStart w:id="5334" w:name="_Toc28819"/>
      <w:bookmarkStart w:id="5335" w:name="_Toc6943"/>
      <w:bookmarkStart w:id="5336" w:name="_Toc288546754"/>
      <w:bookmarkStart w:id="5337" w:name="_Toc283794302"/>
      <w:bookmarkStart w:id="5338" w:name="_Toc7195"/>
      <w:bookmarkStart w:id="5339" w:name="_Toc288491630"/>
      <w:bookmarkStart w:id="5340" w:name="_Toc144974721"/>
      <w:bookmarkStart w:id="5341" w:name="_Toc28442"/>
      <w:bookmarkStart w:id="5342" w:name="_Toc179632768"/>
      <w:bookmarkStart w:id="5343" w:name="_Toc282779614"/>
      <w:bookmarkStart w:id="5344" w:name="_Toc26148"/>
      <w:bookmarkStart w:id="5345" w:name="_Toc282787554"/>
      <w:bookmarkStart w:id="5346" w:name="_Toc10923"/>
      <w:bookmarkStart w:id="5347" w:name="_Toc152042529"/>
      <w:r>
        <w:rPr>
          <w:rFonts w:hint="eastAsia"/>
          <w:b/>
          <w:sz w:val="21"/>
          <w:szCs w:val="21"/>
        </w:rPr>
        <w:t>21.1</w:t>
      </w:r>
      <w:r>
        <w:rPr>
          <w:rFonts w:hint="eastAsia"/>
          <w:sz w:val="21"/>
          <w:szCs w:val="21"/>
        </w:rPr>
        <w:t xml:space="preserve">  不可抗力的确认</w:t>
      </w:r>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p>
    <w:p>
      <w:pPr>
        <w:spacing w:line="420" w:lineRule="exact"/>
        <w:ind w:firstLine="420" w:firstLineChars="200"/>
        <w:rPr>
          <w:szCs w:val="21"/>
        </w:rPr>
      </w:pPr>
      <w:r>
        <w:rPr>
          <w:rFonts w:hint="eastAsia"/>
          <w:szCs w:val="21"/>
        </w:rPr>
        <w:t>21.1.1  不可抗力是指承包人和发包人在订立合同时不可预见，在工程施工过程中不可避免发生并不能克服的自然灾害和社会性突发事件，如地震、海啸、瘟疫、水灾、骚乱、暴动、战争和专用合同条款约定的其它情形。</w:t>
      </w:r>
    </w:p>
    <w:p>
      <w:pPr>
        <w:spacing w:line="420" w:lineRule="exact"/>
        <w:ind w:firstLine="420" w:firstLineChars="200"/>
        <w:rPr>
          <w:szCs w:val="21"/>
        </w:rPr>
      </w:pPr>
      <w:r>
        <w:rPr>
          <w:rFonts w:hint="eastAsia"/>
          <w:szCs w:val="21"/>
        </w:rPr>
        <w:t>21.1.2  不可抗力发生后，发包人和承包人应及时认真统计所造成的损失，收集不可抗力造成损失的证据。合同双方对是否属于不可抗力或其损失的意见不一致的，由监理人按第3.5款商定或确定。发生争议时，按第24条的约定办理。</w:t>
      </w:r>
    </w:p>
    <w:p>
      <w:pPr>
        <w:pStyle w:val="27"/>
        <w:spacing w:beforeLines="50" w:afterLines="50" w:line="420" w:lineRule="exact"/>
        <w:rPr>
          <w:sz w:val="21"/>
          <w:szCs w:val="21"/>
        </w:rPr>
      </w:pPr>
      <w:bookmarkStart w:id="5348" w:name="_Toc282779106"/>
      <w:bookmarkStart w:id="5349" w:name="_Toc4471"/>
      <w:bookmarkStart w:id="5350" w:name="_Toc28873"/>
      <w:bookmarkStart w:id="5351" w:name="_Toc288546755"/>
      <w:bookmarkStart w:id="5352" w:name="_Toc2545"/>
      <w:bookmarkStart w:id="5353" w:name="_Toc288491631"/>
      <w:bookmarkStart w:id="5354" w:name="_Toc26956"/>
      <w:bookmarkStart w:id="5355" w:name="_Toc28107"/>
      <w:bookmarkStart w:id="5356" w:name="_Toc179632769"/>
      <w:bookmarkStart w:id="5357" w:name="_Toc20170"/>
      <w:bookmarkStart w:id="5358" w:name="_Toc237923930"/>
      <w:bookmarkStart w:id="5359" w:name="_Toc19215"/>
      <w:bookmarkStart w:id="5360" w:name="_Toc152045751"/>
      <w:bookmarkStart w:id="5361" w:name="_Toc282787555"/>
      <w:bookmarkStart w:id="5362" w:name="_Toc287853455"/>
      <w:bookmarkStart w:id="5363" w:name="_Toc28414"/>
      <w:bookmarkStart w:id="5364" w:name="_Toc10642"/>
      <w:bookmarkStart w:id="5365" w:name="_Toc6897"/>
      <w:bookmarkStart w:id="5366" w:name="_Toc283794303"/>
      <w:bookmarkStart w:id="5367" w:name="_Toc16101"/>
      <w:bookmarkStart w:id="5368" w:name="_Toc144974722"/>
      <w:bookmarkStart w:id="5369" w:name="_Toc282779615"/>
      <w:bookmarkStart w:id="5370" w:name="_Toc152042530"/>
      <w:r>
        <w:rPr>
          <w:rFonts w:eastAsia="宋体" w:cs="Times New Roman"/>
          <w:b/>
          <w:sz w:val="21"/>
          <w:szCs w:val="21"/>
        </w:rPr>
        <w:t>21.2</w:t>
      </w:r>
      <w:r>
        <w:rPr>
          <w:rFonts w:hint="eastAsia"/>
          <w:sz w:val="21"/>
          <w:szCs w:val="21"/>
        </w:rPr>
        <w:t xml:space="preserve">  不可抗力的通知</w:t>
      </w:r>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p>
    <w:p>
      <w:pPr>
        <w:spacing w:line="420" w:lineRule="exact"/>
        <w:ind w:firstLine="420" w:firstLineChars="200"/>
        <w:rPr>
          <w:szCs w:val="21"/>
        </w:rPr>
      </w:pPr>
      <w:r>
        <w:rPr>
          <w:rFonts w:hint="eastAsia"/>
          <w:szCs w:val="21"/>
        </w:rPr>
        <w:t>21.2.1  合同一方当事人遇到不可抗力事件，使其履行合同义务受到阻碍时，应立即通知合同另一方当事人和监理人，书面说明不可抗力和受阻碍的详细情况，并提供必要的证明。</w:t>
      </w:r>
    </w:p>
    <w:p>
      <w:pPr>
        <w:spacing w:line="420" w:lineRule="exact"/>
        <w:ind w:firstLine="420" w:firstLineChars="200"/>
        <w:rPr>
          <w:szCs w:val="21"/>
        </w:rPr>
      </w:pPr>
      <w:r>
        <w:rPr>
          <w:rFonts w:hint="eastAsia"/>
          <w:szCs w:val="21"/>
        </w:rPr>
        <w:t>21.2.2  如不可抗力持续发生，合同一方当事人应及时向合同另一方当事人和监理人提交中间报告，说明不可抗力和履行合同受阻的情况，并于不可抗力事件结束后28天内提交最终报告及有关资料。</w:t>
      </w:r>
    </w:p>
    <w:p>
      <w:pPr>
        <w:pStyle w:val="27"/>
        <w:spacing w:beforeLines="50" w:afterLines="50" w:line="420" w:lineRule="exact"/>
        <w:rPr>
          <w:sz w:val="21"/>
          <w:szCs w:val="21"/>
        </w:rPr>
      </w:pPr>
      <w:bookmarkStart w:id="5371" w:name="_Toc282779616"/>
      <w:bookmarkStart w:id="5372" w:name="_Toc144974723"/>
      <w:bookmarkStart w:id="5373" w:name="_Toc288546756"/>
      <w:bookmarkStart w:id="5374" w:name="_Toc237923931"/>
      <w:bookmarkStart w:id="5375" w:name="_Toc152042531"/>
      <w:bookmarkStart w:id="5376" w:name="_Toc10500"/>
      <w:bookmarkStart w:id="5377" w:name="_Toc152045752"/>
      <w:bookmarkStart w:id="5378" w:name="_Toc12364"/>
      <w:bookmarkStart w:id="5379" w:name="_Toc282779107"/>
      <w:bookmarkStart w:id="5380" w:name="_Toc6735"/>
      <w:bookmarkStart w:id="5381" w:name="_Toc28866"/>
      <w:bookmarkStart w:id="5382" w:name="_Toc179632770"/>
      <w:bookmarkStart w:id="5383" w:name="_Toc283794304"/>
      <w:bookmarkStart w:id="5384" w:name="_Toc21780"/>
      <w:bookmarkStart w:id="5385" w:name="_Toc31695"/>
      <w:bookmarkStart w:id="5386" w:name="_Toc287853456"/>
      <w:bookmarkStart w:id="5387" w:name="_Toc14415"/>
      <w:bookmarkStart w:id="5388" w:name="_Toc282787556"/>
      <w:bookmarkStart w:id="5389" w:name="_Toc11018"/>
      <w:bookmarkStart w:id="5390" w:name="_Toc5808"/>
      <w:bookmarkStart w:id="5391" w:name="_Toc288491632"/>
      <w:bookmarkStart w:id="5392" w:name="_Toc6452"/>
      <w:bookmarkStart w:id="5393" w:name="_Toc22914"/>
      <w:r>
        <w:rPr>
          <w:rFonts w:hint="eastAsia"/>
          <w:b/>
          <w:sz w:val="21"/>
          <w:szCs w:val="21"/>
        </w:rPr>
        <w:t>21.3</w:t>
      </w:r>
      <w:r>
        <w:rPr>
          <w:rFonts w:hint="eastAsia"/>
          <w:sz w:val="21"/>
          <w:szCs w:val="21"/>
        </w:rPr>
        <w:t xml:space="preserve">  不可抗力后果及其处理</w:t>
      </w:r>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p>
    <w:p>
      <w:pPr>
        <w:spacing w:line="420" w:lineRule="exact"/>
        <w:ind w:firstLine="420" w:firstLineChars="200"/>
        <w:rPr>
          <w:szCs w:val="21"/>
        </w:rPr>
      </w:pPr>
      <w:r>
        <w:rPr>
          <w:rFonts w:hint="eastAsia"/>
          <w:szCs w:val="21"/>
        </w:rPr>
        <w:t xml:space="preserve">21.3.1  </w:t>
      </w:r>
      <w:r>
        <w:rPr>
          <w:rFonts w:hint="eastAsia" w:ascii="黑体" w:eastAsia="黑体"/>
          <w:szCs w:val="21"/>
        </w:rPr>
        <w:t>不可抗力造成损害的责任</w:t>
      </w:r>
    </w:p>
    <w:p>
      <w:pPr>
        <w:spacing w:line="420" w:lineRule="exact"/>
        <w:ind w:firstLine="420" w:firstLineChars="200"/>
        <w:rPr>
          <w:szCs w:val="21"/>
        </w:rPr>
      </w:pPr>
      <w:r>
        <w:rPr>
          <w:rFonts w:hint="eastAsia"/>
          <w:szCs w:val="21"/>
        </w:rPr>
        <w:t>除专用合同条款另有约定外，不可抗力导致的人员伤亡、财产损失、费用增加和（或）工期延误等后果，由合同双方按以下原则承担：</w:t>
      </w:r>
    </w:p>
    <w:p>
      <w:pPr>
        <w:spacing w:line="420" w:lineRule="exact"/>
        <w:ind w:firstLine="420" w:firstLineChars="200"/>
        <w:rPr>
          <w:szCs w:val="21"/>
        </w:rPr>
      </w:pPr>
      <w:r>
        <w:rPr>
          <w:rFonts w:hint="eastAsia"/>
          <w:szCs w:val="21"/>
        </w:rPr>
        <w:t>（1）永久工程，包括已运至施工场地的材料和工程设备的损害，以及因工程损害造成的第三者人员伤亡和财产损失由发包人承担；</w:t>
      </w:r>
    </w:p>
    <w:p>
      <w:pPr>
        <w:spacing w:line="420" w:lineRule="exact"/>
        <w:ind w:firstLine="420" w:firstLineChars="200"/>
        <w:rPr>
          <w:szCs w:val="21"/>
        </w:rPr>
      </w:pPr>
      <w:r>
        <w:rPr>
          <w:rFonts w:hint="eastAsia"/>
          <w:szCs w:val="21"/>
        </w:rPr>
        <w:t>（2）承包人设备的损坏由承包人承担；</w:t>
      </w:r>
    </w:p>
    <w:p>
      <w:pPr>
        <w:spacing w:line="420" w:lineRule="exact"/>
        <w:ind w:firstLine="420" w:firstLineChars="200"/>
        <w:rPr>
          <w:szCs w:val="21"/>
        </w:rPr>
      </w:pPr>
      <w:r>
        <w:rPr>
          <w:rFonts w:hint="eastAsia"/>
          <w:szCs w:val="21"/>
        </w:rPr>
        <w:t>（3）发包人和承包人各自承担其人员伤亡和其它财产损失及其相关费用；</w:t>
      </w:r>
    </w:p>
    <w:p>
      <w:pPr>
        <w:spacing w:line="420" w:lineRule="exact"/>
        <w:ind w:firstLine="420" w:firstLineChars="200"/>
        <w:rPr>
          <w:szCs w:val="21"/>
        </w:rPr>
      </w:pPr>
      <w:r>
        <w:rPr>
          <w:rFonts w:hint="eastAsia"/>
          <w:szCs w:val="21"/>
        </w:rPr>
        <w:t>（4）承包人的停工损失由承包人承担，但停工期间应监理人要求照管工程和清理、修复工程的金额由发包人承担；</w:t>
      </w:r>
    </w:p>
    <w:p>
      <w:pPr>
        <w:spacing w:line="420" w:lineRule="exact"/>
        <w:ind w:firstLine="420" w:firstLineChars="200"/>
        <w:rPr>
          <w:szCs w:val="21"/>
        </w:rPr>
      </w:pPr>
      <w:r>
        <w:rPr>
          <w:rFonts w:hint="eastAsia"/>
          <w:szCs w:val="21"/>
        </w:rPr>
        <w:t>（5）不能按期竣工的，应合理延长工期，承包人不需支付逾期竣工违约金。发包人要求赶工的，承包人应采取赶工措施，赶工费用由发包人承担。</w:t>
      </w:r>
    </w:p>
    <w:p>
      <w:pPr>
        <w:spacing w:line="420" w:lineRule="exact"/>
        <w:ind w:firstLine="420" w:firstLineChars="200"/>
        <w:rPr>
          <w:rFonts w:ascii="宋体" w:hAnsi="宋体"/>
          <w:szCs w:val="21"/>
        </w:rPr>
      </w:pPr>
      <w:r>
        <w:rPr>
          <w:rFonts w:hint="eastAsia"/>
          <w:szCs w:val="21"/>
        </w:rPr>
        <w:t xml:space="preserve">21.3.2  </w:t>
      </w:r>
      <w:r>
        <w:rPr>
          <w:rFonts w:hint="eastAsia" w:ascii="宋体" w:hAnsi="宋体"/>
          <w:szCs w:val="21"/>
        </w:rPr>
        <w:t>延迟履行期间发生的不可抗力</w:t>
      </w:r>
    </w:p>
    <w:p>
      <w:pPr>
        <w:spacing w:line="420" w:lineRule="exact"/>
        <w:ind w:firstLine="420" w:firstLineChars="200"/>
        <w:rPr>
          <w:szCs w:val="21"/>
        </w:rPr>
      </w:pPr>
      <w:r>
        <w:rPr>
          <w:rFonts w:hint="eastAsia"/>
          <w:szCs w:val="21"/>
        </w:rPr>
        <w:t>合同一方当事人延迟履行，在延迟履行期间发生不可抗力的，不免除其责任。</w:t>
      </w:r>
    </w:p>
    <w:p>
      <w:pPr>
        <w:spacing w:line="420" w:lineRule="exact"/>
        <w:ind w:firstLine="420" w:firstLineChars="200"/>
        <w:rPr>
          <w:rFonts w:ascii="宋体" w:hAnsi="宋体"/>
          <w:szCs w:val="21"/>
        </w:rPr>
      </w:pPr>
      <w:r>
        <w:rPr>
          <w:rFonts w:hint="eastAsia"/>
          <w:szCs w:val="21"/>
        </w:rPr>
        <w:t xml:space="preserve">21.3.3  </w:t>
      </w:r>
      <w:r>
        <w:rPr>
          <w:rFonts w:hint="eastAsia" w:ascii="宋体" w:hAnsi="宋体"/>
          <w:szCs w:val="21"/>
        </w:rPr>
        <w:t>避免和减少不可抗力损失</w:t>
      </w:r>
    </w:p>
    <w:p>
      <w:pPr>
        <w:spacing w:line="420" w:lineRule="exact"/>
        <w:ind w:firstLine="420" w:firstLineChars="200"/>
        <w:rPr>
          <w:szCs w:val="21"/>
        </w:rPr>
      </w:pPr>
      <w:r>
        <w:rPr>
          <w:rFonts w:hint="eastAsia"/>
          <w:szCs w:val="21"/>
        </w:rPr>
        <w:t>不可抗力发生后，发包人和承包人均应采取措施尽量避免和减少损失的扩大，任何一方没有采取有效措施导致损失扩大的，应对扩大的损失承担责任。</w:t>
      </w:r>
    </w:p>
    <w:p>
      <w:pPr>
        <w:spacing w:line="420" w:lineRule="exact"/>
        <w:ind w:firstLine="420" w:firstLineChars="200"/>
        <w:rPr>
          <w:szCs w:val="21"/>
        </w:rPr>
      </w:pPr>
      <w:r>
        <w:rPr>
          <w:rFonts w:hint="eastAsia"/>
          <w:szCs w:val="21"/>
        </w:rPr>
        <w:t xml:space="preserve">21.3.4  </w:t>
      </w:r>
      <w:r>
        <w:rPr>
          <w:rFonts w:hint="eastAsia" w:ascii="宋体" w:hAnsi="宋体"/>
          <w:szCs w:val="21"/>
        </w:rPr>
        <w:t>因不可抗力解除合同</w:t>
      </w:r>
    </w:p>
    <w:p>
      <w:pPr>
        <w:spacing w:line="420" w:lineRule="exact"/>
        <w:ind w:firstLine="420" w:firstLineChars="200"/>
        <w:rPr>
          <w:szCs w:val="21"/>
        </w:rPr>
      </w:pPr>
      <w:r>
        <w:rPr>
          <w:rFonts w:hint="eastAsia"/>
          <w:szCs w:val="21"/>
        </w:rPr>
        <w:t>合同一方当事人因不可抗力不能履行合同的，应当及时通知对方解除合同。合同解除后，承包人应按照第22.2.5项约定撤离施工场地。已经订货的材料由订货方负责退货或解除订货合同，不能退还的货款和因退货、解除订货合同发生的费用，由发包人承担，因未及时退货造成的损失由责任方承担。合同解除后的付款，参照第22.2.4项约定，由监理人按第3.5款商定或确定，但由于解除合同应赔偿的承包人损失不予考虑。</w:t>
      </w:r>
    </w:p>
    <w:p>
      <w:pPr>
        <w:pStyle w:val="28"/>
        <w:spacing w:beforeLines="50" w:afterLines="50" w:line="420" w:lineRule="exact"/>
        <w:rPr>
          <w:szCs w:val="28"/>
        </w:rPr>
      </w:pPr>
      <w:bookmarkStart w:id="5394" w:name="_Toc144974724"/>
      <w:bookmarkStart w:id="5395" w:name="_Toc24194"/>
      <w:bookmarkStart w:id="5396" w:name="_Toc152045753"/>
      <w:bookmarkStart w:id="5397" w:name="_Toc237923932"/>
      <w:bookmarkStart w:id="5398" w:name="_Toc11028"/>
      <w:bookmarkStart w:id="5399" w:name="_Toc288546757"/>
      <w:bookmarkStart w:id="5400" w:name="_Toc26654"/>
      <w:bookmarkStart w:id="5401" w:name="_Toc288491633"/>
      <w:bookmarkStart w:id="5402" w:name="_Toc282779617"/>
      <w:bookmarkStart w:id="5403" w:name="_Toc152042532"/>
      <w:bookmarkStart w:id="5404" w:name="_Toc29855"/>
      <w:bookmarkStart w:id="5405" w:name="_Toc3796"/>
      <w:bookmarkStart w:id="5406" w:name="_Toc23152"/>
      <w:bookmarkStart w:id="5407" w:name="_Toc283794305"/>
      <w:bookmarkStart w:id="5408" w:name="_Toc179632771"/>
      <w:bookmarkStart w:id="5409" w:name="_Toc31069"/>
      <w:bookmarkStart w:id="5410" w:name="_Toc23443"/>
      <w:bookmarkStart w:id="5411" w:name="_Toc3712"/>
      <w:bookmarkStart w:id="5412" w:name="_Toc282779108"/>
      <w:bookmarkStart w:id="5413" w:name="_Toc29842"/>
      <w:bookmarkStart w:id="5414" w:name="_Toc287853457"/>
      <w:bookmarkStart w:id="5415" w:name="_Toc9854"/>
      <w:bookmarkStart w:id="5416" w:name="_Toc282787557"/>
      <w:r>
        <w:rPr>
          <w:rFonts w:hint="eastAsia"/>
          <w:szCs w:val="28"/>
        </w:rPr>
        <w:t>22．违约</w:t>
      </w:r>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p>
    <w:p>
      <w:pPr>
        <w:pStyle w:val="27"/>
        <w:spacing w:beforeLines="50" w:afterLines="50" w:line="420" w:lineRule="exact"/>
        <w:rPr>
          <w:sz w:val="21"/>
          <w:szCs w:val="21"/>
        </w:rPr>
      </w:pPr>
      <w:bookmarkStart w:id="5417" w:name="_Toc179632772"/>
      <w:bookmarkStart w:id="5418" w:name="_Toc282779109"/>
      <w:bookmarkStart w:id="5419" w:name="_Toc152045754"/>
      <w:bookmarkStart w:id="5420" w:name="_Toc288491634"/>
      <w:bookmarkStart w:id="5421" w:name="_Toc282787558"/>
      <w:bookmarkStart w:id="5422" w:name="_Toc32122"/>
      <w:bookmarkStart w:id="5423" w:name="_Toc30045"/>
      <w:bookmarkStart w:id="5424" w:name="_Toc283794306"/>
      <w:bookmarkStart w:id="5425" w:name="_Toc144974725"/>
      <w:bookmarkStart w:id="5426" w:name="_Toc8826"/>
      <w:bookmarkStart w:id="5427" w:name="_Toc288546758"/>
      <w:bookmarkStart w:id="5428" w:name="_Toc32252"/>
      <w:bookmarkStart w:id="5429" w:name="_Toc152042533"/>
      <w:bookmarkStart w:id="5430" w:name="_Toc14987"/>
      <w:bookmarkStart w:id="5431" w:name="_Toc282779618"/>
      <w:bookmarkStart w:id="5432" w:name="_Toc32304"/>
      <w:bookmarkStart w:id="5433" w:name="_Toc31567"/>
      <w:bookmarkStart w:id="5434" w:name="_Toc24800"/>
      <w:bookmarkStart w:id="5435" w:name="_Toc287853458"/>
      <w:bookmarkStart w:id="5436" w:name="_Toc26340"/>
      <w:bookmarkStart w:id="5437" w:name="_Toc8368"/>
      <w:bookmarkStart w:id="5438" w:name="_Toc25737"/>
      <w:bookmarkStart w:id="5439" w:name="_Toc237923933"/>
      <w:r>
        <w:rPr>
          <w:rFonts w:hint="eastAsia"/>
          <w:b/>
          <w:sz w:val="21"/>
          <w:szCs w:val="21"/>
        </w:rPr>
        <w:t>22.1</w:t>
      </w:r>
      <w:r>
        <w:rPr>
          <w:rFonts w:hint="eastAsia"/>
          <w:sz w:val="21"/>
          <w:szCs w:val="21"/>
        </w:rPr>
        <w:t xml:space="preserve">  承包人违约</w:t>
      </w:r>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p>
    <w:p>
      <w:pPr>
        <w:spacing w:line="420" w:lineRule="exact"/>
        <w:ind w:firstLine="420" w:firstLineChars="200"/>
        <w:rPr>
          <w:szCs w:val="21"/>
        </w:rPr>
      </w:pPr>
      <w:r>
        <w:rPr>
          <w:rFonts w:hint="eastAsia"/>
          <w:szCs w:val="21"/>
        </w:rPr>
        <w:t xml:space="preserve">22.1.1 </w:t>
      </w:r>
      <w:r>
        <w:rPr>
          <w:rFonts w:hint="eastAsia" w:ascii="宋体" w:hAnsi="宋体"/>
          <w:szCs w:val="21"/>
        </w:rPr>
        <w:t>承包人违约的情形</w:t>
      </w:r>
    </w:p>
    <w:p>
      <w:pPr>
        <w:spacing w:line="420" w:lineRule="exact"/>
        <w:ind w:firstLine="420" w:firstLineChars="200"/>
        <w:rPr>
          <w:szCs w:val="21"/>
        </w:rPr>
      </w:pPr>
      <w:r>
        <w:rPr>
          <w:rFonts w:hint="eastAsia"/>
          <w:szCs w:val="21"/>
        </w:rPr>
        <w:t>在履行合同过程中发生的下列情况属承包人违约：</w:t>
      </w:r>
    </w:p>
    <w:p>
      <w:pPr>
        <w:spacing w:line="420" w:lineRule="exact"/>
        <w:ind w:firstLine="420" w:firstLineChars="200"/>
        <w:rPr>
          <w:szCs w:val="21"/>
        </w:rPr>
      </w:pPr>
      <w:r>
        <w:rPr>
          <w:rFonts w:hint="eastAsia"/>
          <w:szCs w:val="21"/>
        </w:rPr>
        <w:t>（1）承包人违反第1.8款或第4.3款的约定，私自将合同的全部或部分权利转让给其他人，或私自将合同的全部或部分义务转移给其他人；</w:t>
      </w:r>
    </w:p>
    <w:p>
      <w:pPr>
        <w:spacing w:line="420" w:lineRule="exact"/>
        <w:ind w:firstLine="420" w:firstLineChars="200"/>
        <w:rPr>
          <w:szCs w:val="21"/>
        </w:rPr>
      </w:pPr>
      <w:r>
        <w:rPr>
          <w:rFonts w:hint="eastAsia"/>
          <w:szCs w:val="21"/>
        </w:rPr>
        <w:t>（2）承包人违反第5.3款或第6.4款的约定，未经监理人批准，私自将已按合同约定进入施工现场的施工设备、临时设施、材料或工程设备撤离施工场地；</w:t>
      </w:r>
    </w:p>
    <w:p>
      <w:pPr>
        <w:spacing w:line="420" w:lineRule="exact"/>
        <w:ind w:firstLine="420" w:firstLineChars="200"/>
        <w:rPr>
          <w:szCs w:val="21"/>
        </w:rPr>
      </w:pPr>
      <w:r>
        <w:rPr>
          <w:rFonts w:hint="eastAsia"/>
          <w:szCs w:val="21"/>
        </w:rPr>
        <w:t>（3）承包人违反第5.4款的约定使用了不合格材料或工程设备，工程质量达不到标准要求，又拒绝清除不合格工程；</w:t>
      </w:r>
    </w:p>
    <w:p>
      <w:pPr>
        <w:spacing w:line="420" w:lineRule="exact"/>
        <w:ind w:firstLine="420" w:firstLineChars="200"/>
        <w:rPr>
          <w:szCs w:val="21"/>
        </w:rPr>
      </w:pPr>
      <w:r>
        <w:rPr>
          <w:rFonts w:hint="eastAsia"/>
          <w:szCs w:val="21"/>
        </w:rPr>
        <w:t>（4）承包人未能按合同进度计划及时完成合同约定的工作，已造成或预期造成工期延误；</w:t>
      </w:r>
    </w:p>
    <w:p>
      <w:pPr>
        <w:spacing w:line="420" w:lineRule="exact"/>
        <w:ind w:firstLine="420" w:firstLineChars="200"/>
        <w:rPr>
          <w:szCs w:val="21"/>
        </w:rPr>
      </w:pPr>
      <w:r>
        <w:rPr>
          <w:rFonts w:hint="eastAsia"/>
          <w:szCs w:val="21"/>
        </w:rPr>
        <w:t>（5）承包人在缺陷责任期内，未能对工程接收证书所列的缺陷清单的内容或缺陷责任期内发生的缺陷进行修复，而又拒绝按监理人指示再进行修补；</w:t>
      </w:r>
    </w:p>
    <w:p>
      <w:pPr>
        <w:spacing w:line="420" w:lineRule="exact"/>
        <w:ind w:firstLine="420" w:firstLineChars="200"/>
        <w:rPr>
          <w:szCs w:val="21"/>
        </w:rPr>
      </w:pPr>
      <w:r>
        <w:rPr>
          <w:rFonts w:hint="eastAsia"/>
          <w:szCs w:val="21"/>
        </w:rPr>
        <w:t>（6）承包人无法继续履行或明确表示不履行或实质上已停止履行合同；</w:t>
      </w:r>
    </w:p>
    <w:p>
      <w:pPr>
        <w:spacing w:line="420" w:lineRule="exact"/>
        <w:ind w:firstLine="420" w:firstLineChars="200"/>
        <w:rPr>
          <w:szCs w:val="21"/>
        </w:rPr>
      </w:pPr>
      <w:r>
        <w:rPr>
          <w:rFonts w:hint="eastAsia"/>
          <w:szCs w:val="21"/>
        </w:rPr>
        <w:t>（7）承包人未能按期开工；</w:t>
      </w:r>
    </w:p>
    <w:p>
      <w:pPr>
        <w:spacing w:line="420" w:lineRule="exact"/>
        <w:ind w:firstLine="420" w:firstLineChars="200"/>
        <w:rPr>
          <w:szCs w:val="21"/>
        </w:rPr>
      </w:pPr>
      <w:r>
        <w:rPr>
          <w:rFonts w:hint="eastAsia"/>
          <w:szCs w:val="21"/>
        </w:rPr>
        <w:t>（8）承包人违反第4.6款或6.3款的规定，未按承诺或未按监理人的要求及时配备称职的主要管理人员、技术骨干或关键施工设备；</w:t>
      </w:r>
    </w:p>
    <w:p>
      <w:pPr>
        <w:spacing w:line="420" w:lineRule="exact"/>
        <w:ind w:firstLine="420" w:firstLineChars="200"/>
        <w:rPr>
          <w:szCs w:val="21"/>
        </w:rPr>
      </w:pPr>
      <w:r>
        <w:rPr>
          <w:rFonts w:hint="eastAsia"/>
          <w:szCs w:val="21"/>
        </w:rPr>
        <w:t>（9）经监理人和发包人检查，发现承包人有安全问题或有违反安全管理规章制度的情况；</w:t>
      </w:r>
    </w:p>
    <w:p>
      <w:pPr>
        <w:spacing w:line="420" w:lineRule="exact"/>
        <w:ind w:firstLine="420" w:firstLineChars="200"/>
        <w:rPr>
          <w:szCs w:val="21"/>
        </w:rPr>
      </w:pPr>
      <w:r>
        <w:rPr>
          <w:rFonts w:hint="eastAsia"/>
          <w:szCs w:val="21"/>
        </w:rPr>
        <w:t>（10）承包人不按合同约定履行义务的其它情况。</w:t>
      </w:r>
    </w:p>
    <w:p>
      <w:pPr>
        <w:spacing w:line="420" w:lineRule="exact"/>
        <w:ind w:firstLine="420" w:firstLineChars="200"/>
        <w:rPr>
          <w:szCs w:val="21"/>
        </w:rPr>
      </w:pPr>
      <w:r>
        <w:rPr>
          <w:rFonts w:hint="eastAsia"/>
          <w:szCs w:val="21"/>
        </w:rPr>
        <w:t>22.1.2  对承包人违约的处理</w:t>
      </w:r>
    </w:p>
    <w:p>
      <w:pPr>
        <w:spacing w:line="420" w:lineRule="exact"/>
        <w:ind w:firstLine="420" w:firstLineChars="200"/>
        <w:rPr>
          <w:szCs w:val="21"/>
        </w:rPr>
      </w:pPr>
      <w:r>
        <w:rPr>
          <w:rFonts w:hint="eastAsia"/>
          <w:szCs w:val="21"/>
        </w:rPr>
        <w:t>（1）承包人发生第22.1.1（6）目约定的违约情况时，发包人可通知承包人立即解除合同，并按有关法律处理。</w:t>
      </w:r>
    </w:p>
    <w:p>
      <w:pPr>
        <w:spacing w:line="420" w:lineRule="exact"/>
        <w:ind w:firstLine="420" w:firstLineChars="200"/>
        <w:rPr>
          <w:szCs w:val="21"/>
        </w:rPr>
      </w:pPr>
      <w:r>
        <w:rPr>
          <w:rFonts w:hint="eastAsia"/>
          <w:szCs w:val="21"/>
        </w:rPr>
        <w:t>（2）承包人发生除第22.1.1（6）目约定以外的其它违约情况时，监理人可向承包人发出整改通知，要求其在指定的期限内改正。承包人应承担其违约所引起的费用增加和（或）工期延误。</w:t>
      </w:r>
    </w:p>
    <w:p>
      <w:pPr>
        <w:spacing w:line="420" w:lineRule="exact"/>
        <w:ind w:firstLine="420" w:firstLineChars="200"/>
        <w:rPr>
          <w:szCs w:val="21"/>
        </w:rPr>
      </w:pPr>
      <w:r>
        <w:rPr>
          <w:rFonts w:hint="eastAsia"/>
          <w:szCs w:val="21"/>
        </w:rPr>
        <w:t>（3）经检查证明承包人已采取了有效措施纠正违约行为，具备复工条件的，可由监理人签发复工通知复工。</w:t>
      </w:r>
    </w:p>
    <w:p>
      <w:pPr>
        <w:spacing w:line="420" w:lineRule="exact"/>
        <w:ind w:firstLine="420" w:firstLineChars="200"/>
        <w:rPr>
          <w:szCs w:val="21"/>
        </w:rPr>
      </w:pPr>
      <w:r>
        <w:rPr>
          <w:rFonts w:hint="eastAsia"/>
          <w:szCs w:val="21"/>
        </w:rPr>
        <w:t>（4）承包人发生第22.1.1项约定的违约情况时，无论发包人是否解除合同，发包人均有权向承包人课以项目专用合同条款中规定的违约金，并由发包人将其违约行为上报省级交通主管部门。</w:t>
      </w:r>
    </w:p>
    <w:p>
      <w:pPr>
        <w:spacing w:line="420" w:lineRule="exact"/>
        <w:ind w:firstLine="420" w:firstLineChars="200"/>
        <w:rPr>
          <w:rFonts w:ascii="宋体" w:hAnsi="宋体"/>
          <w:szCs w:val="21"/>
        </w:rPr>
      </w:pPr>
      <w:r>
        <w:rPr>
          <w:rFonts w:hint="eastAsia"/>
          <w:szCs w:val="21"/>
        </w:rPr>
        <w:t xml:space="preserve">22.1.3 </w:t>
      </w:r>
      <w:r>
        <w:rPr>
          <w:rFonts w:hint="eastAsia" w:ascii="宋体" w:hAnsi="宋体"/>
          <w:szCs w:val="21"/>
        </w:rPr>
        <w:t>承包人违约解除合同</w:t>
      </w:r>
    </w:p>
    <w:p>
      <w:pPr>
        <w:spacing w:line="420" w:lineRule="exact"/>
        <w:ind w:firstLine="420" w:firstLineChars="200"/>
        <w:rPr>
          <w:szCs w:val="21"/>
        </w:rPr>
      </w:pPr>
      <w:r>
        <w:rPr>
          <w:rFonts w:hint="eastAsia"/>
          <w:szCs w:val="21"/>
        </w:rPr>
        <w:t>监理人发出整改通知28天后，承包人仍不纠正违约行为的，发包人可向承包人发出解除合同通知。合同解除后，发包人可派员进驻施工场地，另行组织人员或委托其他承包人施工。发包人因继续完成该工程的需要，有权扣留使用承包人在现场的材料、设备和临时设施。但发包人的这一行动不免除承包人应承担的违约责任，也不影响发包人根据合同约定享有的索赔权利。</w:t>
      </w:r>
    </w:p>
    <w:p>
      <w:pPr>
        <w:spacing w:line="420" w:lineRule="exact"/>
        <w:ind w:firstLine="420" w:firstLineChars="200"/>
        <w:rPr>
          <w:rFonts w:ascii="黑体" w:eastAsia="黑体"/>
          <w:szCs w:val="21"/>
        </w:rPr>
      </w:pPr>
      <w:r>
        <w:rPr>
          <w:rFonts w:hint="eastAsia"/>
          <w:szCs w:val="21"/>
        </w:rPr>
        <w:t xml:space="preserve">22.1.4 </w:t>
      </w:r>
      <w:r>
        <w:rPr>
          <w:rFonts w:hint="eastAsia" w:ascii="宋体" w:hAnsi="宋体"/>
          <w:szCs w:val="21"/>
        </w:rPr>
        <w:t>合同解除后的估价、付款和结清</w:t>
      </w:r>
    </w:p>
    <w:p>
      <w:pPr>
        <w:spacing w:line="420" w:lineRule="exact"/>
        <w:ind w:firstLine="420" w:firstLineChars="200"/>
        <w:rPr>
          <w:szCs w:val="21"/>
        </w:rPr>
      </w:pPr>
      <w:r>
        <w:rPr>
          <w:rFonts w:hint="eastAsia"/>
          <w:szCs w:val="21"/>
        </w:rPr>
        <w:t xml:space="preserve">（1）合同解除后，监理人按第3.5款商定或确定承包人实际完成工作的价值，以及承包人已提供的材料、施工设备、工程设备和临时工程等的价值。 </w:t>
      </w:r>
    </w:p>
    <w:p>
      <w:pPr>
        <w:spacing w:line="420" w:lineRule="exact"/>
        <w:ind w:firstLine="420" w:firstLineChars="200"/>
        <w:rPr>
          <w:szCs w:val="21"/>
        </w:rPr>
      </w:pPr>
      <w:r>
        <w:rPr>
          <w:rFonts w:hint="eastAsia"/>
          <w:szCs w:val="21"/>
        </w:rPr>
        <w:t xml:space="preserve">（2）合同解除后，发包人应暂停对承包人的一切付款，查清各项付款和已扣款金额，包括承包人应支付的违约金。 </w:t>
      </w:r>
    </w:p>
    <w:p>
      <w:pPr>
        <w:spacing w:line="420" w:lineRule="exact"/>
        <w:ind w:firstLine="420" w:firstLineChars="200"/>
        <w:rPr>
          <w:szCs w:val="21"/>
        </w:rPr>
      </w:pPr>
      <w:r>
        <w:rPr>
          <w:rFonts w:hint="eastAsia"/>
          <w:szCs w:val="21"/>
        </w:rPr>
        <w:t>（3）合同解除后，发包人应按第23.4款的约定向承包人索赔由于解除合同给发包人造成的损失。</w:t>
      </w:r>
    </w:p>
    <w:p>
      <w:pPr>
        <w:spacing w:line="420" w:lineRule="exact"/>
        <w:ind w:firstLine="420" w:firstLineChars="200"/>
        <w:rPr>
          <w:szCs w:val="21"/>
        </w:rPr>
      </w:pPr>
      <w:r>
        <w:rPr>
          <w:rFonts w:hint="eastAsia"/>
          <w:szCs w:val="21"/>
        </w:rPr>
        <w:t>（4）合同双方确认上述往来款项后，出具最终结清付款证书，结清全部合同款项。</w:t>
      </w:r>
    </w:p>
    <w:p>
      <w:pPr>
        <w:spacing w:line="420" w:lineRule="exact"/>
        <w:ind w:firstLine="420" w:firstLineChars="200"/>
        <w:rPr>
          <w:szCs w:val="21"/>
        </w:rPr>
      </w:pPr>
      <w:r>
        <w:rPr>
          <w:rFonts w:hint="eastAsia"/>
          <w:szCs w:val="21"/>
        </w:rPr>
        <w:t>（5）发包人和承包人未能就解除合同后的结清达成一致而形成争议的，按第24条的约定办理。</w:t>
      </w:r>
    </w:p>
    <w:p>
      <w:pPr>
        <w:spacing w:line="420" w:lineRule="exact"/>
        <w:ind w:firstLine="420" w:firstLineChars="200"/>
        <w:rPr>
          <w:rFonts w:ascii="宋体" w:hAnsi="宋体"/>
          <w:szCs w:val="21"/>
        </w:rPr>
      </w:pPr>
      <w:r>
        <w:rPr>
          <w:rFonts w:hint="eastAsia"/>
          <w:szCs w:val="21"/>
        </w:rPr>
        <w:t xml:space="preserve">22.1.5 </w:t>
      </w:r>
      <w:r>
        <w:rPr>
          <w:rFonts w:hint="eastAsia" w:ascii="宋体" w:hAnsi="宋体"/>
          <w:szCs w:val="21"/>
        </w:rPr>
        <w:t>协议利益的转让</w:t>
      </w:r>
    </w:p>
    <w:p>
      <w:pPr>
        <w:spacing w:line="420" w:lineRule="exact"/>
        <w:ind w:firstLine="420" w:firstLineChars="200"/>
        <w:rPr>
          <w:szCs w:val="21"/>
        </w:rPr>
      </w:pPr>
      <w:r>
        <w:rPr>
          <w:rFonts w:hint="eastAsia"/>
          <w:szCs w:val="21"/>
        </w:rPr>
        <w:t xml:space="preserve">因承包人违约解除合同的，发包人有权要求承包人将其为实施合同而签订的材料和设备的订货协议或任何服务协议利益转让给发包人，并在解除合同后的14天内，依法办理转让手续。 </w:t>
      </w:r>
    </w:p>
    <w:p>
      <w:pPr>
        <w:spacing w:line="420" w:lineRule="exact"/>
        <w:ind w:firstLine="420" w:firstLineChars="200"/>
        <w:rPr>
          <w:rFonts w:ascii="黑体" w:eastAsia="黑体"/>
          <w:szCs w:val="21"/>
        </w:rPr>
      </w:pPr>
      <w:r>
        <w:rPr>
          <w:rFonts w:hint="eastAsia"/>
          <w:szCs w:val="21"/>
        </w:rPr>
        <w:t xml:space="preserve">22.1.6 </w:t>
      </w:r>
      <w:r>
        <w:rPr>
          <w:rFonts w:hint="eastAsia" w:ascii="宋体" w:hAnsi="宋体"/>
          <w:szCs w:val="21"/>
        </w:rPr>
        <w:t>紧急情况下无能力或不愿进行抢救</w:t>
      </w:r>
    </w:p>
    <w:p>
      <w:pPr>
        <w:spacing w:line="420" w:lineRule="exact"/>
        <w:ind w:firstLine="420" w:firstLineChars="200"/>
        <w:rPr>
          <w:szCs w:val="21"/>
        </w:rPr>
      </w:pPr>
      <w:r>
        <w:rPr>
          <w:rFonts w:hint="eastAsia"/>
          <w:szCs w:val="21"/>
        </w:rPr>
        <w:t>在工程实施期间或缺陷责任期内发生危及工程安全的事件，监理人通知承包人进行抢救，承包人声明无能力或不愿立即执行的，发包人有权雇佣其他人员进行抢救。此类抢救按合同约定属于承包人义务的，由此发生的金额和（或）工期延误由承包人承担。</w:t>
      </w:r>
    </w:p>
    <w:p>
      <w:pPr>
        <w:pStyle w:val="7"/>
        <w:spacing w:before="120" w:after="120" w:line="420" w:lineRule="exact"/>
        <w:rPr>
          <w:b w:val="0"/>
          <w:sz w:val="21"/>
          <w:szCs w:val="21"/>
        </w:rPr>
      </w:pPr>
      <w:bookmarkStart w:id="5440" w:name="_Toc282787559"/>
      <w:r>
        <w:rPr>
          <w:rFonts w:ascii="Times New Roman" w:hAnsi="Times New Roman"/>
          <w:sz w:val="21"/>
          <w:szCs w:val="21"/>
        </w:rPr>
        <w:t>22.2</w:t>
      </w:r>
      <w:r>
        <w:rPr>
          <w:rFonts w:hint="eastAsia"/>
          <w:b w:val="0"/>
          <w:sz w:val="21"/>
          <w:szCs w:val="21"/>
        </w:rPr>
        <w:t>发包人违约</w:t>
      </w:r>
      <w:bookmarkEnd w:id="5440"/>
    </w:p>
    <w:p>
      <w:pPr>
        <w:spacing w:line="420" w:lineRule="exact"/>
        <w:ind w:firstLine="420" w:firstLineChars="200"/>
        <w:rPr>
          <w:rFonts w:ascii="宋体" w:hAnsi="宋体"/>
          <w:szCs w:val="21"/>
        </w:rPr>
      </w:pPr>
      <w:r>
        <w:rPr>
          <w:rFonts w:hint="eastAsia"/>
          <w:szCs w:val="21"/>
        </w:rPr>
        <w:t xml:space="preserve">22.2.1  </w:t>
      </w:r>
      <w:r>
        <w:rPr>
          <w:rFonts w:hint="eastAsia" w:ascii="宋体" w:hAnsi="宋体"/>
          <w:szCs w:val="21"/>
        </w:rPr>
        <w:t>发包人违约的情形</w:t>
      </w:r>
    </w:p>
    <w:p>
      <w:pPr>
        <w:spacing w:line="420" w:lineRule="exact"/>
        <w:ind w:firstLine="420" w:firstLineChars="200"/>
        <w:rPr>
          <w:szCs w:val="21"/>
        </w:rPr>
      </w:pPr>
      <w:r>
        <w:rPr>
          <w:rFonts w:hint="eastAsia"/>
          <w:szCs w:val="21"/>
        </w:rPr>
        <w:t>在履行合同过程中发生的下列情形，属发包人违约：</w:t>
      </w:r>
    </w:p>
    <w:p>
      <w:pPr>
        <w:spacing w:line="420" w:lineRule="exact"/>
        <w:ind w:firstLine="420" w:firstLineChars="200"/>
        <w:rPr>
          <w:szCs w:val="21"/>
        </w:rPr>
      </w:pPr>
      <w:r>
        <w:rPr>
          <w:rFonts w:hint="eastAsia"/>
          <w:szCs w:val="21"/>
        </w:rPr>
        <w:t>（1）发包人未能按合同约定支付预付款或合同价款，或拖延、拒绝批准付款申请和支付凭证，导致付款延误的；</w:t>
      </w:r>
    </w:p>
    <w:p>
      <w:pPr>
        <w:spacing w:line="420" w:lineRule="exact"/>
        <w:ind w:firstLine="420" w:firstLineChars="200"/>
        <w:rPr>
          <w:szCs w:val="21"/>
        </w:rPr>
      </w:pPr>
      <w:r>
        <w:rPr>
          <w:rFonts w:hint="eastAsia"/>
          <w:szCs w:val="21"/>
        </w:rPr>
        <w:t>（2）发包人原因造成停工的；</w:t>
      </w:r>
    </w:p>
    <w:p>
      <w:pPr>
        <w:spacing w:line="420" w:lineRule="exact"/>
        <w:ind w:firstLine="420" w:firstLineChars="200"/>
        <w:rPr>
          <w:szCs w:val="21"/>
        </w:rPr>
      </w:pPr>
      <w:r>
        <w:rPr>
          <w:rFonts w:hint="eastAsia"/>
          <w:szCs w:val="21"/>
        </w:rPr>
        <w:t>（3）监理人无正当理由没有在约定期限内发出复工指示，导致承包人无法复工的；</w:t>
      </w:r>
    </w:p>
    <w:p>
      <w:pPr>
        <w:spacing w:line="420" w:lineRule="exact"/>
        <w:ind w:firstLine="420" w:firstLineChars="200"/>
        <w:rPr>
          <w:szCs w:val="21"/>
        </w:rPr>
      </w:pPr>
      <w:r>
        <w:rPr>
          <w:rFonts w:hint="eastAsia"/>
          <w:szCs w:val="21"/>
        </w:rPr>
        <w:t>（4）合同实施期间，由于整体规划的需进行项目改建的，则养护合同自然终止。发包人对承包人应承担终止合同前已完成的全部工程价款，其范围限于在已给承包人的暂付款中尚未包括的款项与款额，其单价和总额价应按合同的规定。还应支付下述费用：</w:t>
      </w:r>
    </w:p>
    <w:p>
      <w:pPr>
        <w:spacing w:line="420" w:lineRule="exact"/>
        <w:ind w:firstLine="420" w:firstLineChars="200"/>
        <w:rPr>
          <w:szCs w:val="21"/>
        </w:rPr>
      </w:pPr>
      <w:r>
        <w:rPr>
          <w:szCs w:val="21"/>
        </w:rPr>
        <w:t>a</w:t>
      </w:r>
      <w:r>
        <w:rPr>
          <w:rFonts w:hint="eastAsia"/>
          <w:szCs w:val="21"/>
        </w:rPr>
        <w:t>．在工程量清单中第100章承包人驻地建设等总额支付项的应付款额，只要这些子目中的工作或服务已经进行或履行，或其中的工作或服务已经部分履行了的相应比例费用；</w:t>
      </w:r>
    </w:p>
    <w:p>
      <w:pPr>
        <w:spacing w:line="420" w:lineRule="exact"/>
        <w:ind w:firstLine="420" w:firstLineChars="200"/>
        <w:rPr>
          <w:szCs w:val="21"/>
        </w:rPr>
      </w:pPr>
      <w:r>
        <w:rPr>
          <w:rFonts w:hint="eastAsia"/>
          <w:szCs w:val="21"/>
        </w:rPr>
        <w:t>b．已经交付承包人或承包人有责任收货的、为本合同养护工程合理订购的材料、设备或货物的费用，发包人一经支付此项费用，该材料、设备或货物即成为发包人的财产；</w:t>
      </w:r>
    </w:p>
    <w:p>
      <w:pPr>
        <w:spacing w:line="420" w:lineRule="exact"/>
        <w:ind w:firstLine="420" w:firstLineChars="200"/>
        <w:rPr>
          <w:szCs w:val="21"/>
        </w:rPr>
      </w:pPr>
      <w:r>
        <w:rPr>
          <w:rFonts w:hint="eastAsia"/>
          <w:szCs w:val="21"/>
        </w:rPr>
        <w:t>c．作为已合理开支的、确实属于承包人为了完成本合同工程而预期开支的任何款额，而该开支还没有包括在本款提及的各项其它支付之内；</w:t>
      </w:r>
    </w:p>
    <w:p>
      <w:pPr>
        <w:spacing w:line="420" w:lineRule="exact"/>
        <w:ind w:firstLine="420" w:firstLineChars="200"/>
        <w:rPr>
          <w:szCs w:val="21"/>
        </w:rPr>
      </w:pPr>
      <w:r>
        <w:rPr>
          <w:rFonts w:hint="eastAsia"/>
          <w:szCs w:val="21"/>
        </w:rPr>
        <w:t>d．承包人的员工在上述合同终止时的合理遣返费。</w:t>
      </w:r>
    </w:p>
    <w:p>
      <w:pPr>
        <w:spacing w:line="420" w:lineRule="exact"/>
        <w:ind w:firstLine="420" w:firstLineChars="200"/>
        <w:rPr>
          <w:szCs w:val="21"/>
        </w:rPr>
      </w:pPr>
      <w:r>
        <w:rPr>
          <w:rFonts w:hint="eastAsia"/>
          <w:szCs w:val="21"/>
        </w:rPr>
        <w:t>但是，发包人除按本款规定支付上述费用外，应有权要求承包人偿还各项预付款的未结算余额，以及在合同终止之日，按合同规定应由发包人向承包人收回的任何其它款额。根据本款规定应支付的费额，应由发包人在与承包人协商后确定。</w:t>
      </w:r>
    </w:p>
    <w:p>
      <w:pPr>
        <w:spacing w:line="420" w:lineRule="exact"/>
        <w:ind w:firstLine="420" w:firstLineChars="200"/>
        <w:rPr>
          <w:szCs w:val="21"/>
        </w:rPr>
      </w:pPr>
      <w:r>
        <w:rPr>
          <w:rFonts w:hint="eastAsia"/>
          <w:szCs w:val="21"/>
        </w:rPr>
        <w:t>（5）发包人不履行合同约定其它义务的。</w:t>
      </w:r>
    </w:p>
    <w:p>
      <w:pPr>
        <w:spacing w:line="420" w:lineRule="exact"/>
        <w:ind w:firstLine="420" w:firstLineChars="200"/>
        <w:rPr>
          <w:szCs w:val="21"/>
        </w:rPr>
      </w:pPr>
      <w:r>
        <w:rPr>
          <w:rFonts w:hint="eastAsia"/>
          <w:szCs w:val="21"/>
        </w:rPr>
        <w:t>22.2.2</w:t>
      </w:r>
      <w:r>
        <w:rPr>
          <w:rFonts w:hint="eastAsia" w:ascii="宋体" w:hAnsi="宋体"/>
          <w:szCs w:val="21"/>
        </w:rPr>
        <w:t>承包人有权暂停施工</w:t>
      </w:r>
    </w:p>
    <w:p>
      <w:pPr>
        <w:spacing w:line="420" w:lineRule="exact"/>
        <w:ind w:firstLine="420" w:firstLineChars="200"/>
        <w:rPr>
          <w:szCs w:val="21"/>
        </w:rPr>
      </w:pPr>
      <w:r>
        <w:rPr>
          <w:rFonts w:hint="eastAsia"/>
          <w:szCs w:val="21"/>
        </w:rPr>
        <w:t>发包人发生除第22.2.1（4）目以外的违约情况时，承包人可向发包人发出通知，要求发包人采取有效措施纠正违约行为。发包人收到承包人通知后的28天内仍不履行合同义务，承包人有权暂停施工，并通知监理人，发包人应承担由此增加的费用和（或）工期延误，并支付承包人合理利润。</w:t>
      </w:r>
    </w:p>
    <w:p>
      <w:pPr>
        <w:spacing w:line="420" w:lineRule="exact"/>
        <w:ind w:firstLine="420" w:firstLineChars="200"/>
        <w:rPr>
          <w:szCs w:val="21"/>
        </w:rPr>
      </w:pPr>
      <w:r>
        <w:rPr>
          <w:rFonts w:hint="eastAsia"/>
          <w:szCs w:val="21"/>
        </w:rPr>
        <w:t>发包人在规定的支付期到期后的15天之内，未能向承包人支付应付养护工程款额（</w:t>
      </w:r>
      <w:r>
        <w:rPr>
          <w:rFonts w:hint="eastAsia" w:ascii="宋体" w:hAnsi="宋体"/>
          <w:szCs w:val="21"/>
        </w:rPr>
        <w:t>扣除根据合同规定有权扣除的款额后</w:t>
      </w:r>
      <w:r>
        <w:rPr>
          <w:rFonts w:hint="eastAsia"/>
          <w:szCs w:val="21"/>
        </w:rPr>
        <w:t>），也未向承包人说明理由，则承包人有权终止对本合同项下的承包，并通知发包人，该终止在发出通知14天后生效。</w:t>
      </w:r>
    </w:p>
    <w:p>
      <w:pPr>
        <w:spacing w:line="420" w:lineRule="exact"/>
        <w:ind w:firstLine="420" w:firstLineChars="200"/>
        <w:rPr>
          <w:szCs w:val="21"/>
        </w:rPr>
      </w:pPr>
      <w:r>
        <w:rPr>
          <w:rFonts w:hint="eastAsia"/>
          <w:szCs w:val="21"/>
        </w:rPr>
        <w:t>应</w:t>
      </w:r>
      <w:r>
        <w:rPr>
          <w:szCs w:val="21"/>
        </w:rPr>
        <w:t>按招标文件中规定计量支付的时间进行</w:t>
      </w:r>
      <w:r>
        <w:rPr>
          <w:rFonts w:hint="eastAsia"/>
          <w:szCs w:val="21"/>
        </w:rPr>
        <w:t>进度</w:t>
      </w:r>
      <w:r>
        <w:rPr>
          <w:szCs w:val="21"/>
        </w:rPr>
        <w:t>支付，如</w:t>
      </w:r>
      <w:r>
        <w:rPr>
          <w:rFonts w:hint="eastAsia"/>
          <w:szCs w:val="21"/>
        </w:rPr>
        <w:t>连续2次</w:t>
      </w:r>
      <w:r>
        <w:rPr>
          <w:szCs w:val="21"/>
        </w:rPr>
        <w:t>发生已计量应支付而未支付工程款的，</w:t>
      </w:r>
      <w:r>
        <w:rPr>
          <w:rFonts w:hint="eastAsia"/>
          <w:szCs w:val="21"/>
        </w:rPr>
        <w:t>承包人</w:t>
      </w:r>
      <w:r>
        <w:rPr>
          <w:szCs w:val="21"/>
        </w:rPr>
        <w:t>可停工</w:t>
      </w:r>
      <w:r>
        <w:rPr>
          <w:rFonts w:hint="eastAsia"/>
          <w:szCs w:val="21"/>
        </w:rPr>
        <w:t>（</w:t>
      </w:r>
      <w:r>
        <w:rPr>
          <w:rFonts w:hint="eastAsia" w:ascii="宋体" w:hAnsi="宋体"/>
          <w:szCs w:val="21"/>
        </w:rPr>
        <w:t>但不得拖欠农民工工资</w:t>
      </w:r>
      <w:r>
        <w:rPr>
          <w:rFonts w:hint="eastAsia"/>
          <w:szCs w:val="21"/>
        </w:rPr>
        <w:t>）</w:t>
      </w:r>
      <w:r>
        <w:rPr>
          <w:szCs w:val="21"/>
        </w:rPr>
        <w:t>。造成的损失由</w:t>
      </w:r>
      <w:r>
        <w:rPr>
          <w:rFonts w:hint="eastAsia"/>
          <w:szCs w:val="21"/>
        </w:rPr>
        <w:t>发包人</w:t>
      </w:r>
      <w:r>
        <w:rPr>
          <w:szCs w:val="21"/>
        </w:rPr>
        <w:t>承担。</w:t>
      </w:r>
    </w:p>
    <w:p>
      <w:pPr>
        <w:spacing w:line="420" w:lineRule="exact"/>
        <w:ind w:firstLine="420" w:firstLineChars="200"/>
        <w:rPr>
          <w:rFonts w:ascii="宋体" w:hAnsi="宋体"/>
          <w:szCs w:val="21"/>
        </w:rPr>
      </w:pPr>
      <w:r>
        <w:rPr>
          <w:rFonts w:hint="eastAsia"/>
          <w:szCs w:val="21"/>
        </w:rPr>
        <w:t>22.2.3</w:t>
      </w:r>
      <w:r>
        <w:rPr>
          <w:rFonts w:hint="eastAsia" w:ascii="宋体" w:hAnsi="宋体"/>
          <w:szCs w:val="21"/>
        </w:rPr>
        <w:t xml:space="preserve">发包人违约解除合同 </w:t>
      </w:r>
    </w:p>
    <w:p>
      <w:pPr>
        <w:spacing w:line="420" w:lineRule="exact"/>
        <w:ind w:firstLine="420" w:firstLineChars="200"/>
        <w:rPr>
          <w:szCs w:val="21"/>
        </w:rPr>
      </w:pPr>
      <w:r>
        <w:rPr>
          <w:rFonts w:hint="eastAsia"/>
          <w:szCs w:val="21"/>
        </w:rPr>
        <w:t>（1）发生第22.2.1（4）目的违约情况时，承包人可书面通知发包人解除合同。</w:t>
      </w:r>
    </w:p>
    <w:p>
      <w:pPr>
        <w:spacing w:line="420" w:lineRule="exact"/>
        <w:ind w:firstLine="420" w:firstLineChars="200"/>
        <w:rPr>
          <w:szCs w:val="21"/>
        </w:rPr>
      </w:pPr>
      <w:r>
        <w:rPr>
          <w:rFonts w:hint="eastAsia"/>
          <w:szCs w:val="21"/>
        </w:rPr>
        <w:t>（2）承包人按22.2.2项暂停施工28天后，发包人仍不纠正违约行为的，承包人可向发包人发出解除合同通知。但承包人的这一行动不免除发包人承担的违约责任，也不影响承包人根据合同约定享有的索赔权利。</w:t>
      </w:r>
    </w:p>
    <w:p>
      <w:pPr>
        <w:spacing w:line="420" w:lineRule="exact"/>
        <w:ind w:firstLine="420" w:firstLineChars="200"/>
        <w:rPr>
          <w:rFonts w:ascii="宋体" w:hAnsi="宋体"/>
          <w:szCs w:val="21"/>
        </w:rPr>
      </w:pPr>
      <w:r>
        <w:rPr>
          <w:rFonts w:hint="eastAsia"/>
          <w:szCs w:val="21"/>
        </w:rPr>
        <w:t>22.2.4</w:t>
      </w:r>
      <w:r>
        <w:rPr>
          <w:rFonts w:hint="eastAsia" w:ascii="宋体" w:hAnsi="宋体"/>
          <w:szCs w:val="21"/>
        </w:rPr>
        <w:t xml:space="preserve"> 解除合同后的付款</w:t>
      </w:r>
    </w:p>
    <w:p>
      <w:pPr>
        <w:spacing w:line="420" w:lineRule="exact"/>
        <w:ind w:firstLine="420" w:firstLineChars="200"/>
        <w:rPr>
          <w:szCs w:val="21"/>
        </w:rPr>
      </w:pPr>
      <w:r>
        <w:rPr>
          <w:rFonts w:hint="eastAsia"/>
          <w:szCs w:val="21"/>
        </w:rPr>
        <w:t>因发包人违约解除合同的，发包人应在解除合同后28天内向承包人支付下列金额，承包人应在此期限内及时向发包人提交要求支付下列金额的有关资料和凭证：</w:t>
      </w:r>
    </w:p>
    <w:p>
      <w:pPr>
        <w:spacing w:line="420" w:lineRule="exact"/>
        <w:ind w:firstLine="420" w:firstLineChars="200"/>
        <w:rPr>
          <w:szCs w:val="21"/>
        </w:rPr>
      </w:pPr>
      <w:r>
        <w:rPr>
          <w:rFonts w:hint="eastAsia"/>
          <w:szCs w:val="21"/>
        </w:rPr>
        <w:t>（1）合同解除日以前所完成工作的价款；</w:t>
      </w:r>
    </w:p>
    <w:p>
      <w:pPr>
        <w:spacing w:line="420" w:lineRule="exact"/>
        <w:ind w:firstLine="420" w:firstLineChars="200"/>
        <w:rPr>
          <w:szCs w:val="21"/>
        </w:rPr>
      </w:pPr>
      <w:r>
        <w:rPr>
          <w:rFonts w:hint="eastAsia"/>
          <w:szCs w:val="21"/>
        </w:rPr>
        <w:t>（2）承包人为该工程施工订购并已付款的材料和其它物品的金额。发包人付款后，该材料和其它物品归发包人所有；</w:t>
      </w:r>
    </w:p>
    <w:p>
      <w:pPr>
        <w:spacing w:line="420" w:lineRule="exact"/>
        <w:ind w:firstLine="420" w:firstLineChars="200"/>
        <w:rPr>
          <w:szCs w:val="21"/>
        </w:rPr>
      </w:pPr>
      <w:r>
        <w:rPr>
          <w:rFonts w:hint="eastAsia"/>
          <w:szCs w:val="21"/>
        </w:rPr>
        <w:t>（3）承包人为完成工程所发生的，而发包人未支付的金额；</w:t>
      </w:r>
    </w:p>
    <w:p>
      <w:pPr>
        <w:spacing w:line="420" w:lineRule="exact"/>
        <w:ind w:firstLine="420" w:firstLineChars="200"/>
        <w:rPr>
          <w:szCs w:val="21"/>
        </w:rPr>
      </w:pPr>
      <w:r>
        <w:rPr>
          <w:rFonts w:hint="eastAsia"/>
          <w:szCs w:val="21"/>
        </w:rPr>
        <w:t>（4）承包人撤离施工场地以及遣散承包人人员的金额；</w:t>
      </w:r>
    </w:p>
    <w:p>
      <w:pPr>
        <w:spacing w:line="420" w:lineRule="exact"/>
        <w:ind w:firstLine="420" w:firstLineChars="200"/>
        <w:rPr>
          <w:szCs w:val="21"/>
        </w:rPr>
      </w:pPr>
      <w:r>
        <w:rPr>
          <w:rFonts w:hint="eastAsia"/>
          <w:szCs w:val="21"/>
        </w:rPr>
        <w:t>（5）由于解除合同应赔偿的承包人损失；</w:t>
      </w:r>
    </w:p>
    <w:p>
      <w:pPr>
        <w:spacing w:line="420" w:lineRule="exact"/>
        <w:ind w:firstLine="420" w:firstLineChars="200"/>
        <w:rPr>
          <w:szCs w:val="21"/>
        </w:rPr>
      </w:pPr>
      <w:r>
        <w:rPr>
          <w:rFonts w:hint="eastAsia"/>
          <w:szCs w:val="21"/>
        </w:rPr>
        <w:t>（6）按合同约定在合同解除日前应支付给承包人的其它金额。</w:t>
      </w:r>
    </w:p>
    <w:p>
      <w:pPr>
        <w:spacing w:line="420" w:lineRule="exact"/>
        <w:ind w:firstLine="420" w:firstLineChars="200"/>
        <w:rPr>
          <w:szCs w:val="21"/>
        </w:rPr>
      </w:pPr>
      <w:r>
        <w:rPr>
          <w:rFonts w:hint="eastAsia"/>
          <w:szCs w:val="21"/>
        </w:rPr>
        <w:t>发包人应按本项约定支付上述金额并退还质量保证金和履约担保，但有权要求承包人支付应偿还给发包人的各项金额。</w:t>
      </w:r>
    </w:p>
    <w:p>
      <w:pPr>
        <w:spacing w:line="420" w:lineRule="exact"/>
        <w:ind w:firstLine="420" w:firstLineChars="200"/>
        <w:rPr>
          <w:rFonts w:ascii="宋体" w:hAnsi="宋体"/>
          <w:szCs w:val="21"/>
        </w:rPr>
      </w:pPr>
      <w:r>
        <w:rPr>
          <w:rFonts w:hint="eastAsia"/>
          <w:szCs w:val="21"/>
        </w:rPr>
        <w:t>22.2.5</w:t>
      </w:r>
      <w:r>
        <w:rPr>
          <w:rFonts w:hint="eastAsia" w:ascii="宋体" w:hAnsi="宋体"/>
          <w:szCs w:val="21"/>
        </w:rPr>
        <w:t>解除合同后的承包人撤离</w:t>
      </w:r>
    </w:p>
    <w:p>
      <w:pPr>
        <w:spacing w:line="420" w:lineRule="exact"/>
        <w:ind w:firstLine="420" w:firstLineChars="200"/>
        <w:rPr>
          <w:szCs w:val="21"/>
        </w:rPr>
      </w:pPr>
      <w:r>
        <w:rPr>
          <w:rFonts w:hint="eastAsia"/>
          <w:szCs w:val="21"/>
        </w:rPr>
        <w:t>因发包人违约而解除合同后，承包人应妥善做好已竣工工程和已购材料、设备的保护和移交工作，按发包人要求将承包人设备和人员撤出施工场地。承包人撤出施工场地应遵守第18.7.1项的约定，发包人应为承包人撤出提供必要条件。</w:t>
      </w:r>
    </w:p>
    <w:p>
      <w:pPr>
        <w:pStyle w:val="27"/>
        <w:spacing w:beforeLines="50" w:afterLines="50" w:line="420" w:lineRule="exact"/>
        <w:rPr>
          <w:sz w:val="21"/>
          <w:szCs w:val="21"/>
        </w:rPr>
      </w:pPr>
      <w:bookmarkStart w:id="5441" w:name="_Toc282779110"/>
      <w:bookmarkStart w:id="5442" w:name="_Toc288491635"/>
      <w:bookmarkStart w:id="5443" w:name="_Toc15588"/>
      <w:bookmarkStart w:id="5444" w:name="_Toc152045756"/>
      <w:bookmarkStart w:id="5445" w:name="_Toc686"/>
      <w:bookmarkStart w:id="5446" w:name="_Toc6795"/>
      <w:bookmarkStart w:id="5447" w:name="_Toc179632774"/>
      <w:bookmarkStart w:id="5448" w:name="_Toc26941"/>
      <w:bookmarkStart w:id="5449" w:name="_Toc32491"/>
      <w:bookmarkStart w:id="5450" w:name="_Toc283794307"/>
      <w:bookmarkStart w:id="5451" w:name="_Toc287853459"/>
      <w:bookmarkStart w:id="5452" w:name="_Toc282779619"/>
      <w:bookmarkStart w:id="5453" w:name="_Toc32476"/>
      <w:bookmarkStart w:id="5454" w:name="_Toc31555"/>
      <w:bookmarkStart w:id="5455" w:name="_Toc288546759"/>
      <w:bookmarkStart w:id="5456" w:name="_Toc152042535"/>
      <w:bookmarkStart w:id="5457" w:name="_Toc282787560"/>
      <w:bookmarkStart w:id="5458" w:name="_Toc16034"/>
      <w:bookmarkStart w:id="5459" w:name="_Toc22174"/>
      <w:bookmarkStart w:id="5460" w:name="_Toc237923935"/>
      <w:bookmarkStart w:id="5461" w:name="_Toc11787"/>
      <w:bookmarkStart w:id="5462" w:name="_Toc32099"/>
      <w:r>
        <w:rPr>
          <w:rFonts w:hint="eastAsia"/>
          <w:b/>
          <w:sz w:val="21"/>
          <w:szCs w:val="21"/>
        </w:rPr>
        <w:t>22.3</w:t>
      </w:r>
      <w:r>
        <w:rPr>
          <w:rFonts w:hint="eastAsia"/>
          <w:sz w:val="21"/>
          <w:szCs w:val="21"/>
        </w:rPr>
        <w:t xml:space="preserve">  第三人造成的违约</w:t>
      </w:r>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p>
    <w:p>
      <w:pPr>
        <w:spacing w:line="420" w:lineRule="exact"/>
        <w:ind w:firstLine="420" w:firstLineChars="200"/>
        <w:rPr>
          <w:szCs w:val="21"/>
        </w:rPr>
      </w:pPr>
      <w:r>
        <w:rPr>
          <w:rFonts w:hint="eastAsia"/>
          <w:szCs w:val="21"/>
        </w:rPr>
        <w:t>在履行合同过程中，一方当事人因第三人的原因造成违约的，应当向对方当事人承担违约责任。一方当事人和第三人之间的纠纷，依照法律规定或者按照约定解决。</w:t>
      </w:r>
    </w:p>
    <w:p>
      <w:pPr>
        <w:pStyle w:val="28"/>
        <w:spacing w:beforeLines="50" w:afterLines="50" w:line="420" w:lineRule="exact"/>
        <w:rPr>
          <w:szCs w:val="28"/>
        </w:rPr>
      </w:pPr>
      <w:bookmarkStart w:id="5463" w:name="_Toc30161"/>
      <w:bookmarkStart w:id="5464" w:name="_Toc17121"/>
      <w:bookmarkStart w:id="5465" w:name="_Toc287853460"/>
      <w:bookmarkStart w:id="5466" w:name="_Toc8819"/>
      <w:bookmarkStart w:id="5467" w:name="_Toc4669"/>
      <w:bookmarkStart w:id="5468" w:name="_Toc7021"/>
      <w:bookmarkStart w:id="5469" w:name="_Toc11408"/>
      <w:bookmarkStart w:id="5470" w:name="_Toc152045757"/>
      <w:bookmarkStart w:id="5471" w:name="_Toc288546760"/>
      <w:bookmarkStart w:id="5472" w:name="_Toc283794308"/>
      <w:bookmarkStart w:id="5473" w:name="_Toc152042536"/>
      <w:bookmarkStart w:id="5474" w:name="_Toc179632775"/>
      <w:bookmarkStart w:id="5475" w:name="_Toc282787561"/>
      <w:bookmarkStart w:id="5476" w:name="_Toc18260"/>
      <w:bookmarkStart w:id="5477" w:name="_Toc30535"/>
      <w:bookmarkStart w:id="5478" w:name="_Toc237923936"/>
      <w:bookmarkStart w:id="5479" w:name="_Toc2680"/>
      <w:bookmarkStart w:id="5480" w:name="_Toc13256"/>
      <w:bookmarkStart w:id="5481" w:name="_Toc27724"/>
      <w:bookmarkStart w:id="5482" w:name="_Toc282779111"/>
      <w:bookmarkStart w:id="5483" w:name="_Toc288491636"/>
      <w:bookmarkStart w:id="5484" w:name="_Toc282779620"/>
      <w:bookmarkStart w:id="5485" w:name="_Toc144974727"/>
      <w:r>
        <w:rPr>
          <w:rFonts w:hint="eastAsia"/>
          <w:szCs w:val="28"/>
        </w:rPr>
        <w:t>23．索赔</w:t>
      </w:r>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p>
    <w:p>
      <w:pPr>
        <w:pStyle w:val="27"/>
        <w:spacing w:beforeLines="50" w:afterLines="50" w:line="420" w:lineRule="exact"/>
        <w:rPr>
          <w:sz w:val="21"/>
          <w:szCs w:val="21"/>
        </w:rPr>
      </w:pPr>
      <w:bookmarkStart w:id="5486" w:name="_Toc152045758"/>
      <w:bookmarkStart w:id="5487" w:name="_Toc10317"/>
      <w:bookmarkStart w:id="5488" w:name="_Toc282787562"/>
      <w:bookmarkStart w:id="5489" w:name="_Toc32307"/>
      <w:bookmarkStart w:id="5490" w:name="_Toc287853461"/>
      <w:bookmarkStart w:id="5491" w:name="_Toc288546761"/>
      <w:bookmarkStart w:id="5492" w:name="_Toc2792"/>
      <w:bookmarkStart w:id="5493" w:name="_Toc288491637"/>
      <w:bookmarkStart w:id="5494" w:name="_Toc31144"/>
      <w:bookmarkStart w:id="5495" w:name="_Toc179632776"/>
      <w:bookmarkStart w:id="5496" w:name="_Toc19550"/>
      <w:bookmarkStart w:id="5497" w:name="_Toc282779112"/>
      <w:bookmarkStart w:id="5498" w:name="_Toc21864"/>
      <w:bookmarkStart w:id="5499" w:name="_Toc237923937"/>
      <w:bookmarkStart w:id="5500" w:name="_Toc283794309"/>
      <w:bookmarkStart w:id="5501" w:name="_Toc20953"/>
      <w:bookmarkStart w:id="5502" w:name="_Toc282779621"/>
      <w:bookmarkStart w:id="5503" w:name="_Toc10362"/>
      <w:bookmarkStart w:id="5504" w:name="_Toc152042537"/>
      <w:bookmarkStart w:id="5505" w:name="_Toc30731"/>
      <w:bookmarkStart w:id="5506" w:name="_Toc500"/>
      <w:bookmarkStart w:id="5507" w:name="_Toc15235"/>
      <w:bookmarkStart w:id="5508" w:name="_Toc144974728"/>
      <w:r>
        <w:rPr>
          <w:rFonts w:hint="eastAsia"/>
          <w:b/>
          <w:sz w:val="21"/>
          <w:szCs w:val="21"/>
        </w:rPr>
        <w:t>23.1</w:t>
      </w:r>
      <w:r>
        <w:rPr>
          <w:rFonts w:hint="eastAsia"/>
          <w:sz w:val="21"/>
          <w:szCs w:val="21"/>
        </w:rPr>
        <w:t xml:space="preserve">  承包人索赔的提出</w:t>
      </w:r>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p>
    <w:p>
      <w:pPr>
        <w:spacing w:line="420" w:lineRule="exact"/>
        <w:ind w:firstLine="420" w:firstLineChars="200"/>
        <w:rPr>
          <w:szCs w:val="21"/>
        </w:rPr>
      </w:pPr>
      <w:r>
        <w:rPr>
          <w:rFonts w:hint="eastAsia"/>
          <w:szCs w:val="21"/>
        </w:rPr>
        <w:t>根据合同约定，承包人认为有权得到追加付款和（或）延长工期的，应按以下程序向发包人提出索赔：</w:t>
      </w:r>
    </w:p>
    <w:p>
      <w:pPr>
        <w:spacing w:line="420" w:lineRule="exact"/>
        <w:ind w:firstLine="420" w:firstLineChars="200"/>
        <w:rPr>
          <w:szCs w:val="21"/>
        </w:rPr>
      </w:pPr>
      <w:r>
        <w:rPr>
          <w:rFonts w:hint="eastAsia"/>
          <w:szCs w:val="21"/>
        </w:rPr>
        <w:t>（1）承包人应在知道或应当知道索赔事件发生后28天内，向监理人递交索赔意向通知书，并说明发生索赔事件的事由。承包人未在前述28天内发出索赔意向通知书的，丧失要求追加付款和（或）延长工期的权利；</w:t>
      </w:r>
    </w:p>
    <w:p>
      <w:pPr>
        <w:spacing w:line="420" w:lineRule="exact"/>
        <w:ind w:firstLine="420" w:firstLineChars="200"/>
        <w:rPr>
          <w:szCs w:val="21"/>
        </w:rPr>
      </w:pPr>
      <w:r>
        <w:rPr>
          <w:rFonts w:hint="eastAsia"/>
          <w:szCs w:val="21"/>
        </w:rPr>
        <w:t>（2）承包人应在发出索赔意向通知书后28天内，向监理人正式递交索赔通知书。索赔通知书应详细说明索赔理由以及要求追加的付款金额和（或）延长的工期，并附必要的记录和证明材料；</w:t>
      </w:r>
    </w:p>
    <w:p>
      <w:pPr>
        <w:spacing w:line="420" w:lineRule="exact"/>
        <w:ind w:firstLine="420" w:firstLineChars="200"/>
        <w:rPr>
          <w:szCs w:val="21"/>
        </w:rPr>
      </w:pPr>
      <w:r>
        <w:rPr>
          <w:rFonts w:hint="eastAsia"/>
          <w:szCs w:val="21"/>
        </w:rPr>
        <w:t>（3）索赔事件具有连续影响的，承包人应按合理时间间隔继续递交延续索赔通知，说明连续影响的实际情况和记录，列出累计的追加付款金额和（或）工期延长天数；</w:t>
      </w:r>
    </w:p>
    <w:p>
      <w:pPr>
        <w:spacing w:line="420" w:lineRule="exact"/>
        <w:ind w:firstLine="420" w:firstLineChars="200"/>
        <w:rPr>
          <w:szCs w:val="21"/>
        </w:rPr>
      </w:pPr>
      <w:r>
        <w:rPr>
          <w:rFonts w:hint="eastAsia"/>
          <w:szCs w:val="21"/>
        </w:rPr>
        <w:t>（4）在索赔事件影响结束后的28天内，承包人应向监理人递交最终索赔通知书，说明最终要求索赔的追加付款金额和（或）延长的工期，并附必要的记录和证明材料。</w:t>
      </w:r>
    </w:p>
    <w:p>
      <w:pPr>
        <w:pStyle w:val="27"/>
        <w:spacing w:beforeLines="50" w:afterLines="50" w:line="420" w:lineRule="exact"/>
        <w:rPr>
          <w:sz w:val="21"/>
          <w:szCs w:val="21"/>
        </w:rPr>
      </w:pPr>
      <w:bookmarkStart w:id="5509" w:name="_Toc2057"/>
      <w:bookmarkStart w:id="5510" w:name="_Toc31474"/>
      <w:bookmarkStart w:id="5511" w:name="_Toc14329"/>
      <w:bookmarkStart w:id="5512" w:name="_Toc24972"/>
      <w:bookmarkStart w:id="5513" w:name="_Toc179632777"/>
      <w:bookmarkStart w:id="5514" w:name="_Toc283794310"/>
      <w:bookmarkStart w:id="5515" w:name="_Toc24275"/>
      <w:bookmarkStart w:id="5516" w:name="_Toc288546762"/>
      <w:bookmarkStart w:id="5517" w:name="_Toc237923938"/>
      <w:bookmarkStart w:id="5518" w:name="_Toc282787563"/>
      <w:bookmarkStart w:id="5519" w:name="_Toc288491638"/>
      <w:bookmarkStart w:id="5520" w:name="_Toc18114"/>
      <w:bookmarkStart w:id="5521" w:name="_Toc282779113"/>
      <w:bookmarkStart w:id="5522" w:name="_Toc31080"/>
      <w:bookmarkStart w:id="5523" w:name="_Toc18627"/>
      <w:bookmarkStart w:id="5524" w:name="_Toc144974729"/>
      <w:bookmarkStart w:id="5525" w:name="_Toc1719"/>
      <w:bookmarkStart w:id="5526" w:name="_Toc152042538"/>
      <w:bookmarkStart w:id="5527" w:name="_Toc9097"/>
      <w:bookmarkStart w:id="5528" w:name="_Toc287853462"/>
      <w:bookmarkStart w:id="5529" w:name="_Toc152045759"/>
      <w:bookmarkStart w:id="5530" w:name="_Toc17739"/>
      <w:bookmarkStart w:id="5531" w:name="_Toc282779622"/>
      <w:r>
        <w:rPr>
          <w:rFonts w:hint="eastAsia"/>
          <w:b/>
          <w:sz w:val="21"/>
          <w:szCs w:val="21"/>
        </w:rPr>
        <w:t>23.2</w:t>
      </w:r>
      <w:r>
        <w:rPr>
          <w:rFonts w:hint="eastAsia"/>
          <w:sz w:val="21"/>
          <w:szCs w:val="21"/>
        </w:rPr>
        <w:t xml:space="preserve">  承包人索赔处理程序</w:t>
      </w:r>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p>
    <w:p>
      <w:pPr>
        <w:spacing w:line="420" w:lineRule="exact"/>
        <w:ind w:firstLine="420" w:firstLineChars="200"/>
        <w:rPr>
          <w:szCs w:val="21"/>
        </w:rPr>
      </w:pPr>
      <w:r>
        <w:rPr>
          <w:rFonts w:hint="eastAsia"/>
          <w:szCs w:val="21"/>
        </w:rPr>
        <w:t>（1）监理人收到承包人提交的索赔通知书后，应及时审查索赔通知书的内容、查验承包人的记录和证明材料，必要时监理人可要求承包人提交全部原始记录副本。</w:t>
      </w:r>
    </w:p>
    <w:p>
      <w:pPr>
        <w:spacing w:line="420" w:lineRule="exact"/>
        <w:ind w:firstLine="420" w:firstLineChars="200"/>
        <w:rPr>
          <w:szCs w:val="21"/>
        </w:rPr>
      </w:pPr>
      <w:r>
        <w:rPr>
          <w:rFonts w:hint="eastAsia"/>
          <w:szCs w:val="21"/>
        </w:rPr>
        <w:t>（2）监理人应按第3.5款商定或确定追加的付款和（或）延长的工期，并在收到上述索赔通知书或有关索赔的进一步证明材料后的42天内，将索赔处理结果报发包人批准后答复承包人。如果承包人提出的索赔要求未能遵守第23.1（2）～（4）项的规定，则承包人只限于索赔由于监理人按当时记录予以核实的那部分款额和（或）工期延长天数。</w:t>
      </w:r>
    </w:p>
    <w:p>
      <w:pPr>
        <w:spacing w:line="420" w:lineRule="exact"/>
        <w:ind w:firstLine="420" w:firstLineChars="200"/>
        <w:rPr>
          <w:szCs w:val="21"/>
        </w:rPr>
      </w:pPr>
      <w:r>
        <w:rPr>
          <w:rFonts w:hint="eastAsia"/>
          <w:szCs w:val="21"/>
        </w:rPr>
        <w:t>（3）承包人接受索赔处理结果的，发包人应在作出索赔处理结果答复后28天内完成赔付。承包人不接受索赔处理结果的，按第24条的约定办理。</w:t>
      </w:r>
    </w:p>
    <w:p>
      <w:pPr>
        <w:pStyle w:val="27"/>
        <w:spacing w:beforeLines="50" w:afterLines="50" w:line="420" w:lineRule="exact"/>
        <w:rPr>
          <w:sz w:val="21"/>
          <w:szCs w:val="21"/>
        </w:rPr>
      </w:pPr>
      <w:bookmarkStart w:id="5532" w:name="_Toc282779114"/>
      <w:bookmarkStart w:id="5533" w:name="_Toc287853463"/>
      <w:bookmarkStart w:id="5534" w:name="_Toc144974730"/>
      <w:bookmarkStart w:id="5535" w:name="_Toc288491639"/>
      <w:bookmarkStart w:id="5536" w:name="_Toc26170"/>
      <w:bookmarkStart w:id="5537" w:name="_Toc282787564"/>
      <w:bookmarkStart w:id="5538" w:name="_Toc288546763"/>
      <w:bookmarkStart w:id="5539" w:name="_Toc5979"/>
      <w:bookmarkStart w:id="5540" w:name="_Toc18159"/>
      <w:bookmarkStart w:id="5541" w:name="_Toc19771"/>
      <w:bookmarkStart w:id="5542" w:name="_Toc283794311"/>
      <w:bookmarkStart w:id="5543" w:name="_Toc152042539"/>
      <w:bookmarkStart w:id="5544" w:name="_Toc179632778"/>
      <w:bookmarkStart w:id="5545" w:name="_Toc18320"/>
      <w:bookmarkStart w:id="5546" w:name="_Toc282779623"/>
      <w:bookmarkStart w:id="5547" w:name="_Toc19218"/>
      <w:bookmarkStart w:id="5548" w:name="_Toc27875"/>
      <w:bookmarkStart w:id="5549" w:name="_Toc12735"/>
      <w:bookmarkStart w:id="5550" w:name="_Toc6843"/>
      <w:bookmarkStart w:id="5551" w:name="_Toc8240"/>
      <w:bookmarkStart w:id="5552" w:name="_Toc10339"/>
      <w:bookmarkStart w:id="5553" w:name="_Toc237923939"/>
      <w:bookmarkStart w:id="5554" w:name="_Toc152045760"/>
      <w:r>
        <w:rPr>
          <w:rFonts w:hint="eastAsia"/>
          <w:b/>
          <w:sz w:val="21"/>
          <w:szCs w:val="21"/>
        </w:rPr>
        <w:t>23.3</w:t>
      </w:r>
      <w:r>
        <w:rPr>
          <w:rFonts w:hint="eastAsia"/>
          <w:sz w:val="21"/>
          <w:szCs w:val="21"/>
        </w:rPr>
        <w:t xml:space="preserve">  承包人提出索赔的期限</w:t>
      </w:r>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p>
    <w:p>
      <w:pPr>
        <w:spacing w:line="420" w:lineRule="exact"/>
        <w:ind w:firstLine="420" w:firstLineChars="200"/>
        <w:rPr>
          <w:szCs w:val="21"/>
        </w:rPr>
      </w:pPr>
      <w:r>
        <w:rPr>
          <w:rFonts w:hint="eastAsia"/>
          <w:szCs w:val="21"/>
        </w:rPr>
        <w:t>23.3.1  承包人按第17.5款的约定接受了竣工付款证书后，应被认为已无权再提出在合同工程接收证书颁发前所发生的任何索赔。</w:t>
      </w:r>
    </w:p>
    <w:p>
      <w:pPr>
        <w:spacing w:line="420" w:lineRule="exact"/>
        <w:ind w:firstLine="420" w:firstLineChars="200"/>
        <w:rPr>
          <w:szCs w:val="21"/>
          <w:shd w:val="pct10" w:color="auto" w:fill="FFFFFF"/>
        </w:rPr>
      </w:pPr>
      <w:r>
        <w:rPr>
          <w:rFonts w:hint="eastAsia"/>
          <w:szCs w:val="21"/>
        </w:rPr>
        <w:t>23.3.2  承包人按第17.6款的约定提交的最终结清申请单中，只限于提出工程接收证书颁发后发生的索赔。提出索赔的期限自接受最终结清证书时终止。</w:t>
      </w:r>
    </w:p>
    <w:p>
      <w:pPr>
        <w:pStyle w:val="27"/>
        <w:spacing w:beforeLines="50" w:afterLines="50" w:line="420" w:lineRule="exact"/>
        <w:rPr>
          <w:sz w:val="21"/>
          <w:szCs w:val="21"/>
        </w:rPr>
      </w:pPr>
      <w:bookmarkStart w:id="5555" w:name="_Toc152045761"/>
      <w:bookmarkStart w:id="5556" w:name="_Toc144974731"/>
      <w:bookmarkStart w:id="5557" w:name="_Toc27018"/>
      <w:bookmarkStart w:id="5558" w:name="_Toc27387"/>
      <w:bookmarkStart w:id="5559" w:name="_Toc31493"/>
      <w:bookmarkStart w:id="5560" w:name="_Toc15227"/>
      <w:bookmarkStart w:id="5561" w:name="_Toc7655"/>
      <w:bookmarkStart w:id="5562" w:name="_Toc288491640"/>
      <w:bookmarkStart w:id="5563" w:name="_Toc1838"/>
      <w:bookmarkStart w:id="5564" w:name="_Toc237923940"/>
      <w:bookmarkStart w:id="5565" w:name="_Toc288546764"/>
      <w:bookmarkStart w:id="5566" w:name="_Toc287853464"/>
      <w:bookmarkStart w:id="5567" w:name="_Toc282787565"/>
      <w:bookmarkStart w:id="5568" w:name="_Toc27741"/>
      <w:bookmarkStart w:id="5569" w:name="_Toc10789"/>
      <w:bookmarkStart w:id="5570" w:name="_Toc282779624"/>
      <w:bookmarkStart w:id="5571" w:name="_Toc179632779"/>
      <w:bookmarkStart w:id="5572" w:name="_Toc28899"/>
      <w:bookmarkStart w:id="5573" w:name="_Toc15108"/>
      <w:bookmarkStart w:id="5574" w:name="_Toc283794312"/>
      <w:bookmarkStart w:id="5575" w:name="_Toc152042540"/>
      <w:bookmarkStart w:id="5576" w:name="_Toc28962"/>
      <w:bookmarkStart w:id="5577" w:name="_Toc282779115"/>
      <w:r>
        <w:rPr>
          <w:rFonts w:hint="eastAsia"/>
          <w:b/>
          <w:sz w:val="21"/>
          <w:szCs w:val="21"/>
        </w:rPr>
        <w:t>23.4</w:t>
      </w:r>
      <w:r>
        <w:rPr>
          <w:rFonts w:hint="eastAsia"/>
          <w:sz w:val="21"/>
          <w:szCs w:val="21"/>
        </w:rPr>
        <w:t xml:space="preserve">  发包人的索赔</w:t>
      </w:r>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p>
    <w:p>
      <w:pPr>
        <w:spacing w:line="420" w:lineRule="exact"/>
        <w:ind w:firstLine="420" w:firstLineChars="200"/>
        <w:rPr>
          <w:szCs w:val="21"/>
        </w:rPr>
      </w:pPr>
      <w:r>
        <w:rPr>
          <w:rFonts w:hint="eastAsia"/>
          <w:szCs w:val="21"/>
        </w:rPr>
        <w:t>23.4.1  发生索赔事件后，监理人应及时书面通知承包人，详细说明发包人有权得到的索赔金额和（或）延长缺陷责任期的细节和依据。发包人提出索赔的期限和要求与第23.3款的约定相同，延长缺陷责任期的通知应在缺陷责任期届满前发出。</w:t>
      </w:r>
    </w:p>
    <w:p>
      <w:pPr>
        <w:spacing w:line="420" w:lineRule="exact"/>
        <w:ind w:firstLine="420" w:firstLineChars="200"/>
        <w:rPr>
          <w:szCs w:val="21"/>
        </w:rPr>
      </w:pPr>
      <w:r>
        <w:rPr>
          <w:rFonts w:hint="eastAsia"/>
          <w:szCs w:val="21"/>
        </w:rPr>
        <w:t>23.4.2  监理人按第3.5款商定或确定发包人从承包人处得到赔付的金额和（或）缺陷责任期的延长期。承包人应付给发包人的金额可从拟支付给承包人的合同价款中扣除，或由承包人以其它方式支付给发包人。</w:t>
      </w:r>
    </w:p>
    <w:p>
      <w:pPr>
        <w:pStyle w:val="28"/>
        <w:spacing w:beforeLines="50" w:afterLines="50" w:line="420" w:lineRule="exact"/>
        <w:rPr>
          <w:szCs w:val="28"/>
        </w:rPr>
      </w:pPr>
      <w:bookmarkStart w:id="5578" w:name="_Toc8278"/>
      <w:bookmarkStart w:id="5579" w:name="_Toc19399"/>
      <w:bookmarkStart w:id="5580" w:name="_Toc11971"/>
      <w:bookmarkStart w:id="5581" w:name="_Toc282787566"/>
      <w:bookmarkStart w:id="5582" w:name="_Toc287853465"/>
      <w:bookmarkStart w:id="5583" w:name="_Toc22587"/>
      <w:bookmarkStart w:id="5584" w:name="_Toc179632780"/>
      <w:bookmarkStart w:id="5585" w:name="_Toc11896"/>
      <w:bookmarkStart w:id="5586" w:name="_Toc10099"/>
      <w:bookmarkStart w:id="5587" w:name="_Toc25305"/>
      <w:bookmarkStart w:id="5588" w:name="_Toc283794313"/>
      <w:bookmarkStart w:id="5589" w:name="_Toc288491641"/>
      <w:bookmarkStart w:id="5590" w:name="_Toc15799"/>
      <w:bookmarkStart w:id="5591" w:name="_Toc144974732"/>
      <w:bookmarkStart w:id="5592" w:name="_Toc152045762"/>
      <w:bookmarkStart w:id="5593" w:name="_Toc282779625"/>
      <w:bookmarkStart w:id="5594" w:name="_Toc282779116"/>
      <w:bookmarkStart w:id="5595" w:name="_Toc288546765"/>
      <w:bookmarkStart w:id="5596" w:name="_Toc4067"/>
      <w:bookmarkStart w:id="5597" w:name="_Toc921"/>
      <w:bookmarkStart w:id="5598" w:name="_Toc8853"/>
      <w:bookmarkStart w:id="5599" w:name="_Toc237923941"/>
      <w:bookmarkStart w:id="5600" w:name="_Toc152042541"/>
      <w:r>
        <w:rPr>
          <w:rFonts w:hint="eastAsia"/>
          <w:szCs w:val="28"/>
        </w:rPr>
        <w:t>24．争议的解决</w:t>
      </w:r>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p>
    <w:p>
      <w:pPr>
        <w:pStyle w:val="27"/>
        <w:spacing w:beforeLines="50" w:afterLines="50" w:line="420" w:lineRule="exact"/>
        <w:rPr>
          <w:sz w:val="21"/>
          <w:szCs w:val="21"/>
        </w:rPr>
      </w:pPr>
      <w:bookmarkStart w:id="5601" w:name="_Toc24099"/>
      <w:bookmarkStart w:id="5602" w:name="_Toc282787567"/>
      <w:bookmarkStart w:id="5603" w:name="_Toc287853466"/>
      <w:bookmarkStart w:id="5604" w:name="_Toc288546766"/>
      <w:bookmarkStart w:id="5605" w:name="_Toc237923942"/>
      <w:bookmarkStart w:id="5606" w:name="_Toc3600"/>
      <w:bookmarkStart w:id="5607" w:name="_Toc152045763"/>
      <w:bookmarkStart w:id="5608" w:name="_Toc282779117"/>
      <w:bookmarkStart w:id="5609" w:name="_Toc6438"/>
      <w:bookmarkStart w:id="5610" w:name="_Toc16935"/>
      <w:bookmarkStart w:id="5611" w:name="_Toc12219"/>
      <w:bookmarkStart w:id="5612" w:name="_Toc282779626"/>
      <w:bookmarkStart w:id="5613" w:name="_Toc23909"/>
      <w:bookmarkStart w:id="5614" w:name="_Toc26954"/>
      <w:bookmarkStart w:id="5615" w:name="_Toc23592"/>
      <w:bookmarkStart w:id="5616" w:name="_Toc179632781"/>
      <w:bookmarkStart w:id="5617" w:name="_Toc6532"/>
      <w:bookmarkStart w:id="5618" w:name="_Toc25953"/>
      <w:bookmarkStart w:id="5619" w:name="_Toc283794314"/>
      <w:bookmarkStart w:id="5620" w:name="_Toc30584"/>
      <w:bookmarkStart w:id="5621" w:name="_Toc152042542"/>
      <w:bookmarkStart w:id="5622" w:name="_Toc288491642"/>
      <w:bookmarkStart w:id="5623" w:name="_Toc144974733"/>
      <w:r>
        <w:rPr>
          <w:rFonts w:hint="eastAsia"/>
          <w:b/>
          <w:sz w:val="21"/>
          <w:szCs w:val="21"/>
        </w:rPr>
        <w:t>24.1</w:t>
      </w:r>
      <w:r>
        <w:rPr>
          <w:rFonts w:hint="eastAsia"/>
          <w:sz w:val="21"/>
          <w:szCs w:val="21"/>
        </w:rPr>
        <w:t xml:space="preserve">  争议的解决方式</w:t>
      </w:r>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p>
    <w:p>
      <w:pPr>
        <w:spacing w:line="420" w:lineRule="exact"/>
        <w:ind w:firstLine="420" w:firstLineChars="200"/>
        <w:rPr>
          <w:szCs w:val="21"/>
        </w:rPr>
      </w:pPr>
      <w:r>
        <w:rPr>
          <w:rFonts w:hint="eastAsia"/>
          <w:szCs w:val="21"/>
        </w:rPr>
        <w:t>发包人和承包人在履行合同中发生争议的，可以友好协商解决或者提请争议评审组评审。合同当事人友好协商解决不成、不愿提请争议评审或者不接受争议评审组意见的，可在专用合同条款中约定下列一种方式解决。</w:t>
      </w:r>
    </w:p>
    <w:p>
      <w:pPr>
        <w:spacing w:line="420" w:lineRule="exact"/>
        <w:ind w:firstLine="420" w:firstLineChars="200"/>
        <w:rPr>
          <w:szCs w:val="21"/>
        </w:rPr>
      </w:pPr>
      <w:r>
        <w:rPr>
          <w:rFonts w:hint="eastAsia"/>
          <w:szCs w:val="21"/>
        </w:rPr>
        <w:t>（1）向约定的仲裁委员会申请仲裁；</w:t>
      </w:r>
    </w:p>
    <w:p>
      <w:pPr>
        <w:spacing w:line="420" w:lineRule="exact"/>
        <w:ind w:firstLine="420" w:firstLineChars="200"/>
        <w:rPr>
          <w:szCs w:val="21"/>
        </w:rPr>
      </w:pPr>
      <w:r>
        <w:rPr>
          <w:rFonts w:hint="eastAsia"/>
          <w:szCs w:val="21"/>
        </w:rPr>
        <w:t>（2）向有管辖权的人民法院提起诉讼。</w:t>
      </w:r>
    </w:p>
    <w:p>
      <w:pPr>
        <w:pStyle w:val="27"/>
        <w:spacing w:beforeLines="50" w:afterLines="50" w:line="420" w:lineRule="exact"/>
        <w:rPr>
          <w:sz w:val="21"/>
          <w:szCs w:val="21"/>
        </w:rPr>
      </w:pPr>
      <w:bookmarkStart w:id="5624" w:name="_Toc28723"/>
      <w:bookmarkStart w:id="5625" w:name="_Toc17942"/>
      <w:bookmarkStart w:id="5626" w:name="_Toc28842"/>
      <w:bookmarkStart w:id="5627" w:name="_Toc29359"/>
      <w:bookmarkStart w:id="5628" w:name="_Toc287853467"/>
      <w:bookmarkStart w:id="5629" w:name="_Toc288491643"/>
      <w:bookmarkStart w:id="5630" w:name="_Toc282779118"/>
      <w:bookmarkStart w:id="5631" w:name="_Toc152042543"/>
      <w:bookmarkStart w:id="5632" w:name="_Toc282779627"/>
      <w:bookmarkStart w:id="5633" w:name="_Toc283794315"/>
      <w:bookmarkStart w:id="5634" w:name="_Toc10137"/>
      <w:bookmarkStart w:id="5635" w:name="_Toc288546767"/>
      <w:bookmarkStart w:id="5636" w:name="_Toc25937"/>
      <w:bookmarkStart w:id="5637" w:name="_Toc32629"/>
      <w:bookmarkStart w:id="5638" w:name="_Toc30150"/>
      <w:bookmarkStart w:id="5639" w:name="_Toc144974734"/>
      <w:bookmarkStart w:id="5640" w:name="_Toc179632782"/>
      <w:bookmarkStart w:id="5641" w:name="_Toc19918"/>
      <w:bookmarkStart w:id="5642" w:name="_Toc25879"/>
      <w:bookmarkStart w:id="5643" w:name="_Toc282787568"/>
      <w:bookmarkStart w:id="5644" w:name="_Toc152045764"/>
      <w:bookmarkStart w:id="5645" w:name="_Toc237923943"/>
      <w:bookmarkStart w:id="5646" w:name="_Toc29499"/>
      <w:r>
        <w:rPr>
          <w:rFonts w:hint="eastAsia"/>
          <w:b/>
          <w:sz w:val="21"/>
          <w:szCs w:val="21"/>
        </w:rPr>
        <w:t>24.2</w:t>
      </w:r>
      <w:r>
        <w:rPr>
          <w:rFonts w:hint="eastAsia"/>
          <w:sz w:val="21"/>
          <w:szCs w:val="21"/>
        </w:rPr>
        <w:t xml:space="preserve">  友好解决</w:t>
      </w:r>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p>
    <w:p>
      <w:pPr>
        <w:spacing w:line="420" w:lineRule="exact"/>
        <w:ind w:firstLine="420" w:firstLineChars="200"/>
        <w:rPr>
          <w:szCs w:val="21"/>
        </w:rPr>
      </w:pPr>
      <w:r>
        <w:rPr>
          <w:rFonts w:hint="eastAsia"/>
          <w:szCs w:val="21"/>
        </w:rPr>
        <w:t>在提请争议评审、仲裁或者诉讼前，以及在争议评审、仲裁或诉讼过程中，发包人和承包人均可共同努力友好协商解决争议。</w:t>
      </w:r>
    </w:p>
    <w:p>
      <w:pPr>
        <w:pStyle w:val="27"/>
        <w:spacing w:beforeLines="50" w:afterLines="50" w:line="420" w:lineRule="exact"/>
        <w:rPr>
          <w:sz w:val="21"/>
          <w:szCs w:val="21"/>
        </w:rPr>
      </w:pPr>
      <w:bookmarkStart w:id="5647" w:name="_Toc14402"/>
      <w:bookmarkStart w:id="5648" w:name="_Toc10856"/>
      <w:bookmarkStart w:id="5649" w:name="_Toc288491644"/>
      <w:bookmarkStart w:id="5650" w:name="_Toc282779628"/>
      <w:bookmarkStart w:id="5651" w:name="_Toc152042544"/>
      <w:bookmarkStart w:id="5652" w:name="_Toc5795"/>
      <w:bookmarkStart w:id="5653" w:name="_Toc10576"/>
      <w:bookmarkStart w:id="5654" w:name="_Toc283794316"/>
      <w:bookmarkStart w:id="5655" w:name="_Toc1547"/>
      <w:bookmarkStart w:id="5656" w:name="_Toc282787569"/>
      <w:bookmarkStart w:id="5657" w:name="_Toc152045765"/>
      <w:bookmarkStart w:id="5658" w:name="_Toc288546768"/>
      <w:bookmarkStart w:id="5659" w:name="_Toc282779119"/>
      <w:bookmarkStart w:id="5660" w:name="_Toc179632783"/>
      <w:bookmarkStart w:id="5661" w:name="_Toc144974735"/>
      <w:bookmarkStart w:id="5662" w:name="_Toc31591"/>
      <w:bookmarkStart w:id="5663" w:name="_Toc6050"/>
      <w:bookmarkStart w:id="5664" w:name="_Toc17537"/>
      <w:bookmarkStart w:id="5665" w:name="_Toc237923944"/>
      <w:bookmarkStart w:id="5666" w:name="_Toc287853468"/>
      <w:bookmarkStart w:id="5667" w:name="_Toc15539"/>
      <w:bookmarkStart w:id="5668" w:name="_Toc2923"/>
      <w:bookmarkStart w:id="5669" w:name="_Toc6765"/>
      <w:r>
        <w:rPr>
          <w:rFonts w:hint="eastAsia"/>
          <w:b/>
          <w:sz w:val="21"/>
          <w:szCs w:val="21"/>
        </w:rPr>
        <w:t>24.3</w:t>
      </w:r>
      <w:r>
        <w:rPr>
          <w:rFonts w:hint="eastAsia"/>
          <w:sz w:val="21"/>
          <w:szCs w:val="21"/>
        </w:rPr>
        <w:t xml:space="preserve">  争议评审</w:t>
      </w:r>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p>
    <w:p>
      <w:pPr>
        <w:spacing w:line="420" w:lineRule="exact"/>
        <w:ind w:firstLine="420" w:firstLineChars="200"/>
        <w:rPr>
          <w:szCs w:val="21"/>
        </w:rPr>
      </w:pPr>
      <w:r>
        <w:rPr>
          <w:rFonts w:hint="eastAsia"/>
          <w:szCs w:val="21"/>
        </w:rPr>
        <w:t>24.3.1  采用争议评审的，发包人和承包人应在开工日后的28天内或在争议发生后，协商成立争议评审组。争议评审组由有合同管理和工程实践经验的专家组成。</w:t>
      </w:r>
    </w:p>
    <w:p>
      <w:pPr>
        <w:spacing w:line="420" w:lineRule="exact"/>
        <w:ind w:firstLine="420" w:firstLineChars="200"/>
        <w:rPr>
          <w:szCs w:val="21"/>
        </w:rPr>
      </w:pPr>
      <w:r>
        <w:rPr>
          <w:rFonts w:hint="eastAsia"/>
          <w:szCs w:val="21"/>
        </w:rPr>
        <w:t>争议评审组由3人或5人组成，专家聘请方法可由发包人和承包人共同协商确定，亦可请政府主管部门推荐或通过争议调解机构聘请，并经双方认同。争议评审组成员应与合同双方均无利害关系。争议评审组的各项费用由发包人和承包人平均分担。</w:t>
      </w:r>
    </w:p>
    <w:p>
      <w:pPr>
        <w:spacing w:line="420" w:lineRule="exact"/>
        <w:ind w:firstLine="420" w:firstLineChars="200"/>
        <w:rPr>
          <w:szCs w:val="21"/>
        </w:rPr>
      </w:pPr>
      <w:r>
        <w:rPr>
          <w:rFonts w:hint="eastAsia"/>
          <w:szCs w:val="21"/>
        </w:rPr>
        <w:t>24.3.2  合同双方的争议，应首先由申请人向争议评审组提交一份详细的评审申请报告，并附必要的文件、图纸和证明材料，申请人还应将上述报告的副本同时提交给被申请人和监理人。</w:t>
      </w:r>
    </w:p>
    <w:p>
      <w:pPr>
        <w:spacing w:line="420" w:lineRule="exact"/>
        <w:ind w:firstLine="420" w:firstLineChars="200"/>
        <w:rPr>
          <w:szCs w:val="21"/>
        </w:rPr>
      </w:pPr>
      <w:r>
        <w:rPr>
          <w:rFonts w:hint="eastAsia"/>
          <w:szCs w:val="21"/>
        </w:rPr>
        <w:t>24.3.3  被申请人在收到申请人评审申请报告副本后的28天内，向争议评审组提交一份答辩报告，并附证明材料。被申请人应将答辩报告的副本同时提交给申请人和监理人。</w:t>
      </w:r>
    </w:p>
    <w:p>
      <w:pPr>
        <w:spacing w:line="420" w:lineRule="exact"/>
        <w:ind w:firstLine="420" w:firstLineChars="200"/>
        <w:rPr>
          <w:szCs w:val="21"/>
        </w:rPr>
      </w:pPr>
      <w:r>
        <w:rPr>
          <w:rFonts w:hint="eastAsia"/>
          <w:szCs w:val="21"/>
        </w:rPr>
        <w:t>24.3.4  除专用合同条款另有约定外，争议评审组在收到合同双方报告后的14天内，邀请双方代表和有关人员举行调查会，向双方调查争议细节；必要时争议评审组可要求双方进一步提供补充材料。</w:t>
      </w:r>
    </w:p>
    <w:p>
      <w:pPr>
        <w:spacing w:line="420" w:lineRule="exact"/>
        <w:ind w:firstLine="420" w:firstLineChars="200"/>
        <w:rPr>
          <w:szCs w:val="21"/>
        </w:rPr>
      </w:pPr>
      <w:r>
        <w:rPr>
          <w:rFonts w:hint="eastAsia"/>
          <w:szCs w:val="21"/>
        </w:rPr>
        <w:t>24.3.5  除专用合同条款另有约定外，在调查会结束后的14天内，争议评审组应在不受任何干扰的情况下进行独立、公正的评审，作出书面评审意见，并说明理由。在争议评审期间，争议双方暂按总监理工程师的确定执行。</w:t>
      </w:r>
    </w:p>
    <w:p>
      <w:pPr>
        <w:spacing w:line="420" w:lineRule="exact"/>
        <w:ind w:firstLine="420" w:firstLineChars="200"/>
        <w:rPr>
          <w:szCs w:val="21"/>
        </w:rPr>
      </w:pPr>
      <w:r>
        <w:rPr>
          <w:rFonts w:hint="eastAsia"/>
          <w:szCs w:val="21"/>
        </w:rPr>
        <w:t>24.3.6  发包人和承包人接受评审意见的，由监理人根据评审意见拟定执行协议，经争议双方签字后作为合同的补充文件，并遵照执行。</w:t>
      </w:r>
    </w:p>
    <w:p>
      <w:pPr>
        <w:spacing w:line="420" w:lineRule="exact"/>
        <w:ind w:firstLine="420" w:firstLineChars="200"/>
        <w:rPr>
          <w:szCs w:val="21"/>
        </w:rPr>
      </w:pPr>
      <w:r>
        <w:rPr>
          <w:rFonts w:hint="eastAsia"/>
          <w:szCs w:val="21"/>
        </w:rPr>
        <w:t>24.3.7  发包人或承包人不接受评审意见，并要求提交仲裁或提起诉讼的，应在收到评审意见后的14天内将仲裁或起诉意向书面通知另一方，并抄送监理人，但在仲裁或诉讼结束前应暂按总监理工程师的确定执行。</w:t>
      </w:r>
    </w:p>
    <w:p>
      <w:pPr>
        <w:pStyle w:val="7"/>
        <w:spacing w:before="120" w:after="120" w:line="420" w:lineRule="exact"/>
        <w:rPr>
          <w:b w:val="0"/>
          <w:sz w:val="21"/>
          <w:szCs w:val="21"/>
        </w:rPr>
      </w:pPr>
      <w:bookmarkStart w:id="5670" w:name="_Toc282787570"/>
      <w:r>
        <w:rPr>
          <w:rFonts w:ascii="Times New Roman" w:hAnsi="Times New Roman"/>
          <w:sz w:val="21"/>
          <w:szCs w:val="21"/>
        </w:rPr>
        <w:t>24.4</w:t>
      </w:r>
      <w:r>
        <w:rPr>
          <w:rFonts w:hint="eastAsia"/>
          <w:b w:val="0"/>
          <w:sz w:val="21"/>
          <w:szCs w:val="21"/>
        </w:rPr>
        <w:t>仲裁</w:t>
      </w:r>
      <w:bookmarkEnd w:id="5670"/>
    </w:p>
    <w:p>
      <w:pPr>
        <w:spacing w:line="420" w:lineRule="exact"/>
        <w:ind w:firstLine="420" w:firstLineChars="200"/>
        <w:rPr>
          <w:szCs w:val="21"/>
        </w:rPr>
      </w:pPr>
      <w:r>
        <w:rPr>
          <w:rFonts w:hint="eastAsia"/>
          <w:szCs w:val="21"/>
        </w:rPr>
        <w:t>24.4.1  本款适用于采用仲裁方式最终解决争议的项目。</w:t>
      </w:r>
    </w:p>
    <w:p>
      <w:pPr>
        <w:spacing w:line="420" w:lineRule="exact"/>
        <w:ind w:firstLine="420" w:firstLineChars="200"/>
        <w:rPr>
          <w:szCs w:val="21"/>
        </w:rPr>
      </w:pPr>
      <w:r>
        <w:rPr>
          <w:rFonts w:hint="eastAsia"/>
          <w:szCs w:val="21"/>
        </w:rPr>
        <w:t>（1）对于未能友好解决或未能通过争议评审解决的争议，发包人或承包人任一方均有权提交给第24.1款约定的仲裁委员会仲裁。</w:t>
      </w:r>
    </w:p>
    <w:p>
      <w:pPr>
        <w:spacing w:line="420" w:lineRule="exact"/>
        <w:ind w:firstLine="420" w:firstLineChars="200"/>
        <w:rPr>
          <w:szCs w:val="21"/>
        </w:rPr>
      </w:pPr>
      <w:r>
        <w:rPr>
          <w:rFonts w:hint="eastAsia"/>
          <w:szCs w:val="21"/>
        </w:rPr>
        <w:t>（2）仲裁可在交工之前或之后进行，但发包人、监理人和承包人各自的义务不得因在工程实施期间进行仲裁而有所改变。如果仲裁是在终止合同的情况下进行，则对合同工程应采取保护措施，措施费由败诉方承担。</w:t>
      </w:r>
    </w:p>
    <w:p>
      <w:pPr>
        <w:spacing w:line="420" w:lineRule="exact"/>
        <w:ind w:firstLine="420" w:firstLineChars="200"/>
        <w:rPr>
          <w:szCs w:val="21"/>
        </w:rPr>
      </w:pPr>
      <w:r>
        <w:rPr>
          <w:rFonts w:hint="eastAsia"/>
          <w:szCs w:val="21"/>
        </w:rPr>
        <w:t>（3）仲裁裁决是终局性的并对发包人和承包人双方具有约束力。</w:t>
      </w:r>
    </w:p>
    <w:p>
      <w:pPr>
        <w:spacing w:line="420" w:lineRule="exact"/>
        <w:ind w:firstLine="420" w:firstLineChars="200"/>
        <w:rPr>
          <w:szCs w:val="21"/>
        </w:rPr>
      </w:pPr>
      <w:r>
        <w:rPr>
          <w:rFonts w:hint="eastAsia"/>
          <w:szCs w:val="21"/>
        </w:rPr>
        <w:t>（4）全部仲裁费用应由败诉方承担；或按仲裁委员会裁决的比例分担。</w:t>
      </w:r>
    </w:p>
    <w:p>
      <w:pPr>
        <w:spacing w:line="420" w:lineRule="exact"/>
        <w:ind w:firstLine="420" w:firstLineChars="200"/>
        <w:rPr>
          <w:szCs w:val="21"/>
        </w:rPr>
      </w:pPr>
      <w:r>
        <w:rPr>
          <w:rFonts w:hint="eastAsia"/>
          <w:szCs w:val="21"/>
        </w:rPr>
        <w:t>24.4.2  仲裁的执行。</w:t>
      </w:r>
    </w:p>
    <w:p>
      <w:pPr>
        <w:spacing w:line="420" w:lineRule="exact"/>
        <w:ind w:firstLine="420" w:firstLineChars="200"/>
        <w:rPr>
          <w:szCs w:val="21"/>
        </w:rPr>
      </w:pPr>
      <w:r>
        <w:rPr>
          <w:rFonts w:hint="eastAsia"/>
          <w:szCs w:val="21"/>
        </w:rPr>
        <w:t>（1）任何一方不履行仲裁机构的裁决的，对方可以向有管辖权的人民法院申请执行。</w:t>
      </w:r>
    </w:p>
    <w:p>
      <w:pPr>
        <w:spacing w:line="420" w:lineRule="exact"/>
        <w:ind w:firstLine="420" w:firstLineChars="200"/>
        <w:rPr>
          <w:szCs w:val="21"/>
        </w:rPr>
        <w:sectPr>
          <w:headerReference r:id="rId15" w:type="default"/>
          <w:footerReference r:id="rId17" w:type="default"/>
          <w:headerReference r:id="rId16" w:type="even"/>
          <w:footerReference r:id="rId18" w:type="even"/>
          <w:pgSz w:w="11906" w:h="16838"/>
          <w:pgMar w:top="1361" w:right="1418" w:bottom="1361" w:left="1418" w:header="964" w:footer="1134" w:gutter="0"/>
          <w:cols w:space="0" w:num="1"/>
          <w:docGrid w:linePitch="312" w:charSpace="0"/>
        </w:sectPr>
      </w:pPr>
      <w:r>
        <w:rPr>
          <w:rFonts w:hint="eastAsia"/>
          <w:szCs w:val="21"/>
        </w:rPr>
        <w:t>（2）任何一方提出证据证明裁决有《中华人民共和国仲裁法》第五十八条规定情形之一的，可以向仲裁委员会所在地的中级人民法院申请撤销裁决。人民法院认定执行该裁决违背社会公共利益的，裁定不予执行。仲裁裁决被人民法院裁定不予执行的，当事人可以根据双方达成的书面仲裁协议重新申请仲裁，也可以向人民法院起诉。</w:t>
      </w:r>
    </w:p>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p>
      <w:pPr>
        <w:pStyle w:val="5"/>
        <w:spacing w:before="0" w:after="0"/>
        <w:jc w:val="center"/>
        <w:rPr>
          <w:b w:val="0"/>
        </w:rPr>
      </w:pPr>
      <w:bookmarkStart w:id="5671" w:name="_Toc11269"/>
      <w:bookmarkStart w:id="5672" w:name="_Toc283794317"/>
      <w:bookmarkStart w:id="5673" w:name="_Toc288491645"/>
      <w:bookmarkStart w:id="5674" w:name="_Toc282779120"/>
      <w:bookmarkStart w:id="5675" w:name="_Toc25530"/>
      <w:bookmarkStart w:id="5676" w:name="_Toc282779629"/>
      <w:bookmarkStart w:id="5677" w:name="_Toc20693"/>
      <w:bookmarkStart w:id="5678" w:name="_Toc26884"/>
      <w:bookmarkStart w:id="5679" w:name="_Toc9086"/>
      <w:bookmarkStart w:id="5680" w:name="_Toc29212"/>
      <w:bookmarkStart w:id="5681" w:name="_Toc10286"/>
      <w:bookmarkStart w:id="5682" w:name="_Toc4682"/>
      <w:bookmarkStart w:id="5683" w:name="_Toc288546769"/>
      <w:bookmarkStart w:id="5684" w:name="_Toc282787571"/>
      <w:bookmarkStart w:id="5685" w:name="_Toc6647"/>
      <w:bookmarkStart w:id="5686" w:name="_Toc287853469"/>
      <w:bookmarkStart w:id="5687" w:name="_Toc16226"/>
      <w:bookmarkStart w:id="5688" w:name="_Toc13017"/>
      <w:bookmarkStart w:id="5689" w:name="_Toc16608"/>
      <w:bookmarkStart w:id="5690" w:name="_Toc11918"/>
      <w:bookmarkStart w:id="5691" w:name="_Toc7002"/>
      <w:bookmarkStart w:id="5692" w:name="_Toc23973"/>
      <w:bookmarkStart w:id="5693" w:name="_Toc24634"/>
      <w:bookmarkStart w:id="5694" w:name="_Toc2286"/>
      <w:bookmarkStart w:id="5695" w:name="_Toc8387"/>
      <w:r>
        <w:rPr>
          <w:rFonts w:hint="eastAsia"/>
          <w:b w:val="0"/>
        </w:rPr>
        <w:t>第二节  项目专用合同条款</w:t>
      </w:r>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p>
    <w:p/>
    <w:p>
      <w:pPr>
        <w:spacing w:line="360" w:lineRule="auto"/>
        <w:rPr>
          <w:rFonts w:ascii="黑体" w:eastAsia="黑体"/>
          <w:sz w:val="24"/>
        </w:rPr>
      </w:pPr>
      <w:r>
        <w:rPr>
          <w:rFonts w:hint="eastAsia" w:ascii="黑体" w:eastAsia="黑体"/>
          <w:sz w:val="24"/>
        </w:rPr>
        <w:t>说明：</w:t>
      </w:r>
    </w:p>
    <w:p>
      <w:pPr>
        <w:spacing w:line="360" w:lineRule="auto"/>
        <w:ind w:firstLine="480" w:firstLineChars="200"/>
        <w:rPr>
          <w:rFonts w:eastAsia="楷体_GB2312"/>
          <w:sz w:val="24"/>
        </w:rPr>
      </w:pPr>
    </w:p>
    <w:p>
      <w:pPr>
        <w:spacing w:line="360" w:lineRule="auto"/>
        <w:ind w:firstLine="480" w:firstLineChars="200"/>
        <w:rPr>
          <w:sz w:val="24"/>
        </w:rPr>
      </w:pPr>
      <w:r>
        <w:rPr>
          <w:sz w:val="24"/>
        </w:rPr>
        <w:t>1</w:t>
      </w:r>
      <w:r>
        <w:rPr>
          <w:rFonts w:hAnsi="楷体"/>
          <w:sz w:val="24"/>
        </w:rPr>
        <w:t>．招标人在根据《浙江省公路养护工程施工招标文件范本（上册）》编制项目招标文件中的</w:t>
      </w:r>
      <w:r>
        <w:rPr>
          <w:sz w:val="24"/>
        </w:rPr>
        <w:t>“</w:t>
      </w:r>
      <w:r>
        <w:rPr>
          <w:rFonts w:hAnsi="楷体"/>
          <w:sz w:val="24"/>
        </w:rPr>
        <w:t>项目专用合同条款</w:t>
      </w:r>
      <w:r>
        <w:rPr>
          <w:sz w:val="24"/>
        </w:rPr>
        <w:t>”</w:t>
      </w:r>
      <w:r>
        <w:rPr>
          <w:rFonts w:hAnsi="楷体"/>
          <w:sz w:val="24"/>
        </w:rPr>
        <w:t>时，可根据招标项目的具体特点和实际需要，对</w:t>
      </w:r>
      <w:r>
        <w:rPr>
          <w:sz w:val="24"/>
        </w:rPr>
        <w:t>“</w:t>
      </w:r>
      <w:r>
        <w:rPr>
          <w:rFonts w:hAnsi="楷体"/>
          <w:sz w:val="24"/>
        </w:rPr>
        <w:t>通用合同条款</w:t>
      </w:r>
      <w:r>
        <w:rPr>
          <w:sz w:val="24"/>
        </w:rPr>
        <w:t>”</w:t>
      </w:r>
      <w:r>
        <w:rPr>
          <w:rFonts w:hAnsi="楷体"/>
          <w:sz w:val="24"/>
        </w:rPr>
        <w:t>进行补充和细化，除</w:t>
      </w:r>
      <w:r>
        <w:rPr>
          <w:sz w:val="24"/>
        </w:rPr>
        <w:t>“</w:t>
      </w:r>
      <w:r>
        <w:rPr>
          <w:rFonts w:hAnsi="楷体"/>
          <w:sz w:val="24"/>
        </w:rPr>
        <w:t>通用合同条款</w:t>
      </w:r>
      <w:r>
        <w:rPr>
          <w:sz w:val="24"/>
        </w:rPr>
        <w:t>”</w:t>
      </w:r>
      <w:r>
        <w:rPr>
          <w:rFonts w:hAnsi="楷体"/>
          <w:sz w:val="24"/>
        </w:rPr>
        <w:t>明确</w:t>
      </w:r>
      <w:r>
        <w:rPr>
          <w:sz w:val="24"/>
        </w:rPr>
        <w:t>“</w:t>
      </w:r>
      <w:r>
        <w:rPr>
          <w:rFonts w:hAnsi="楷体"/>
          <w:sz w:val="24"/>
        </w:rPr>
        <w:t>专用合同条款</w:t>
      </w:r>
      <w:r>
        <w:rPr>
          <w:sz w:val="24"/>
        </w:rPr>
        <w:t>”</w:t>
      </w:r>
      <w:r>
        <w:rPr>
          <w:rFonts w:hAnsi="楷体"/>
          <w:sz w:val="24"/>
        </w:rPr>
        <w:t>可作出不同约定外，补充和细化的内容不得与</w:t>
      </w:r>
      <w:r>
        <w:rPr>
          <w:sz w:val="24"/>
        </w:rPr>
        <w:t>“</w:t>
      </w:r>
      <w:r>
        <w:rPr>
          <w:rFonts w:hAnsi="楷体"/>
          <w:sz w:val="24"/>
        </w:rPr>
        <w:t>通用合同条款</w:t>
      </w:r>
      <w:r>
        <w:rPr>
          <w:sz w:val="24"/>
        </w:rPr>
        <w:t>”</w:t>
      </w:r>
      <w:r>
        <w:rPr>
          <w:rFonts w:hAnsi="楷体"/>
          <w:sz w:val="24"/>
        </w:rPr>
        <w:t>强制性规定相抵触。同时，补充、细化或约定的不同内容，不得违反法律、行政法规的强制性规定和平等、自愿、公平和诚实信用原则。</w:t>
      </w:r>
    </w:p>
    <w:p>
      <w:pPr>
        <w:spacing w:line="360" w:lineRule="auto"/>
        <w:ind w:firstLine="480" w:firstLineChars="200"/>
        <w:rPr>
          <w:sz w:val="24"/>
        </w:rPr>
      </w:pPr>
      <w:r>
        <w:rPr>
          <w:sz w:val="24"/>
        </w:rPr>
        <w:t>2</w:t>
      </w:r>
      <w:r>
        <w:rPr>
          <w:rFonts w:hAnsi="楷体"/>
          <w:sz w:val="24"/>
        </w:rPr>
        <w:t>．项目专用合同条款的编号应与通用合同条款和养护工程合同专用合同条款一致。</w:t>
      </w:r>
    </w:p>
    <w:p>
      <w:pPr>
        <w:spacing w:line="360" w:lineRule="auto"/>
        <w:ind w:firstLine="480" w:firstLineChars="200"/>
        <w:rPr>
          <w:sz w:val="24"/>
        </w:rPr>
      </w:pPr>
      <w:r>
        <w:rPr>
          <w:sz w:val="24"/>
        </w:rPr>
        <w:t>3</w:t>
      </w:r>
      <w:r>
        <w:rPr>
          <w:rFonts w:hAnsi="楷体"/>
          <w:sz w:val="24"/>
        </w:rPr>
        <w:t>．项目专用合同条款可对下列内容进行补充和细化：</w:t>
      </w:r>
    </w:p>
    <w:p>
      <w:pPr>
        <w:spacing w:line="360" w:lineRule="auto"/>
        <w:ind w:firstLine="480" w:firstLineChars="200"/>
        <w:rPr>
          <w:sz w:val="24"/>
        </w:rPr>
      </w:pPr>
      <w:r>
        <w:rPr>
          <w:rFonts w:hAnsi="楷体"/>
          <w:sz w:val="24"/>
        </w:rPr>
        <w:t>（</w:t>
      </w:r>
      <w:r>
        <w:rPr>
          <w:sz w:val="24"/>
        </w:rPr>
        <w:t>1</w:t>
      </w:r>
      <w:r>
        <w:rPr>
          <w:rFonts w:hAnsi="楷体"/>
          <w:sz w:val="24"/>
        </w:rPr>
        <w:t>）</w:t>
      </w:r>
      <w:r>
        <w:rPr>
          <w:sz w:val="24"/>
        </w:rPr>
        <w:t>“</w:t>
      </w:r>
      <w:r>
        <w:rPr>
          <w:rFonts w:hAnsi="楷体"/>
          <w:sz w:val="24"/>
        </w:rPr>
        <w:t>通用合同条款</w:t>
      </w:r>
      <w:r>
        <w:rPr>
          <w:sz w:val="24"/>
        </w:rPr>
        <w:t>”</w:t>
      </w:r>
      <w:r>
        <w:rPr>
          <w:rFonts w:hAnsi="楷体"/>
          <w:sz w:val="24"/>
        </w:rPr>
        <w:t>中明确指出</w:t>
      </w:r>
      <w:r>
        <w:rPr>
          <w:sz w:val="24"/>
        </w:rPr>
        <w:t>“</w:t>
      </w:r>
      <w:r>
        <w:rPr>
          <w:rFonts w:hAnsi="楷体"/>
          <w:sz w:val="24"/>
        </w:rPr>
        <w:t>专用合同条款</w:t>
      </w:r>
      <w:r>
        <w:rPr>
          <w:sz w:val="24"/>
        </w:rPr>
        <w:t>”</w:t>
      </w:r>
      <w:r>
        <w:rPr>
          <w:rFonts w:hAnsi="楷体"/>
          <w:sz w:val="24"/>
        </w:rPr>
        <w:t>可对</w:t>
      </w:r>
      <w:r>
        <w:rPr>
          <w:sz w:val="24"/>
        </w:rPr>
        <w:t>“</w:t>
      </w:r>
      <w:r>
        <w:rPr>
          <w:rFonts w:hAnsi="楷体"/>
          <w:sz w:val="24"/>
        </w:rPr>
        <w:t>通用合同条款</w:t>
      </w:r>
      <w:r>
        <w:rPr>
          <w:sz w:val="24"/>
        </w:rPr>
        <w:t>”</w:t>
      </w:r>
      <w:r>
        <w:rPr>
          <w:rFonts w:hAnsi="楷体"/>
          <w:sz w:val="24"/>
        </w:rPr>
        <w:t>进行修改的内容（在</w:t>
      </w:r>
      <w:r>
        <w:rPr>
          <w:sz w:val="24"/>
        </w:rPr>
        <w:t>“</w:t>
      </w:r>
      <w:r>
        <w:rPr>
          <w:rFonts w:hAnsi="楷体"/>
          <w:sz w:val="24"/>
        </w:rPr>
        <w:t>通用合同条款</w:t>
      </w:r>
      <w:r>
        <w:rPr>
          <w:sz w:val="24"/>
        </w:rPr>
        <w:t>”</w:t>
      </w:r>
      <w:r>
        <w:rPr>
          <w:rFonts w:hAnsi="楷体"/>
          <w:sz w:val="24"/>
        </w:rPr>
        <w:t>中用</w:t>
      </w:r>
      <w:r>
        <w:rPr>
          <w:sz w:val="24"/>
        </w:rPr>
        <w:t>“</w:t>
      </w:r>
      <w:r>
        <w:rPr>
          <w:rFonts w:hAnsi="楷体"/>
          <w:sz w:val="24"/>
        </w:rPr>
        <w:t>应按合同约定</w:t>
      </w:r>
      <w:r>
        <w:rPr>
          <w:sz w:val="24"/>
        </w:rPr>
        <w:t>”</w:t>
      </w:r>
      <w:r>
        <w:rPr>
          <w:rFonts w:hAnsi="楷体"/>
          <w:sz w:val="24"/>
        </w:rPr>
        <w:t>、</w:t>
      </w:r>
      <w:r>
        <w:rPr>
          <w:sz w:val="24"/>
        </w:rPr>
        <w:t>“</w:t>
      </w:r>
      <w:r>
        <w:rPr>
          <w:rFonts w:hAnsi="楷体"/>
          <w:sz w:val="24"/>
        </w:rPr>
        <w:t>应按专用合同条款约定</w:t>
      </w:r>
      <w:r>
        <w:rPr>
          <w:sz w:val="24"/>
        </w:rPr>
        <w:t>”“</w:t>
      </w:r>
      <w:r>
        <w:rPr>
          <w:rFonts w:hAnsi="楷体"/>
          <w:sz w:val="24"/>
        </w:rPr>
        <w:t>除合同另有约定外</w:t>
      </w:r>
      <w:r>
        <w:rPr>
          <w:sz w:val="24"/>
        </w:rPr>
        <w:t>”</w:t>
      </w:r>
      <w:r>
        <w:rPr>
          <w:rFonts w:hAnsi="楷体"/>
          <w:sz w:val="24"/>
        </w:rPr>
        <w:t>、</w:t>
      </w:r>
      <w:r>
        <w:rPr>
          <w:sz w:val="24"/>
        </w:rPr>
        <w:t>“</w:t>
      </w:r>
      <w:r>
        <w:rPr>
          <w:rFonts w:hAnsi="楷体"/>
          <w:sz w:val="24"/>
        </w:rPr>
        <w:t>除专用合同条款另有约定外</w:t>
      </w:r>
      <w:r>
        <w:rPr>
          <w:sz w:val="24"/>
        </w:rPr>
        <w:t>”</w:t>
      </w:r>
      <w:r>
        <w:rPr>
          <w:rFonts w:hAnsi="楷体"/>
          <w:sz w:val="24"/>
        </w:rPr>
        <w:t>、</w:t>
      </w:r>
      <w:r>
        <w:rPr>
          <w:sz w:val="24"/>
        </w:rPr>
        <w:t>“</w:t>
      </w:r>
      <w:r>
        <w:rPr>
          <w:rFonts w:hAnsi="楷体"/>
          <w:sz w:val="24"/>
        </w:rPr>
        <w:t>在专用合同条款中约定</w:t>
      </w:r>
      <w:r>
        <w:rPr>
          <w:sz w:val="24"/>
        </w:rPr>
        <w:t>”</w:t>
      </w:r>
      <w:r>
        <w:rPr>
          <w:rFonts w:hAnsi="楷体"/>
          <w:sz w:val="24"/>
        </w:rPr>
        <w:t>等多种文字形式表达）；</w:t>
      </w:r>
    </w:p>
    <w:p>
      <w:pPr>
        <w:spacing w:line="360" w:lineRule="auto"/>
        <w:ind w:firstLine="480" w:firstLineChars="200"/>
        <w:rPr>
          <w:rFonts w:hAnsi="楷体"/>
          <w:sz w:val="24"/>
        </w:rPr>
      </w:pPr>
      <w:r>
        <w:rPr>
          <w:rFonts w:hAnsi="楷体"/>
          <w:sz w:val="24"/>
        </w:rPr>
        <w:t>（</w:t>
      </w:r>
      <w:r>
        <w:rPr>
          <w:sz w:val="24"/>
        </w:rPr>
        <w:t>2</w:t>
      </w:r>
      <w:r>
        <w:rPr>
          <w:rFonts w:hAnsi="楷体"/>
          <w:sz w:val="24"/>
        </w:rPr>
        <w:t>）其它需要约定、补充、细化的内容。</w:t>
      </w:r>
      <w:bookmarkStart w:id="5696" w:name="_Toc288491646"/>
      <w:bookmarkStart w:id="5697" w:name="_Toc282787572"/>
      <w:bookmarkStart w:id="5698" w:name="_Toc282779630"/>
      <w:bookmarkStart w:id="5699" w:name="_Toc288546770"/>
      <w:bookmarkStart w:id="5700" w:name="_Toc287853470"/>
      <w:bookmarkStart w:id="5701" w:name="_Toc283794318"/>
      <w:bookmarkStart w:id="5702" w:name="_Toc282779121"/>
    </w:p>
    <w:p>
      <w:pPr>
        <w:spacing w:line="360" w:lineRule="auto"/>
        <w:ind w:firstLine="480" w:firstLineChars="200"/>
        <w:rPr>
          <w:rFonts w:hAnsi="楷体"/>
          <w:sz w:val="24"/>
        </w:rPr>
      </w:pPr>
    </w:p>
    <w:p>
      <w:pPr>
        <w:spacing w:line="360" w:lineRule="auto"/>
        <w:ind w:firstLine="480" w:firstLineChars="200"/>
        <w:rPr>
          <w:rFonts w:hAnsi="楷体"/>
          <w:sz w:val="24"/>
        </w:rPr>
      </w:pPr>
    </w:p>
    <w:p>
      <w:pPr>
        <w:spacing w:line="360" w:lineRule="auto"/>
        <w:ind w:firstLine="480" w:firstLineChars="200"/>
        <w:rPr>
          <w:rFonts w:hAnsi="楷体"/>
          <w:sz w:val="24"/>
        </w:rPr>
      </w:pPr>
    </w:p>
    <w:p>
      <w:pPr>
        <w:spacing w:line="360" w:lineRule="auto"/>
        <w:ind w:firstLine="480" w:firstLineChars="200"/>
        <w:rPr>
          <w:rFonts w:hAnsi="楷体"/>
          <w:sz w:val="24"/>
        </w:rPr>
      </w:pPr>
    </w:p>
    <w:p>
      <w:pPr>
        <w:spacing w:line="360" w:lineRule="auto"/>
        <w:ind w:firstLine="480" w:firstLineChars="200"/>
        <w:rPr>
          <w:rFonts w:hAnsi="楷体"/>
          <w:sz w:val="24"/>
        </w:rPr>
      </w:pPr>
    </w:p>
    <w:p>
      <w:pPr>
        <w:spacing w:line="360" w:lineRule="auto"/>
        <w:ind w:firstLine="480" w:firstLineChars="200"/>
        <w:rPr>
          <w:rFonts w:hAnsi="楷体"/>
          <w:sz w:val="24"/>
        </w:rPr>
      </w:pPr>
    </w:p>
    <w:p>
      <w:pPr>
        <w:pStyle w:val="2"/>
        <w:ind w:firstLine="240"/>
      </w:pPr>
    </w:p>
    <w:p>
      <w:pPr>
        <w:spacing w:line="360" w:lineRule="auto"/>
        <w:ind w:firstLine="480" w:firstLineChars="200"/>
        <w:rPr>
          <w:rFonts w:hAnsi="楷体"/>
          <w:sz w:val="24"/>
        </w:rPr>
      </w:pPr>
    </w:p>
    <w:p>
      <w:pPr>
        <w:spacing w:line="360" w:lineRule="auto"/>
        <w:ind w:firstLine="480" w:firstLineChars="200"/>
        <w:rPr>
          <w:rFonts w:hAnsi="楷体"/>
          <w:sz w:val="24"/>
        </w:rPr>
      </w:pPr>
    </w:p>
    <w:p>
      <w:pPr>
        <w:spacing w:line="360" w:lineRule="auto"/>
        <w:ind w:firstLine="480" w:firstLineChars="200"/>
        <w:rPr>
          <w:rFonts w:hAnsi="楷体"/>
          <w:sz w:val="24"/>
        </w:rPr>
      </w:pPr>
    </w:p>
    <w:p>
      <w:pPr>
        <w:spacing w:line="360" w:lineRule="auto"/>
        <w:ind w:firstLine="480" w:firstLineChars="200"/>
        <w:rPr>
          <w:rFonts w:hAnsi="楷体"/>
          <w:sz w:val="24"/>
        </w:rPr>
      </w:pPr>
    </w:p>
    <w:p>
      <w:pPr>
        <w:spacing w:line="360" w:lineRule="auto"/>
        <w:ind w:firstLine="480" w:firstLineChars="200"/>
        <w:rPr>
          <w:rFonts w:hAnsi="楷体"/>
          <w:sz w:val="24"/>
        </w:rPr>
      </w:pPr>
    </w:p>
    <w:p>
      <w:pPr>
        <w:spacing w:line="360" w:lineRule="auto"/>
        <w:ind w:firstLine="480" w:firstLineChars="200"/>
        <w:rPr>
          <w:rFonts w:hAnsi="楷体"/>
          <w:sz w:val="24"/>
        </w:rPr>
      </w:pPr>
    </w:p>
    <w:p>
      <w:pPr>
        <w:pStyle w:val="5"/>
        <w:spacing w:before="360" w:after="120"/>
        <w:jc w:val="center"/>
        <w:rPr>
          <w:rFonts w:ascii="Times New Roman" w:hAnsi="Times New Roman"/>
          <w:b w:val="0"/>
          <w:sz w:val="30"/>
          <w:szCs w:val="30"/>
        </w:rPr>
      </w:pPr>
      <w:bookmarkStart w:id="5703" w:name="_Toc1130"/>
      <w:bookmarkStart w:id="5704" w:name="_Toc18388"/>
      <w:bookmarkStart w:id="5705" w:name="_Toc22686"/>
      <w:bookmarkStart w:id="5706" w:name="_Toc9461"/>
      <w:bookmarkStart w:id="5707" w:name="_Toc21147"/>
      <w:bookmarkStart w:id="5708" w:name="_Toc5829"/>
      <w:bookmarkStart w:id="5709" w:name="_Toc6177"/>
      <w:bookmarkStart w:id="5710" w:name="_Toc24479"/>
      <w:bookmarkStart w:id="5711" w:name="_Toc21965"/>
      <w:bookmarkStart w:id="5712" w:name="_Toc22740"/>
      <w:bookmarkStart w:id="5713" w:name="_Toc26768"/>
      <w:bookmarkStart w:id="5714" w:name="_Toc23371"/>
      <w:bookmarkStart w:id="5715" w:name="_Toc22319"/>
      <w:bookmarkStart w:id="5716" w:name="_Toc21425"/>
      <w:bookmarkStart w:id="5717" w:name="_Toc23266"/>
      <w:bookmarkStart w:id="5718" w:name="_Toc15519"/>
      <w:bookmarkStart w:id="5719" w:name="_Toc3400"/>
      <w:bookmarkStart w:id="5720" w:name="_Toc6"/>
      <w:r>
        <w:rPr>
          <w:rFonts w:hint="eastAsia" w:ascii="Times New Roman"/>
          <w:b w:val="0"/>
          <w:sz w:val="30"/>
          <w:szCs w:val="30"/>
        </w:rPr>
        <w:t>项目专用合同条款数据表</w:t>
      </w:r>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p>
    <w:bookmarkEnd w:id="5696"/>
    <w:bookmarkEnd w:id="5697"/>
    <w:bookmarkEnd w:id="5698"/>
    <w:bookmarkEnd w:id="5699"/>
    <w:bookmarkEnd w:id="5700"/>
    <w:bookmarkEnd w:id="5701"/>
    <w:bookmarkEnd w:id="5702"/>
    <w:p>
      <w:pPr>
        <w:spacing w:afterLines="50" w:line="360" w:lineRule="exact"/>
        <w:rPr>
          <w:rFonts w:ascii="楷体" w:hAnsi="楷体" w:eastAsia="楷体"/>
          <w:sz w:val="24"/>
        </w:rPr>
      </w:pPr>
      <w:r>
        <w:rPr>
          <w:rFonts w:hint="eastAsia" w:ascii="黑体" w:eastAsia="黑体"/>
          <w:sz w:val="24"/>
        </w:rPr>
        <w:t>说明</w:t>
      </w:r>
      <w:r>
        <w:rPr>
          <w:rFonts w:hint="eastAsia"/>
          <w:sz w:val="24"/>
        </w:rPr>
        <w:t>：</w:t>
      </w:r>
      <w:r>
        <w:rPr>
          <w:rFonts w:hint="eastAsia" w:ascii="楷体" w:hAnsi="楷体"/>
          <w:sz w:val="24"/>
        </w:rPr>
        <w:t>本数据表是项目专用合同条款中适用于本项目的信息和数据的归纳与提示，是项目专用合同条款的组成部分。第八章“投标文件格式”的投标函附录中的数据（供投标人确认）与本表所列有重复。编写招标文件的单位应仔细校核，不使数据出现差错或不一致。</w:t>
      </w:r>
    </w:p>
    <w:tbl>
      <w:tblPr>
        <w:tblStyle w:val="20"/>
        <w:tblW w:w="9118"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24"/>
        <w:gridCol w:w="1107"/>
        <w:gridCol w:w="718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0" w:hRule="atLeast"/>
        </w:trPr>
        <w:tc>
          <w:tcPr>
            <w:tcW w:w="824" w:type="dxa"/>
            <w:vAlign w:val="center"/>
          </w:tcPr>
          <w:p>
            <w:pPr>
              <w:spacing w:line="240" w:lineRule="exact"/>
              <w:jc w:val="center"/>
              <w:rPr>
                <w:rFonts w:ascii="黑体" w:eastAsia="黑体"/>
                <w:szCs w:val="21"/>
              </w:rPr>
            </w:pPr>
            <w:r>
              <w:rPr>
                <w:rFonts w:hint="eastAsia" w:ascii="黑体" w:eastAsia="黑体"/>
                <w:szCs w:val="21"/>
              </w:rPr>
              <w:t>序号</w:t>
            </w:r>
          </w:p>
        </w:tc>
        <w:tc>
          <w:tcPr>
            <w:tcW w:w="1107" w:type="dxa"/>
            <w:vAlign w:val="center"/>
          </w:tcPr>
          <w:p>
            <w:pPr>
              <w:spacing w:line="240" w:lineRule="exact"/>
              <w:jc w:val="center"/>
              <w:rPr>
                <w:rFonts w:ascii="黑体" w:eastAsia="黑体"/>
                <w:szCs w:val="21"/>
              </w:rPr>
            </w:pPr>
            <w:r>
              <w:rPr>
                <w:rFonts w:hint="eastAsia" w:ascii="黑体" w:eastAsia="黑体"/>
                <w:szCs w:val="21"/>
              </w:rPr>
              <w:t>条目号</w:t>
            </w:r>
          </w:p>
        </w:tc>
        <w:tc>
          <w:tcPr>
            <w:tcW w:w="7187" w:type="dxa"/>
            <w:vAlign w:val="center"/>
          </w:tcPr>
          <w:p>
            <w:pPr>
              <w:spacing w:line="240" w:lineRule="exact"/>
              <w:jc w:val="center"/>
              <w:rPr>
                <w:rFonts w:ascii="黑体" w:eastAsia="黑体"/>
                <w:szCs w:val="21"/>
              </w:rPr>
            </w:pPr>
            <w:r>
              <w:rPr>
                <w:rFonts w:hint="eastAsia" w:ascii="黑体" w:eastAsia="黑体"/>
                <w:szCs w:val="21"/>
              </w:rPr>
              <w:t>信息或数据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16" w:hRule="atLeast"/>
        </w:trPr>
        <w:tc>
          <w:tcPr>
            <w:tcW w:w="824" w:type="dxa"/>
            <w:vAlign w:val="center"/>
          </w:tcPr>
          <w:p>
            <w:pPr>
              <w:spacing w:line="300" w:lineRule="exact"/>
              <w:jc w:val="center"/>
              <w:rPr>
                <w:szCs w:val="21"/>
              </w:rPr>
            </w:pPr>
            <w:r>
              <w:rPr>
                <w:rFonts w:hint="eastAsia"/>
                <w:szCs w:val="21"/>
              </w:rPr>
              <w:t>1</w:t>
            </w:r>
          </w:p>
        </w:tc>
        <w:tc>
          <w:tcPr>
            <w:tcW w:w="1107" w:type="dxa"/>
            <w:vAlign w:val="center"/>
          </w:tcPr>
          <w:p>
            <w:pPr>
              <w:spacing w:line="300" w:lineRule="exact"/>
              <w:jc w:val="center"/>
              <w:rPr>
                <w:szCs w:val="21"/>
              </w:rPr>
            </w:pPr>
            <w:r>
              <w:rPr>
                <w:rFonts w:hint="eastAsia"/>
                <w:szCs w:val="21"/>
              </w:rPr>
              <w:t>1.1.2.2</w:t>
            </w:r>
          </w:p>
        </w:tc>
        <w:tc>
          <w:tcPr>
            <w:tcW w:w="7187" w:type="dxa"/>
            <w:vAlign w:val="center"/>
          </w:tcPr>
          <w:p>
            <w:pPr>
              <w:spacing w:line="300" w:lineRule="exact"/>
              <w:jc w:val="left"/>
              <w:rPr>
                <w:szCs w:val="21"/>
              </w:rPr>
            </w:pPr>
            <w:r>
              <w:rPr>
                <w:rFonts w:hint="eastAsia"/>
                <w:szCs w:val="21"/>
              </w:rPr>
              <w:t>发包人：</w:t>
            </w:r>
            <w:r>
              <w:rPr>
                <w:rFonts w:hint="eastAsia" w:hAnsi="宋体"/>
                <w:szCs w:val="21"/>
              </w:rPr>
              <w:t>桐庐县公路服务中心、桐庐县交通投资有限公司</w:t>
            </w:r>
          </w:p>
          <w:p>
            <w:pPr>
              <w:spacing w:line="360" w:lineRule="exact"/>
              <w:rPr>
                <w:rFonts w:hAnsi="宋体"/>
                <w:szCs w:val="21"/>
              </w:rPr>
            </w:pPr>
            <w:r>
              <w:rPr>
                <w:rFonts w:hint="eastAsia"/>
                <w:szCs w:val="21"/>
              </w:rPr>
              <w:t>地  址：</w:t>
            </w:r>
            <w:r>
              <w:rPr>
                <w:rFonts w:hint="eastAsia" w:hAnsi="宋体"/>
                <w:szCs w:val="21"/>
              </w:rPr>
              <w:t>桐庐县桥北路147号</w:t>
            </w:r>
          </w:p>
          <w:p>
            <w:pPr>
              <w:spacing w:line="300" w:lineRule="exact"/>
              <w:jc w:val="left"/>
              <w:rPr>
                <w:szCs w:val="21"/>
              </w:rPr>
            </w:pPr>
            <w:r>
              <w:rPr>
                <w:rFonts w:hint="eastAsia"/>
                <w:szCs w:val="21"/>
              </w:rPr>
              <w:t>邮政编码：311400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6" w:hRule="atLeast"/>
        </w:trPr>
        <w:tc>
          <w:tcPr>
            <w:tcW w:w="824" w:type="dxa"/>
            <w:vAlign w:val="center"/>
          </w:tcPr>
          <w:p>
            <w:pPr>
              <w:spacing w:line="300" w:lineRule="exact"/>
              <w:jc w:val="center"/>
              <w:rPr>
                <w:szCs w:val="21"/>
              </w:rPr>
            </w:pPr>
            <w:r>
              <w:rPr>
                <w:rFonts w:hint="eastAsia"/>
                <w:szCs w:val="21"/>
              </w:rPr>
              <w:t>2</w:t>
            </w:r>
          </w:p>
        </w:tc>
        <w:tc>
          <w:tcPr>
            <w:tcW w:w="1107" w:type="dxa"/>
            <w:vAlign w:val="center"/>
          </w:tcPr>
          <w:p>
            <w:pPr>
              <w:spacing w:line="300" w:lineRule="exact"/>
              <w:jc w:val="center"/>
              <w:rPr>
                <w:szCs w:val="21"/>
              </w:rPr>
            </w:pPr>
            <w:r>
              <w:rPr>
                <w:rFonts w:hint="eastAsia"/>
                <w:szCs w:val="21"/>
              </w:rPr>
              <w:t>1.1.2.6</w:t>
            </w:r>
          </w:p>
        </w:tc>
        <w:tc>
          <w:tcPr>
            <w:tcW w:w="7187" w:type="dxa"/>
            <w:vAlign w:val="center"/>
          </w:tcPr>
          <w:p>
            <w:pPr>
              <w:spacing w:line="300" w:lineRule="exact"/>
              <w:ind w:firstLine="210" w:firstLineChars="100"/>
              <w:jc w:val="left"/>
              <w:rPr>
                <w:szCs w:val="21"/>
              </w:rPr>
            </w:pPr>
            <w:r>
              <w:rPr>
                <w:rFonts w:hint="eastAsia"/>
                <w:szCs w:val="21"/>
              </w:rPr>
              <w:t>监理人：合同签订后，书面通知承包人</w:t>
            </w:r>
          </w:p>
          <w:p>
            <w:pPr>
              <w:spacing w:line="300" w:lineRule="exact"/>
              <w:ind w:firstLine="210" w:firstLineChars="100"/>
              <w:rPr>
                <w:szCs w:val="21"/>
              </w:rPr>
            </w:pPr>
            <w:r>
              <w:rPr>
                <w:rFonts w:hint="eastAsia"/>
                <w:szCs w:val="21"/>
              </w:rPr>
              <w:t>地  址：                       邮政编码：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0" w:hRule="atLeast"/>
        </w:trPr>
        <w:tc>
          <w:tcPr>
            <w:tcW w:w="824" w:type="dxa"/>
            <w:vAlign w:val="center"/>
          </w:tcPr>
          <w:p>
            <w:pPr>
              <w:spacing w:line="300" w:lineRule="exact"/>
              <w:jc w:val="center"/>
              <w:rPr>
                <w:szCs w:val="21"/>
              </w:rPr>
            </w:pPr>
            <w:r>
              <w:rPr>
                <w:rFonts w:hint="eastAsia"/>
                <w:szCs w:val="21"/>
              </w:rPr>
              <w:t>3</w:t>
            </w:r>
          </w:p>
        </w:tc>
        <w:tc>
          <w:tcPr>
            <w:tcW w:w="1107" w:type="dxa"/>
            <w:vAlign w:val="center"/>
          </w:tcPr>
          <w:p>
            <w:pPr>
              <w:spacing w:line="300" w:lineRule="exact"/>
              <w:jc w:val="center"/>
              <w:rPr>
                <w:szCs w:val="21"/>
              </w:rPr>
            </w:pPr>
            <w:r>
              <w:rPr>
                <w:rFonts w:hint="eastAsia"/>
                <w:szCs w:val="21"/>
              </w:rPr>
              <w:t>1.1.4.5</w:t>
            </w:r>
          </w:p>
        </w:tc>
        <w:tc>
          <w:tcPr>
            <w:tcW w:w="7187" w:type="dxa"/>
            <w:vAlign w:val="center"/>
          </w:tcPr>
          <w:p>
            <w:pPr>
              <w:spacing w:line="300" w:lineRule="exact"/>
              <w:ind w:firstLine="210" w:firstLineChars="100"/>
              <w:jc w:val="left"/>
              <w:rPr>
                <w:szCs w:val="21"/>
              </w:rPr>
            </w:pPr>
            <w:r>
              <w:rPr>
                <w:rFonts w:hint="eastAsia"/>
                <w:szCs w:val="21"/>
              </w:rPr>
              <w:t>缺陷责任期：自实际交工日期起计算</w:t>
            </w:r>
            <w:r>
              <w:rPr>
                <w:rFonts w:hint="eastAsia"/>
                <w:szCs w:val="21"/>
                <w:u w:val="single"/>
              </w:rPr>
              <w:t>1年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78" w:hRule="atLeast"/>
        </w:trPr>
        <w:tc>
          <w:tcPr>
            <w:tcW w:w="824" w:type="dxa"/>
            <w:vAlign w:val="center"/>
          </w:tcPr>
          <w:p>
            <w:pPr>
              <w:spacing w:line="300" w:lineRule="exact"/>
              <w:jc w:val="center"/>
              <w:rPr>
                <w:szCs w:val="21"/>
              </w:rPr>
            </w:pPr>
            <w:r>
              <w:rPr>
                <w:rFonts w:hint="eastAsia"/>
                <w:szCs w:val="21"/>
              </w:rPr>
              <w:t>4</w:t>
            </w:r>
          </w:p>
        </w:tc>
        <w:tc>
          <w:tcPr>
            <w:tcW w:w="1107" w:type="dxa"/>
            <w:vAlign w:val="center"/>
          </w:tcPr>
          <w:p>
            <w:pPr>
              <w:spacing w:line="300" w:lineRule="exact"/>
              <w:jc w:val="center"/>
              <w:rPr>
                <w:szCs w:val="21"/>
              </w:rPr>
            </w:pPr>
            <w:r>
              <w:rPr>
                <w:rFonts w:hint="eastAsia"/>
                <w:szCs w:val="21"/>
              </w:rPr>
              <w:t>1.6.3</w:t>
            </w:r>
          </w:p>
        </w:tc>
        <w:tc>
          <w:tcPr>
            <w:tcW w:w="7187" w:type="dxa"/>
            <w:vAlign w:val="center"/>
          </w:tcPr>
          <w:p>
            <w:pPr>
              <w:spacing w:line="300" w:lineRule="exact"/>
              <w:ind w:left="105" w:leftChars="50" w:firstLine="105" w:firstLineChars="50"/>
              <w:jc w:val="left"/>
              <w:rPr>
                <w:szCs w:val="21"/>
              </w:rPr>
            </w:pPr>
            <w:r>
              <w:rPr>
                <w:rFonts w:hint="eastAsia"/>
                <w:szCs w:val="21"/>
              </w:rPr>
              <w:t>图纸需要修改和补充的，应由监理人取得发包人同意后，在该工程或工程相应部位施工前</w:t>
            </w:r>
            <w:r>
              <w:rPr>
                <w:rFonts w:hint="eastAsia"/>
                <w:szCs w:val="21"/>
                <w:u w:val="single"/>
              </w:rPr>
              <w:t xml:space="preserve"> 7 </w:t>
            </w:r>
            <w:r>
              <w:rPr>
                <w:rFonts w:hint="eastAsia"/>
                <w:szCs w:val="21"/>
              </w:rPr>
              <w:t>天内签发图纸修改图给承包人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38" w:hRule="atLeast"/>
        </w:trPr>
        <w:tc>
          <w:tcPr>
            <w:tcW w:w="824" w:type="dxa"/>
            <w:vAlign w:val="center"/>
          </w:tcPr>
          <w:p>
            <w:pPr>
              <w:spacing w:line="300" w:lineRule="exact"/>
              <w:jc w:val="center"/>
              <w:rPr>
                <w:szCs w:val="21"/>
              </w:rPr>
            </w:pPr>
            <w:r>
              <w:rPr>
                <w:rFonts w:hint="eastAsia"/>
                <w:szCs w:val="21"/>
              </w:rPr>
              <w:t>5</w:t>
            </w:r>
          </w:p>
        </w:tc>
        <w:tc>
          <w:tcPr>
            <w:tcW w:w="1107" w:type="dxa"/>
            <w:vAlign w:val="center"/>
          </w:tcPr>
          <w:p>
            <w:pPr>
              <w:spacing w:line="300" w:lineRule="exact"/>
              <w:jc w:val="center"/>
              <w:rPr>
                <w:szCs w:val="21"/>
              </w:rPr>
            </w:pPr>
            <w:r>
              <w:rPr>
                <w:rFonts w:hint="eastAsia"/>
                <w:szCs w:val="21"/>
              </w:rPr>
              <w:t>3.1.1</w:t>
            </w:r>
          </w:p>
        </w:tc>
        <w:tc>
          <w:tcPr>
            <w:tcW w:w="7187" w:type="dxa"/>
            <w:vAlign w:val="center"/>
          </w:tcPr>
          <w:p>
            <w:pPr>
              <w:spacing w:line="300" w:lineRule="exact"/>
              <w:ind w:firstLine="210" w:firstLineChars="100"/>
              <w:jc w:val="left"/>
              <w:rPr>
                <w:szCs w:val="21"/>
              </w:rPr>
            </w:pPr>
            <w:r>
              <w:rPr>
                <w:rFonts w:hint="eastAsia"/>
                <w:szCs w:val="21"/>
              </w:rPr>
              <w:t>监理人在行使下列权力前需要经发包人事先批准：</w:t>
            </w:r>
          </w:p>
          <w:p>
            <w:pPr>
              <w:spacing w:line="300" w:lineRule="exact"/>
              <w:ind w:left="105" w:leftChars="50" w:firstLine="105" w:firstLineChars="50"/>
              <w:jc w:val="left"/>
              <w:rPr>
                <w:szCs w:val="21"/>
              </w:rPr>
            </w:pPr>
            <w:r>
              <w:rPr>
                <w:rFonts w:hint="eastAsia"/>
                <w:szCs w:val="21"/>
              </w:rPr>
              <w:t>（6）根据第15.3款发出的变更指示，其单项工程变更涉及的金额超过了该单项工程签约时合同价的</w:t>
            </w:r>
            <w:r>
              <w:rPr>
                <w:rFonts w:hint="eastAsia"/>
                <w:szCs w:val="21"/>
                <w:u w:val="single"/>
              </w:rPr>
              <w:t xml:space="preserve">5 </w:t>
            </w:r>
            <w:r>
              <w:rPr>
                <w:rFonts w:hint="eastAsia"/>
                <w:szCs w:val="21"/>
              </w:rPr>
              <w:t>%或累计变更超过了签约合同价的</w:t>
            </w:r>
            <w:r>
              <w:rPr>
                <w:rFonts w:hint="eastAsia"/>
                <w:szCs w:val="21"/>
                <w:u w:val="single"/>
              </w:rPr>
              <w:t>2</w:t>
            </w: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64" w:hRule="atLeast"/>
        </w:trPr>
        <w:tc>
          <w:tcPr>
            <w:tcW w:w="824" w:type="dxa"/>
            <w:vAlign w:val="center"/>
          </w:tcPr>
          <w:p>
            <w:pPr>
              <w:spacing w:line="300" w:lineRule="exact"/>
              <w:jc w:val="center"/>
              <w:rPr>
                <w:szCs w:val="21"/>
              </w:rPr>
            </w:pPr>
            <w:r>
              <w:rPr>
                <w:rFonts w:hint="eastAsia"/>
                <w:szCs w:val="21"/>
              </w:rPr>
              <w:t>6</w:t>
            </w:r>
          </w:p>
        </w:tc>
        <w:tc>
          <w:tcPr>
            <w:tcW w:w="1107" w:type="dxa"/>
            <w:vAlign w:val="center"/>
          </w:tcPr>
          <w:p>
            <w:pPr>
              <w:spacing w:line="300" w:lineRule="exact"/>
              <w:jc w:val="center"/>
              <w:rPr>
                <w:szCs w:val="21"/>
              </w:rPr>
            </w:pPr>
            <w:r>
              <w:rPr>
                <w:rFonts w:hint="eastAsia"/>
                <w:szCs w:val="21"/>
              </w:rPr>
              <w:t>5.2.1</w:t>
            </w:r>
          </w:p>
        </w:tc>
        <w:tc>
          <w:tcPr>
            <w:tcW w:w="7187" w:type="dxa"/>
            <w:vAlign w:val="center"/>
          </w:tcPr>
          <w:p>
            <w:pPr>
              <w:spacing w:line="300" w:lineRule="exact"/>
              <w:ind w:firstLine="210" w:firstLineChars="100"/>
              <w:jc w:val="left"/>
              <w:rPr>
                <w:szCs w:val="21"/>
              </w:rPr>
            </w:pPr>
            <w:r>
              <w:rPr>
                <w:rFonts w:hint="eastAsia"/>
                <w:szCs w:val="21"/>
              </w:rPr>
              <w:t>发包人是否提供材料：</w:t>
            </w:r>
            <w:r>
              <w:rPr>
                <w:rFonts w:hint="eastAsia" w:ascii="楷体_GB2312" w:eastAsia="楷体_GB2312"/>
                <w:szCs w:val="21"/>
                <w:u w:val="single"/>
              </w:rPr>
              <w:t xml:space="preserve">否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trPr>
        <w:tc>
          <w:tcPr>
            <w:tcW w:w="824" w:type="dxa"/>
            <w:vAlign w:val="center"/>
          </w:tcPr>
          <w:p>
            <w:pPr>
              <w:spacing w:line="300" w:lineRule="exact"/>
              <w:jc w:val="center"/>
              <w:rPr>
                <w:szCs w:val="21"/>
              </w:rPr>
            </w:pPr>
            <w:r>
              <w:rPr>
                <w:rFonts w:hint="eastAsia"/>
                <w:szCs w:val="21"/>
              </w:rPr>
              <w:t>7</w:t>
            </w:r>
          </w:p>
        </w:tc>
        <w:tc>
          <w:tcPr>
            <w:tcW w:w="1107" w:type="dxa"/>
            <w:vAlign w:val="center"/>
          </w:tcPr>
          <w:p>
            <w:pPr>
              <w:spacing w:line="300" w:lineRule="exact"/>
              <w:jc w:val="center"/>
              <w:rPr>
                <w:szCs w:val="21"/>
              </w:rPr>
            </w:pPr>
            <w:r>
              <w:rPr>
                <w:rFonts w:hint="eastAsia"/>
                <w:szCs w:val="21"/>
              </w:rPr>
              <w:t>6.2</w:t>
            </w:r>
          </w:p>
        </w:tc>
        <w:tc>
          <w:tcPr>
            <w:tcW w:w="7187" w:type="dxa"/>
            <w:vAlign w:val="center"/>
          </w:tcPr>
          <w:p>
            <w:pPr>
              <w:spacing w:line="300" w:lineRule="exact"/>
              <w:ind w:firstLine="210" w:firstLineChars="100"/>
              <w:jc w:val="left"/>
              <w:rPr>
                <w:szCs w:val="21"/>
              </w:rPr>
            </w:pPr>
            <w:r>
              <w:rPr>
                <w:rFonts w:hint="eastAsia"/>
                <w:szCs w:val="21"/>
              </w:rPr>
              <w:t>发包人是否提供施工设备和临时设施：</w:t>
            </w:r>
            <w:r>
              <w:rPr>
                <w:rFonts w:hint="eastAsia" w:ascii="楷体_GB2312" w:eastAsia="楷体_GB2312"/>
                <w:szCs w:val="21"/>
                <w:u w:val="single"/>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3" w:hRule="atLeast"/>
        </w:trPr>
        <w:tc>
          <w:tcPr>
            <w:tcW w:w="824" w:type="dxa"/>
            <w:vAlign w:val="center"/>
          </w:tcPr>
          <w:p>
            <w:pPr>
              <w:spacing w:line="300" w:lineRule="exact"/>
              <w:jc w:val="center"/>
              <w:rPr>
                <w:szCs w:val="21"/>
              </w:rPr>
            </w:pPr>
            <w:r>
              <w:rPr>
                <w:rFonts w:hint="eastAsia"/>
                <w:szCs w:val="21"/>
              </w:rPr>
              <w:t>8</w:t>
            </w:r>
          </w:p>
        </w:tc>
        <w:tc>
          <w:tcPr>
            <w:tcW w:w="1107" w:type="dxa"/>
            <w:vAlign w:val="center"/>
          </w:tcPr>
          <w:p>
            <w:pPr>
              <w:spacing w:line="300" w:lineRule="exact"/>
              <w:jc w:val="center"/>
              <w:rPr>
                <w:szCs w:val="21"/>
              </w:rPr>
            </w:pPr>
            <w:r>
              <w:rPr>
                <w:rFonts w:hint="eastAsia"/>
                <w:szCs w:val="21"/>
              </w:rPr>
              <w:t>11.5</w:t>
            </w:r>
          </w:p>
        </w:tc>
        <w:tc>
          <w:tcPr>
            <w:tcW w:w="7187" w:type="dxa"/>
            <w:vAlign w:val="center"/>
          </w:tcPr>
          <w:p>
            <w:pPr>
              <w:spacing w:line="300" w:lineRule="exact"/>
              <w:ind w:firstLine="210" w:firstLineChars="100"/>
              <w:jc w:val="left"/>
              <w:rPr>
                <w:szCs w:val="21"/>
              </w:rPr>
            </w:pPr>
            <w:r>
              <w:rPr>
                <w:rFonts w:hint="eastAsia"/>
                <w:szCs w:val="21"/>
              </w:rPr>
              <w:t>逾期交工违约金：</w:t>
            </w:r>
            <w:r>
              <w:rPr>
                <w:rFonts w:hint="eastAsia"/>
                <w:szCs w:val="21"/>
                <w:highlight w:val="yellow"/>
                <w:u w:val="single"/>
              </w:rPr>
              <w:t>5000</w:t>
            </w:r>
            <w:r>
              <w:rPr>
                <w:rFonts w:hint="eastAsia"/>
                <w:szCs w:val="21"/>
              </w:rPr>
              <w:t>元∕天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3" w:hRule="atLeast"/>
        </w:trPr>
        <w:tc>
          <w:tcPr>
            <w:tcW w:w="824" w:type="dxa"/>
            <w:vAlign w:val="center"/>
          </w:tcPr>
          <w:p>
            <w:pPr>
              <w:spacing w:line="300" w:lineRule="exact"/>
              <w:jc w:val="center"/>
              <w:rPr>
                <w:szCs w:val="21"/>
              </w:rPr>
            </w:pPr>
            <w:r>
              <w:rPr>
                <w:rFonts w:hint="eastAsia"/>
                <w:szCs w:val="21"/>
              </w:rPr>
              <w:t>9</w:t>
            </w:r>
          </w:p>
        </w:tc>
        <w:tc>
          <w:tcPr>
            <w:tcW w:w="1107" w:type="dxa"/>
            <w:vAlign w:val="center"/>
          </w:tcPr>
          <w:p>
            <w:pPr>
              <w:spacing w:line="300" w:lineRule="exact"/>
              <w:jc w:val="center"/>
              <w:rPr>
                <w:szCs w:val="21"/>
              </w:rPr>
            </w:pPr>
            <w:r>
              <w:rPr>
                <w:rFonts w:hint="eastAsia"/>
                <w:szCs w:val="21"/>
              </w:rPr>
              <w:t>11.5</w:t>
            </w:r>
          </w:p>
        </w:tc>
        <w:tc>
          <w:tcPr>
            <w:tcW w:w="7187" w:type="dxa"/>
            <w:vAlign w:val="center"/>
          </w:tcPr>
          <w:p>
            <w:pPr>
              <w:spacing w:line="300" w:lineRule="exact"/>
              <w:ind w:firstLine="210" w:firstLineChars="100"/>
              <w:jc w:val="left"/>
              <w:rPr>
                <w:szCs w:val="21"/>
              </w:rPr>
            </w:pPr>
            <w:r>
              <w:rPr>
                <w:rFonts w:hint="eastAsia"/>
                <w:szCs w:val="21"/>
              </w:rPr>
              <w:t>逾期交工违约金限额：</w:t>
            </w:r>
            <w:r>
              <w:rPr>
                <w:rFonts w:hint="eastAsia"/>
                <w:szCs w:val="21"/>
                <w:u w:val="single"/>
              </w:rPr>
              <w:t xml:space="preserve">  10 </w:t>
            </w:r>
            <w:r>
              <w:rPr>
                <w:rFonts w:hint="eastAsia"/>
                <w:szCs w:val="21"/>
              </w:rPr>
              <w:t>%签约合同价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3" w:hRule="atLeast"/>
        </w:trPr>
        <w:tc>
          <w:tcPr>
            <w:tcW w:w="824" w:type="dxa"/>
            <w:vAlign w:val="center"/>
          </w:tcPr>
          <w:p>
            <w:pPr>
              <w:spacing w:line="300" w:lineRule="exact"/>
              <w:jc w:val="center"/>
              <w:rPr>
                <w:szCs w:val="21"/>
              </w:rPr>
            </w:pPr>
            <w:r>
              <w:rPr>
                <w:rFonts w:hint="eastAsia"/>
                <w:szCs w:val="21"/>
              </w:rPr>
              <w:t>10</w:t>
            </w:r>
          </w:p>
        </w:tc>
        <w:tc>
          <w:tcPr>
            <w:tcW w:w="1107" w:type="dxa"/>
            <w:vAlign w:val="center"/>
          </w:tcPr>
          <w:p>
            <w:pPr>
              <w:spacing w:line="300" w:lineRule="exact"/>
              <w:jc w:val="center"/>
              <w:rPr>
                <w:szCs w:val="21"/>
              </w:rPr>
            </w:pPr>
            <w:r>
              <w:rPr>
                <w:rFonts w:hint="eastAsia"/>
                <w:szCs w:val="21"/>
              </w:rPr>
              <w:t>11.6</w:t>
            </w:r>
          </w:p>
        </w:tc>
        <w:tc>
          <w:tcPr>
            <w:tcW w:w="7187" w:type="dxa"/>
            <w:vAlign w:val="center"/>
          </w:tcPr>
          <w:p>
            <w:pPr>
              <w:spacing w:line="300" w:lineRule="exact"/>
              <w:ind w:firstLine="210" w:firstLineChars="100"/>
              <w:jc w:val="left"/>
              <w:rPr>
                <w:szCs w:val="21"/>
              </w:rPr>
            </w:pPr>
            <w:r>
              <w:rPr>
                <w:rFonts w:hint="eastAsia"/>
                <w:szCs w:val="21"/>
              </w:rPr>
              <w:t>提前交工的奖金：</w:t>
            </w:r>
            <w:r>
              <w:rPr>
                <w:rFonts w:hint="eastAsia"/>
                <w:szCs w:val="21"/>
                <w:u w:val="single"/>
              </w:rPr>
              <w:t xml:space="preserve"> 0 </w:t>
            </w:r>
            <w:r>
              <w:rPr>
                <w:rFonts w:hint="eastAsia"/>
                <w:szCs w:val="21"/>
              </w:rPr>
              <w:t>元∕天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3" w:hRule="atLeast"/>
        </w:trPr>
        <w:tc>
          <w:tcPr>
            <w:tcW w:w="824" w:type="dxa"/>
            <w:vAlign w:val="center"/>
          </w:tcPr>
          <w:p>
            <w:pPr>
              <w:spacing w:line="300" w:lineRule="exact"/>
              <w:jc w:val="center"/>
              <w:rPr>
                <w:szCs w:val="21"/>
              </w:rPr>
            </w:pPr>
            <w:r>
              <w:rPr>
                <w:rFonts w:hint="eastAsia"/>
                <w:szCs w:val="21"/>
              </w:rPr>
              <w:t>11</w:t>
            </w:r>
          </w:p>
        </w:tc>
        <w:tc>
          <w:tcPr>
            <w:tcW w:w="1107" w:type="dxa"/>
            <w:vAlign w:val="center"/>
          </w:tcPr>
          <w:p>
            <w:pPr>
              <w:spacing w:line="300" w:lineRule="exact"/>
              <w:jc w:val="center"/>
              <w:rPr>
                <w:szCs w:val="21"/>
              </w:rPr>
            </w:pPr>
            <w:r>
              <w:rPr>
                <w:rFonts w:hint="eastAsia"/>
                <w:szCs w:val="21"/>
              </w:rPr>
              <w:t>11.6</w:t>
            </w:r>
          </w:p>
        </w:tc>
        <w:tc>
          <w:tcPr>
            <w:tcW w:w="7187" w:type="dxa"/>
            <w:vAlign w:val="center"/>
          </w:tcPr>
          <w:p>
            <w:pPr>
              <w:spacing w:line="300" w:lineRule="exact"/>
              <w:ind w:firstLine="210" w:firstLineChars="100"/>
              <w:jc w:val="left"/>
              <w:rPr>
                <w:szCs w:val="21"/>
              </w:rPr>
            </w:pPr>
            <w:r>
              <w:rPr>
                <w:rFonts w:hint="eastAsia"/>
                <w:szCs w:val="21"/>
              </w:rPr>
              <w:t>提前交工的奖金限额：</w:t>
            </w:r>
            <w:r>
              <w:rPr>
                <w:rFonts w:hint="eastAsia"/>
                <w:szCs w:val="21"/>
                <w:u w:val="single"/>
              </w:rPr>
              <w:t xml:space="preserve">  0 </w:t>
            </w:r>
            <w:r>
              <w:rPr>
                <w:rFonts w:hint="eastAsia"/>
                <w:szCs w:val="21"/>
              </w:rPr>
              <w:t>%签约合同价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73" w:hRule="atLeast"/>
        </w:trPr>
        <w:tc>
          <w:tcPr>
            <w:tcW w:w="824" w:type="dxa"/>
            <w:vAlign w:val="center"/>
          </w:tcPr>
          <w:p>
            <w:pPr>
              <w:spacing w:line="300" w:lineRule="exact"/>
              <w:jc w:val="center"/>
              <w:rPr>
                <w:szCs w:val="21"/>
              </w:rPr>
            </w:pPr>
            <w:r>
              <w:rPr>
                <w:rFonts w:hint="eastAsia"/>
                <w:szCs w:val="21"/>
              </w:rPr>
              <w:t>12</w:t>
            </w:r>
          </w:p>
        </w:tc>
        <w:tc>
          <w:tcPr>
            <w:tcW w:w="1107" w:type="dxa"/>
            <w:vAlign w:val="center"/>
          </w:tcPr>
          <w:p>
            <w:pPr>
              <w:spacing w:line="300" w:lineRule="exact"/>
              <w:jc w:val="center"/>
              <w:rPr>
                <w:szCs w:val="21"/>
              </w:rPr>
            </w:pPr>
            <w:r>
              <w:rPr>
                <w:rFonts w:hint="eastAsia"/>
                <w:szCs w:val="21"/>
              </w:rPr>
              <w:t>16.1</w:t>
            </w:r>
          </w:p>
        </w:tc>
        <w:tc>
          <w:tcPr>
            <w:tcW w:w="7187" w:type="dxa"/>
            <w:vAlign w:val="center"/>
          </w:tcPr>
          <w:p>
            <w:pPr>
              <w:spacing w:line="300" w:lineRule="exact"/>
              <w:rPr>
                <w:szCs w:val="21"/>
              </w:rPr>
            </w:pPr>
            <w:r>
              <w:rPr>
                <w:rFonts w:hint="eastAsia"/>
                <w:szCs w:val="21"/>
              </w:rPr>
              <w:t>合同期内（包括工期延长期间）主要材料均不调价。</w:t>
            </w:r>
          </w:p>
        </w:tc>
      </w:tr>
    </w:tbl>
    <w:p/>
    <w:p/>
    <w:p>
      <w:pPr>
        <w:spacing w:afterLines="50"/>
        <w:ind w:firstLine="7875" w:firstLineChars="3750"/>
      </w:pPr>
      <w:r>
        <w:rPr>
          <w:rFonts w:hint="eastAsia"/>
        </w:rPr>
        <w:t>续上表</w:t>
      </w:r>
    </w:p>
    <w:tbl>
      <w:tblPr>
        <w:tblStyle w:val="20"/>
        <w:tblW w:w="9039"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16"/>
        <w:gridCol w:w="1097"/>
        <w:gridCol w:w="712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816" w:type="dxa"/>
            <w:vAlign w:val="center"/>
          </w:tcPr>
          <w:p>
            <w:pPr>
              <w:spacing w:line="240" w:lineRule="exact"/>
              <w:jc w:val="center"/>
              <w:rPr>
                <w:rFonts w:ascii="黑体" w:eastAsia="黑体"/>
                <w:szCs w:val="21"/>
              </w:rPr>
            </w:pPr>
            <w:r>
              <w:rPr>
                <w:rFonts w:hint="eastAsia" w:ascii="黑体" w:eastAsia="黑体"/>
                <w:szCs w:val="21"/>
              </w:rPr>
              <w:t>序号</w:t>
            </w:r>
          </w:p>
        </w:tc>
        <w:tc>
          <w:tcPr>
            <w:tcW w:w="1097" w:type="dxa"/>
            <w:vAlign w:val="center"/>
          </w:tcPr>
          <w:p>
            <w:pPr>
              <w:spacing w:line="240" w:lineRule="exact"/>
              <w:jc w:val="center"/>
              <w:rPr>
                <w:rFonts w:ascii="黑体" w:eastAsia="黑体"/>
                <w:szCs w:val="21"/>
              </w:rPr>
            </w:pPr>
            <w:r>
              <w:rPr>
                <w:rFonts w:hint="eastAsia" w:ascii="黑体" w:eastAsia="黑体"/>
                <w:szCs w:val="21"/>
              </w:rPr>
              <w:t>条目号</w:t>
            </w:r>
          </w:p>
        </w:tc>
        <w:tc>
          <w:tcPr>
            <w:tcW w:w="7126" w:type="dxa"/>
            <w:vAlign w:val="center"/>
          </w:tcPr>
          <w:p>
            <w:pPr>
              <w:spacing w:line="240" w:lineRule="exact"/>
              <w:jc w:val="center"/>
              <w:rPr>
                <w:rFonts w:ascii="黑体" w:eastAsia="黑体"/>
                <w:szCs w:val="21"/>
              </w:rPr>
            </w:pPr>
            <w:r>
              <w:rPr>
                <w:rFonts w:hint="eastAsia" w:ascii="黑体" w:eastAsia="黑体"/>
                <w:szCs w:val="21"/>
              </w:rPr>
              <w:t>信息或数据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84" w:hRule="atLeast"/>
        </w:trPr>
        <w:tc>
          <w:tcPr>
            <w:tcW w:w="816" w:type="dxa"/>
            <w:vAlign w:val="center"/>
          </w:tcPr>
          <w:p>
            <w:pPr>
              <w:spacing w:line="300" w:lineRule="exact"/>
              <w:jc w:val="center"/>
              <w:rPr>
                <w:szCs w:val="21"/>
              </w:rPr>
            </w:pPr>
            <w:r>
              <w:rPr>
                <w:rFonts w:hint="eastAsia"/>
                <w:szCs w:val="21"/>
              </w:rPr>
              <w:t>13</w:t>
            </w:r>
          </w:p>
        </w:tc>
        <w:tc>
          <w:tcPr>
            <w:tcW w:w="1097" w:type="dxa"/>
            <w:vAlign w:val="center"/>
          </w:tcPr>
          <w:p>
            <w:pPr>
              <w:spacing w:line="300" w:lineRule="exact"/>
              <w:jc w:val="center"/>
              <w:rPr>
                <w:szCs w:val="21"/>
              </w:rPr>
            </w:pPr>
            <w:r>
              <w:rPr>
                <w:rFonts w:hint="eastAsia"/>
                <w:szCs w:val="21"/>
              </w:rPr>
              <w:t>17.2.1</w:t>
            </w:r>
          </w:p>
        </w:tc>
        <w:tc>
          <w:tcPr>
            <w:tcW w:w="7126" w:type="dxa"/>
            <w:vAlign w:val="center"/>
          </w:tcPr>
          <w:p>
            <w:pPr>
              <w:spacing w:line="300" w:lineRule="exact"/>
              <w:ind w:firstLine="210" w:firstLineChars="100"/>
              <w:jc w:val="left"/>
              <w:rPr>
                <w:sz w:val="24"/>
                <w:szCs w:val="21"/>
                <w:vertAlign w:val="superscript"/>
              </w:rPr>
            </w:pPr>
            <w:r>
              <w:rPr>
                <w:rFonts w:hint="eastAsia"/>
                <w:szCs w:val="21"/>
              </w:rPr>
              <w:t>开工预付款金额：</w:t>
            </w:r>
            <w:r>
              <w:rPr>
                <w:rFonts w:hint="eastAsia"/>
                <w:szCs w:val="21"/>
                <w:u w:val="single"/>
              </w:rPr>
              <w:t>30％</w:t>
            </w:r>
            <w:r>
              <w:rPr>
                <w:rFonts w:hint="eastAsia"/>
                <w:szCs w:val="21"/>
              </w:rPr>
              <w:t>签约合同价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84" w:hRule="atLeast"/>
        </w:trPr>
        <w:tc>
          <w:tcPr>
            <w:tcW w:w="816" w:type="dxa"/>
            <w:vAlign w:val="center"/>
          </w:tcPr>
          <w:p>
            <w:pPr>
              <w:spacing w:line="300" w:lineRule="exact"/>
              <w:jc w:val="center"/>
              <w:rPr>
                <w:szCs w:val="21"/>
              </w:rPr>
            </w:pPr>
            <w:r>
              <w:rPr>
                <w:rFonts w:hint="eastAsia"/>
                <w:szCs w:val="21"/>
              </w:rPr>
              <w:t>14</w:t>
            </w:r>
          </w:p>
        </w:tc>
        <w:tc>
          <w:tcPr>
            <w:tcW w:w="1097" w:type="dxa"/>
            <w:vAlign w:val="center"/>
          </w:tcPr>
          <w:p>
            <w:pPr>
              <w:spacing w:line="300" w:lineRule="exact"/>
              <w:jc w:val="center"/>
              <w:rPr>
                <w:szCs w:val="21"/>
              </w:rPr>
            </w:pPr>
            <w:r>
              <w:rPr>
                <w:rFonts w:hint="eastAsia"/>
                <w:szCs w:val="21"/>
              </w:rPr>
              <w:t>17.2.1</w:t>
            </w:r>
          </w:p>
        </w:tc>
        <w:tc>
          <w:tcPr>
            <w:tcW w:w="7126" w:type="dxa"/>
            <w:vAlign w:val="center"/>
          </w:tcPr>
          <w:p>
            <w:pPr>
              <w:ind w:firstLine="210" w:firstLineChars="100"/>
              <w:rPr>
                <w:sz w:val="24"/>
                <w:vertAlign w:val="superscript"/>
              </w:rPr>
            </w:pPr>
            <w:r>
              <w:rPr>
                <w:rFonts w:hint="eastAsia"/>
                <w:szCs w:val="21"/>
              </w:rPr>
              <w:t>材料预付款比例：/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3" w:hRule="atLeast"/>
        </w:trPr>
        <w:tc>
          <w:tcPr>
            <w:tcW w:w="816" w:type="dxa"/>
            <w:vAlign w:val="center"/>
          </w:tcPr>
          <w:p>
            <w:pPr>
              <w:spacing w:line="300" w:lineRule="exact"/>
              <w:jc w:val="center"/>
              <w:rPr>
                <w:szCs w:val="21"/>
              </w:rPr>
            </w:pPr>
            <w:r>
              <w:rPr>
                <w:rFonts w:hint="eastAsia"/>
                <w:szCs w:val="21"/>
              </w:rPr>
              <w:t>15</w:t>
            </w:r>
          </w:p>
        </w:tc>
        <w:tc>
          <w:tcPr>
            <w:tcW w:w="1097" w:type="dxa"/>
            <w:vAlign w:val="center"/>
          </w:tcPr>
          <w:p>
            <w:pPr>
              <w:spacing w:line="300" w:lineRule="exact"/>
              <w:jc w:val="center"/>
              <w:rPr>
                <w:szCs w:val="21"/>
              </w:rPr>
            </w:pPr>
            <w:r>
              <w:rPr>
                <w:rFonts w:hint="eastAsia"/>
                <w:szCs w:val="21"/>
              </w:rPr>
              <w:t>17.3.2</w:t>
            </w:r>
          </w:p>
        </w:tc>
        <w:tc>
          <w:tcPr>
            <w:tcW w:w="7126" w:type="dxa"/>
            <w:vAlign w:val="center"/>
          </w:tcPr>
          <w:p>
            <w:pPr>
              <w:spacing w:line="300" w:lineRule="exact"/>
              <w:ind w:firstLine="210" w:firstLineChars="100"/>
              <w:jc w:val="left"/>
              <w:rPr>
                <w:szCs w:val="21"/>
              </w:rPr>
            </w:pPr>
            <w:r>
              <w:rPr>
                <w:rFonts w:hint="eastAsia"/>
                <w:szCs w:val="21"/>
              </w:rPr>
              <w:t>承包人在每个付款周期末向监理人提交进度付款申请单的份数：</w:t>
            </w:r>
            <w:r>
              <w:rPr>
                <w:rFonts w:hint="eastAsia"/>
                <w:szCs w:val="21"/>
                <w:u w:val="single"/>
              </w:rPr>
              <w:t xml:space="preserve">  3  </w:t>
            </w:r>
            <w:r>
              <w:rPr>
                <w:rFonts w:hint="eastAsia"/>
                <w:szCs w:val="21"/>
              </w:rPr>
              <w:t>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42" w:hRule="atLeast"/>
        </w:trPr>
        <w:tc>
          <w:tcPr>
            <w:tcW w:w="816" w:type="dxa"/>
            <w:vAlign w:val="center"/>
          </w:tcPr>
          <w:p>
            <w:pPr>
              <w:spacing w:line="300" w:lineRule="exact"/>
              <w:jc w:val="center"/>
              <w:rPr>
                <w:szCs w:val="21"/>
              </w:rPr>
            </w:pPr>
            <w:r>
              <w:rPr>
                <w:rFonts w:hint="eastAsia"/>
                <w:szCs w:val="21"/>
              </w:rPr>
              <w:t>16</w:t>
            </w:r>
          </w:p>
        </w:tc>
        <w:tc>
          <w:tcPr>
            <w:tcW w:w="1097" w:type="dxa"/>
            <w:vAlign w:val="center"/>
          </w:tcPr>
          <w:p>
            <w:pPr>
              <w:spacing w:line="300" w:lineRule="exact"/>
              <w:jc w:val="center"/>
              <w:rPr>
                <w:szCs w:val="21"/>
              </w:rPr>
            </w:pPr>
            <w:r>
              <w:rPr>
                <w:rFonts w:hint="eastAsia"/>
                <w:szCs w:val="21"/>
              </w:rPr>
              <w:t>17.3.3（1）</w:t>
            </w:r>
          </w:p>
        </w:tc>
        <w:tc>
          <w:tcPr>
            <w:tcW w:w="7126" w:type="dxa"/>
            <w:vAlign w:val="center"/>
          </w:tcPr>
          <w:p>
            <w:pPr>
              <w:spacing w:line="300" w:lineRule="exact"/>
              <w:ind w:firstLine="210" w:firstLineChars="100"/>
              <w:jc w:val="left"/>
              <w:rPr>
                <w:szCs w:val="21"/>
              </w:rPr>
            </w:pPr>
            <w:r>
              <w:rPr>
                <w:rFonts w:hint="eastAsia"/>
                <w:szCs w:val="21"/>
              </w:rPr>
              <w:t>进度付款证书最低限额：</w:t>
            </w:r>
            <w:r>
              <w:rPr>
                <w:szCs w:val="21"/>
                <w:u w:val="single"/>
              </w:rPr>
              <w:t xml:space="preserve"> /  </w:t>
            </w:r>
            <w:r>
              <w:rPr>
                <w:rFonts w:hint="eastAsia"/>
                <w:szCs w:val="21"/>
                <w:u w:val="single"/>
              </w:rPr>
              <w:t>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87" w:hRule="atLeast"/>
        </w:trPr>
        <w:tc>
          <w:tcPr>
            <w:tcW w:w="816" w:type="dxa"/>
            <w:vAlign w:val="center"/>
          </w:tcPr>
          <w:p>
            <w:pPr>
              <w:spacing w:line="300" w:lineRule="exact"/>
              <w:jc w:val="center"/>
              <w:rPr>
                <w:szCs w:val="21"/>
              </w:rPr>
            </w:pPr>
            <w:r>
              <w:rPr>
                <w:rFonts w:hint="eastAsia"/>
                <w:szCs w:val="21"/>
              </w:rPr>
              <w:t>12</w:t>
            </w:r>
          </w:p>
        </w:tc>
        <w:tc>
          <w:tcPr>
            <w:tcW w:w="1097" w:type="dxa"/>
            <w:vAlign w:val="center"/>
          </w:tcPr>
          <w:p>
            <w:pPr>
              <w:spacing w:line="300" w:lineRule="exact"/>
              <w:jc w:val="center"/>
              <w:rPr>
                <w:szCs w:val="21"/>
              </w:rPr>
            </w:pPr>
            <w:r>
              <w:rPr>
                <w:rFonts w:hint="eastAsia"/>
                <w:szCs w:val="21"/>
              </w:rPr>
              <w:t>17.3.3（2）</w:t>
            </w:r>
          </w:p>
        </w:tc>
        <w:tc>
          <w:tcPr>
            <w:tcW w:w="7126" w:type="dxa"/>
            <w:vAlign w:val="center"/>
          </w:tcPr>
          <w:p>
            <w:pPr>
              <w:ind w:firstLine="210" w:firstLineChars="100"/>
            </w:pPr>
            <w:r>
              <w:rPr>
                <w:rFonts w:hint="eastAsia"/>
                <w:szCs w:val="21"/>
              </w:rPr>
              <w:t>逾期付款违约金的利率：中国人民银行发布的同期六个月以内(含六个月)短期贷款基准利率(不计复利)加手续费。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16" w:type="dxa"/>
            <w:vAlign w:val="center"/>
          </w:tcPr>
          <w:p>
            <w:pPr>
              <w:spacing w:line="300" w:lineRule="exact"/>
              <w:jc w:val="center"/>
              <w:rPr>
                <w:szCs w:val="21"/>
              </w:rPr>
            </w:pPr>
            <w:r>
              <w:rPr>
                <w:rFonts w:hint="eastAsia"/>
                <w:szCs w:val="21"/>
              </w:rPr>
              <w:t>13</w:t>
            </w:r>
          </w:p>
        </w:tc>
        <w:tc>
          <w:tcPr>
            <w:tcW w:w="1097" w:type="dxa"/>
            <w:vAlign w:val="center"/>
          </w:tcPr>
          <w:p>
            <w:pPr>
              <w:spacing w:line="300" w:lineRule="exact"/>
              <w:jc w:val="center"/>
              <w:rPr>
                <w:szCs w:val="21"/>
              </w:rPr>
            </w:pPr>
            <w:r>
              <w:rPr>
                <w:rFonts w:hint="eastAsia"/>
                <w:szCs w:val="21"/>
              </w:rPr>
              <w:t>17.4</w:t>
            </w:r>
          </w:p>
        </w:tc>
        <w:tc>
          <w:tcPr>
            <w:tcW w:w="7126" w:type="dxa"/>
            <w:vAlign w:val="center"/>
          </w:tcPr>
          <w:p>
            <w:pPr>
              <w:spacing w:line="300" w:lineRule="exact"/>
              <w:ind w:firstLine="210" w:firstLineChars="100"/>
              <w:jc w:val="left"/>
              <w:rPr>
                <w:sz w:val="24"/>
                <w:szCs w:val="21"/>
                <w:vertAlign w:val="superscript"/>
              </w:rPr>
            </w:pPr>
            <w:r>
              <w:rPr>
                <w:rFonts w:hint="eastAsia"/>
                <w:szCs w:val="21"/>
              </w:rPr>
              <w:t>本项目无需缴纳质量保证金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816" w:type="dxa"/>
            <w:vAlign w:val="center"/>
          </w:tcPr>
          <w:p>
            <w:pPr>
              <w:spacing w:line="300" w:lineRule="exact"/>
              <w:jc w:val="center"/>
              <w:rPr>
                <w:szCs w:val="21"/>
              </w:rPr>
            </w:pPr>
            <w:r>
              <w:rPr>
                <w:rFonts w:hint="eastAsia"/>
                <w:szCs w:val="21"/>
              </w:rPr>
              <w:t>14</w:t>
            </w:r>
          </w:p>
        </w:tc>
        <w:tc>
          <w:tcPr>
            <w:tcW w:w="1097" w:type="dxa"/>
            <w:vAlign w:val="center"/>
          </w:tcPr>
          <w:p>
            <w:pPr>
              <w:spacing w:line="300" w:lineRule="exact"/>
              <w:jc w:val="center"/>
              <w:rPr>
                <w:szCs w:val="21"/>
              </w:rPr>
            </w:pPr>
            <w:r>
              <w:rPr>
                <w:rFonts w:hint="eastAsia"/>
                <w:szCs w:val="21"/>
              </w:rPr>
              <w:t>17.5.1</w:t>
            </w:r>
          </w:p>
        </w:tc>
        <w:tc>
          <w:tcPr>
            <w:tcW w:w="7126" w:type="dxa"/>
            <w:vAlign w:val="center"/>
          </w:tcPr>
          <w:p>
            <w:pPr>
              <w:spacing w:line="300" w:lineRule="exact"/>
              <w:ind w:firstLine="210" w:firstLineChars="100"/>
              <w:jc w:val="left"/>
              <w:rPr>
                <w:szCs w:val="21"/>
              </w:rPr>
            </w:pPr>
            <w:r>
              <w:rPr>
                <w:rFonts w:hint="eastAsia"/>
                <w:szCs w:val="21"/>
              </w:rPr>
              <w:t>承包人向监理人提交交工付款申请单（包括相关证明材料）的份数：</w:t>
            </w:r>
            <w:r>
              <w:rPr>
                <w:rFonts w:hint="eastAsia"/>
                <w:szCs w:val="21"/>
                <w:u w:val="single"/>
              </w:rPr>
              <w:t xml:space="preserve"> 4 </w:t>
            </w:r>
            <w:r>
              <w:rPr>
                <w:rFonts w:hint="eastAsia"/>
                <w:szCs w:val="21"/>
              </w:rPr>
              <w:t>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816" w:type="dxa"/>
            <w:vAlign w:val="center"/>
          </w:tcPr>
          <w:p>
            <w:pPr>
              <w:spacing w:line="300" w:lineRule="exact"/>
              <w:jc w:val="center"/>
              <w:rPr>
                <w:szCs w:val="21"/>
              </w:rPr>
            </w:pPr>
            <w:r>
              <w:rPr>
                <w:rFonts w:hint="eastAsia"/>
                <w:szCs w:val="21"/>
              </w:rPr>
              <w:t>15</w:t>
            </w:r>
          </w:p>
        </w:tc>
        <w:tc>
          <w:tcPr>
            <w:tcW w:w="1097" w:type="dxa"/>
            <w:vAlign w:val="center"/>
          </w:tcPr>
          <w:p>
            <w:pPr>
              <w:spacing w:line="300" w:lineRule="exact"/>
              <w:jc w:val="center"/>
              <w:rPr>
                <w:szCs w:val="21"/>
              </w:rPr>
            </w:pPr>
            <w:r>
              <w:rPr>
                <w:rFonts w:hint="eastAsia"/>
                <w:szCs w:val="21"/>
              </w:rPr>
              <w:t>17.6.1</w:t>
            </w:r>
          </w:p>
        </w:tc>
        <w:tc>
          <w:tcPr>
            <w:tcW w:w="7126" w:type="dxa"/>
            <w:vAlign w:val="center"/>
          </w:tcPr>
          <w:p>
            <w:pPr>
              <w:spacing w:line="300" w:lineRule="exact"/>
              <w:ind w:firstLine="210" w:firstLineChars="100"/>
              <w:jc w:val="left"/>
              <w:rPr>
                <w:szCs w:val="21"/>
              </w:rPr>
            </w:pPr>
            <w:r>
              <w:rPr>
                <w:rFonts w:hint="eastAsia"/>
                <w:szCs w:val="21"/>
              </w:rPr>
              <w:t>承包人向监理人提交最终结清申请单（包括相关证明材料）的份数：</w:t>
            </w:r>
            <w:r>
              <w:rPr>
                <w:rFonts w:hint="eastAsia"/>
                <w:szCs w:val="21"/>
                <w:u w:val="single"/>
              </w:rPr>
              <w:t xml:space="preserve"> 6 </w:t>
            </w:r>
            <w:r>
              <w:rPr>
                <w:rFonts w:hint="eastAsia"/>
                <w:szCs w:val="21"/>
              </w:rPr>
              <w:t>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816" w:type="dxa"/>
            <w:vAlign w:val="center"/>
          </w:tcPr>
          <w:p>
            <w:pPr>
              <w:spacing w:line="300" w:lineRule="exact"/>
              <w:jc w:val="center"/>
              <w:rPr>
                <w:szCs w:val="21"/>
              </w:rPr>
            </w:pPr>
            <w:r>
              <w:rPr>
                <w:rFonts w:hint="eastAsia"/>
                <w:szCs w:val="21"/>
              </w:rPr>
              <w:t>16</w:t>
            </w:r>
          </w:p>
        </w:tc>
        <w:tc>
          <w:tcPr>
            <w:tcW w:w="1097" w:type="dxa"/>
            <w:vAlign w:val="center"/>
          </w:tcPr>
          <w:p>
            <w:pPr>
              <w:spacing w:line="300" w:lineRule="exact"/>
              <w:jc w:val="center"/>
              <w:rPr>
                <w:szCs w:val="21"/>
              </w:rPr>
            </w:pPr>
            <w:r>
              <w:rPr>
                <w:rFonts w:hint="eastAsia"/>
                <w:szCs w:val="21"/>
              </w:rPr>
              <w:t>18.2</w:t>
            </w:r>
          </w:p>
        </w:tc>
        <w:tc>
          <w:tcPr>
            <w:tcW w:w="7126" w:type="dxa"/>
            <w:vAlign w:val="center"/>
          </w:tcPr>
          <w:p>
            <w:pPr>
              <w:spacing w:line="300" w:lineRule="exact"/>
              <w:ind w:firstLine="210" w:firstLineChars="100"/>
              <w:jc w:val="left"/>
              <w:rPr>
                <w:szCs w:val="21"/>
              </w:rPr>
            </w:pPr>
            <w:r>
              <w:rPr>
                <w:rFonts w:hint="eastAsia"/>
                <w:szCs w:val="21"/>
              </w:rPr>
              <w:t>竣工资料的份数：</w:t>
            </w:r>
            <w:r>
              <w:rPr>
                <w:rFonts w:hint="eastAsia"/>
                <w:szCs w:val="21"/>
                <w:u w:val="single"/>
              </w:rPr>
              <w:t>6</w:t>
            </w:r>
            <w:r>
              <w:rPr>
                <w:rFonts w:hint="eastAsia"/>
                <w:szCs w:val="21"/>
              </w:rPr>
              <w:t>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816" w:type="dxa"/>
            <w:vAlign w:val="center"/>
          </w:tcPr>
          <w:p>
            <w:pPr>
              <w:spacing w:line="300" w:lineRule="exact"/>
              <w:jc w:val="center"/>
              <w:rPr>
                <w:szCs w:val="21"/>
              </w:rPr>
            </w:pPr>
            <w:r>
              <w:rPr>
                <w:rFonts w:hint="eastAsia"/>
                <w:szCs w:val="21"/>
              </w:rPr>
              <w:t>17</w:t>
            </w:r>
          </w:p>
        </w:tc>
        <w:tc>
          <w:tcPr>
            <w:tcW w:w="1097" w:type="dxa"/>
            <w:vAlign w:val="center"/>
          </w:tcPr>
          <w:p>
            <w:pPr>
              <w:spacing w:line="300" w:lineRule="exact"/>
              <w:jc w:val="center"/>
              <w:rPr>
                <w:szCs w:val="21"/>
              </w:rPr>
            </w:pPr>
            <w:r>
              <w:rPr>
                <w:rFonts w:hint="eastAsia"/>
                <w:szCs w:val="21"/>
              </w:rPr>
              <w:t>20.1</w:t>
            </w:r>
          </w:p>
        </w:tc>
        <w:tc>
          <w:tcPr>
            <w:tcW w:w="7126" w:type="dxa"/>
            <w:vAlign w:val="center"/>
          </w:tcPr>
          <w:p>
            <w:pPr>
              <w:spacing w:line="300" w:lineRule="exact"/>
              <w:ind w:firstLine="210" w:firstLineChars="100"/>
              <w:jc w:val="left"/>
              <w:rPr>
                <w:szCs w:val="21"/>
              </w:rPr>
            </w:pPr>
            <w:r>
              <w:rPr>
                <w:rFonts w:hint="eastAsia"/>
                <w:szCs w:val="21"/>
              </w:rPr>
              <w:t>建筑工程一切险的保险费率：</w:t>
            </w:r>
            <w:r>
              <w:rPr>
                <w:rFonts w:hint="eastAsia"/>
                <w:szCs w:val="21"/>
                <w:u w:val="single"/>
              </w:rPr>
              <w:t xml:space="preserve"> 3</w:t>
            </w:r>
            <w:r>
              <w:rPr>
                <w:rFonts w:hint="eastAsia"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55" w:hRule="atLeast"/>
        </w:trPr>
        <w:tc>
          <w:tcPr>
            <w:tcW w:w="816" w:type="dxa"/>
            <w:vAlign w:val="center"/>
          </w:tcPr>
          <w:p>
            <w:pPr>
              <w:spacing w:line="300" w:lineRule="exact"/>
              <w:jc w:val="center"/>
              <w:rPr>
                <w:szCs w:val="21"/>
              </w:rPr>
            </w:pPr>
            <w:r>
              <w:rPr>
                <w:rFonts w:hint="eastAsia"/>
                <w:szCs w:val="21"/>
              </w:rPr>
              <w:t>18</w:t>
            </w:r>
          </w:p>
        </w:tc>
        <w:tc>
          <w:tcPr>
            <w:tcW w:w="1097" w:type="dxa"/>
            <w:vAlign w:val="center"/>
          </w:tcPr>
          <w:p>
            <w:pPr>
              <w:spacing w:line="300" w:lineRule="exact"/>
              <w:jc w:val="center"/>
              <w:rPr>
                <w:szCs w:val="21"/>
              </w:rPr>
            </w:pPr>
            <w:r>
              <w:rPr>
                <w:rFonts w:hint="eastAsia"/>
                <w:szCs w:val="21"/>
              </w:rPr>
              <w:t>20.4.2</w:t>
            </w:r>
          </w:p>
        </w:tc>
        <w:tc>
          <w:tcPr>
            <w:tcW w:w="7126" w:type="dxa"/>
            <w:vAlign w:val="center"/>
          </w:tcPr>
          <w:p>
            <w:pPr>
              <w:spacing w:line="300" w:lineRule="exact"/>
              <w:ind w:firstLine="210" w:firstLineChars="100"/>
              <w:jc w:val="left"/>
              <w:rPr>
                <w:szCs w:val="21"/>
              </w:rPr>
            </w:pPr>
            <w:r>
              <w:rPr>
                <w:rFonts w:hint="eastAsia"/>
                <w:szCs w:val="21"/>
              </w:rPr>
              <w:t>第三者责任险的最低投保金额:</w:t>
            </w:r>
            <w:r>
              <w:rPr>
                <w:rFonts w:hint="eastAsia"/>
                <w:szCs w:val="21"/>
                <w:u w:val="single"/>
              </w:rPr>
              <w:t xml:space="preserve">  100 </w:t>
            </w:r>
            <w:r>
              <w:rPr>
                <w:rFonts w:hint="eastAsia"/>
                <w:szCs w:val="21"/>
              </w:rPr>
              <w:t>万元，事故次数不限（不计免赔额）</w:t>
            </w:r>
          </w:p>
          <w:p>
            <w:pPr>
              <w:spacing w:line="300" w:lineRule="exact"/>
              <w:ind w:firstLine="210" w:firstLineChars="100"/>
              <w:jc w:val="left"/>
              <w:rPr>
                <w:szCs w:val="21"/>
              </w:rPr>
            </w:pPr>
            <w:r>
              <w:rPr>
                <w:rFonts w:hint="eastAsia"/>
                <w:szCs w:val="21"/>
              </w:rPr>
              <w:t>保险费率：</w:t>
            </w:r>
            <w:r>
              <w:rPr>
                <w:rFonts w:hint="eastAsia"/>
                <w:szCs w:val="21"/>
                <w:u w:val="single"/>
              </w:rPr>
              <w:t>5</w:t>
            </w:r>
            <w:r>
              <w:rPr>
                <w:rFonts w:hint="eastAsia" w:ascii="宋体" w:hAnsi="宋体"/>
                <w:i/>
                <w:szCs w:val="21"/>
              </w:rPr>
              <w:t>‰</w:t>
            </w:r>
            <w:r>
              <w:rPr>
                <w:rFonts w:hint="eastAsia" w:ascii="宋体" w:hAnsi="宋体"/>
                <w:szCs w:val="21"/>
              </w:rPr>
              <w:t>（编制投标文件时，事故次数暂按两次计列）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31" w:hRule="atLeast"/>
        </w:trPr>
        <w:tc>
          <w:tcPr>
            <w:tcW w:w="816" w:type="dxa"/>
            <w:vAlign w:val="center"/>
          </w:tcPr>
          <w:p>
            <w:pPr>
              <w:spacing w:line="300" w:lineRule="exact"/>
              <w:jc w:val="center"/>
              <w:rPr>
                <w:szCs w:val="21"/>
              </w:rPr>
            </w:pPr>
            <w:r>
              <w:rPr>
                <w:rFonts w:hint="eastAsia"/>
                <w:szCs w:val="21"/>
              </w:rPr>
              <w:t>19</w:t>
            </w:r>
          </w:p>
        </w:tc>
        <w:tc>
          <w:tcPr>
            <w:tcW w:w="1097" w:type="dxa"/>
            <w:vAlign w:val="center"/>
          </w:tcPr>
          <w:p>
            <w:pPr>
              <w:spacing w:line="300" w:lineRule="exact"/>
              <w:jc w:val="center"/>
              <w:rPr>
                <w:szCs w:val="21"/>
              </w:rPr>
            </w:pPr>
            <w:r>
              <w:rPr>
                <w:rFonts w:hint="eastAsia"/>
                <w:szCs w:val="21"/>
              </w:rPr>
              <w:t>24.1</w:t>
            </w:r>
          </w:p>
        </w:tc>
        <w:tc>
          <w:tcPr>
            <w:tcW w:w="7126" w:type="dxa"/>
            <w:vAlign w:val="center"/>
          </w:tcPr>
          <w:p>
            <w:pPr>
              <w:spacing w:line="300" w:lineRule="exact"/>
              <w:ind w:firstLine="210" w:firstLineChars="100"/>
              <w:jc w:val="left"/>
              <w:rPr>
                <w:szCs w:val="21"/>
              </w:rPr>
            </w:pPr>
            <w:r>
              <w:rPr>
                <w:rFonts w:hint="eastAsia"/>
                <w:szCs w:val="21"/>
              </w:rPr>
              <w:t>争议的最终解决方式：</w:t>
            </w:r>
            <w:r>
              <w:rPr>
                <w:rFonts w:hint="eastAsia" w:hAnsi="宋体" w:cs="宋体"/>
                <w:u w:val="single"/>
              </w:rPr>
              <w:t>向桐庐县人民法院起诉。</w:t>
            </w:r>
          </w:p>
        </w:tc>
      </w:tr>
    </w:tbl>
    <w:p>
      <w:pPr>
        <w:rPr>
          <w:szCs w:val="21"/>
        </w:rPr>
      </w:pPr>
    </w:p>
    <w:p>
      <w:pPr>
        <w:rPr>
          <w:szCs w:val="21"/>
        </w:rPr>
      </w:pPr>
    </w:p>
    <w:p>
      <w:pPr>
        <w:rPr>
          <w:szCs w:val="21"/>
        </w:rPr>
      </w:pPr>
    </w:p>
    <w:p>
      <w:pPr>
        <w:rPr>
          <w:szCs w:val="21"/>
        </w:rPr>
      </w:pPr>
    </w:p>
    <w:p>
      <w:pPr>
        <w:rPr>
          <w:szCs w:val="21"/>
        </w:rPr>
      </w:pPr>
    </w:p>
    <w:p>
      <w:pPr>
        <w:rPr>
          <w:rFonts w:eastAsia="黑体"/>
          <w:sz w:val="30"/>
          <w:szCs w:val="30"/>
        </w:rPr>
      </w:pPr>
      <w:bookmarkStart w:id="5721" w:name="_Toc288491647"/>
      <w:bookmarkStart w:id="5722" w:name="_Toc287853471"/>
      <w:bookmarkStart w:id="5723" w:name="_Toc283794319"/>
      <w:bookmarkStart w:id="5724" w:name="_Toc288546771"/>
      <w:bookmarkStart w:id="5725" w:name="_Toc282787573"/>
      <w:bookmarkStart w:id="5726" w:name="_Toc282779122"/>
      <w:bookmarkStart w:id="5727" w:name="_Toc282779631"/>
    </w:p>
    <w:p>
      <w:pPr>
        <w:pStyle w:val="5"/>
        <w:spacing w:before="0" w:after="120"/>
        <w:jc w:val="center"/>
        <w:rPr>
          <w:rFonts w:ascii="Times New Roman" w:hAnsi="Times New Roman"/>
          <w:b w:val="0"/>
          <w:sz w:val="30"/>
          <w:szCs w:val="30"/>
        </w:rPr>
      </w:pPr>
      <w:bookmarkStart w:id="5728" w:name="_Toc2589"/>
      <w:bookmarkStart w:id="5729" w:name="_Toc12729"/>
      <w:bookmarkStart w:id="5730" w:name="_Toc15612"/>
      <w:bookmarkStart w:id="5731" w:name="_Toc5448"/>
      <w:bookmarkStart w:id="5732" w:name="_Toc17599"/>
      <w:bookmarkStart w:id="5733" w:name="_Toc9849"/>
      <w:bookmarkStart w:id="5734" w:name="_Toc29657"/>
      <w:bookmarkStart w:id="5735" w:name="_Toc30598"/>
      <w:bookmarkStart w:id="5736" w:name="_Toc26158"/>
      <w:bookmarkStart w:id="5737" w:name="_Toc17079"/>
      <w:bookmarkStart w:id="5738" w:name="_Toc29584"/>
      <w:bookmarkStart w:id="5739" w:name="_Toc2601"/>
      <w:bookmarkStart w:id="5740" w:name="_Toc27870"/>
      <w:bookmarkStart w:id="5741" w:name="_Toc5249"/>
      <w:bookmarkStart w:id="5742" w:name="_Toc2799"/>
      <w:bookmarkStart w:id="5743" w:name="_Toc31573"/>
      <w:bookmarkStart w:id="5744" w:name="_Toc1228"/>
      <w:bookmarkStart w:id="5745" w:name="_Toc28257"/>
      <w:r>
        <w:rPr>
          <w:rFonts w:hint="eastAsia" w:ascii="Times New Roman"/>
          <w:b w:val="0"/>
          <w:sz w:val="30"/>
          <w:szCs w:val="30"/>
        </w:rPr>
        <w:t>项目专用合同条款</w:t>
      </w:r>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p>
    <w:p>
      <w:pPr>
        <w:spacing w:line="420" w:lineRule="exact"/>
        <w:rPr>
          <w:rFonts w:ascii="楷体_GB2312" w:eastAsia="楷体_GB2312"/>
          <w:sz w:val="24"/>
        </w:rPr>
      </w:pPr>
      <w:r>
        <w:rPr>
          <w:rFonts w:hint="eastAsia" w:ascii="黑体" w:eastAsia="黑体"/>
          <w:sz w:val="24"/>
        </w:rPr>
        <w:t>说明：</w:t>
      </w:r>
      <w:r>
        <w:rPr>
          <w:rFonts w:hint="eastAsia" w:ascii="楷体" w:hAnsi="楷体"/>
          <w:sz w:val="24"/>
        </w:rPr>
        <w:t>本部分所列的项目专用合同条款是对“通用合同条款”中规定必须在专用合同条款中明确的内容的集中，招标人根据本项目的具体特点和实际需要编制的“项目专用合同条款”不限于本部分所列示例性内容。</w:t>
      </w:r>
    </w:p>
    <w:p>
      <w:pPr>
        <w:pStyle w:val="28"/>
        <w:spacing w:beforeLines="50" w:afterLines="50" w:line="420" w:lineRule="exact"/>
        <w:rPr>
          <w:szCs w:val="28"/>
        </w:rPr>
      </w:pPr>
      <w:bookmarkStart w:id="5746" w:name="_Toc1303"/>
      <w:bookmarkStart w:id="5747" w:name="_Toc301"/>
      <w:bookmarkStart w:id="5748" w:name="_Toc12940"/>
      <w:bookmarkStart w:id="5749" w:name="_Toc282779123"/>
      <w:bookmarkStart w:id="5750" w:name="_Toc15858"/>
      <w:bookmarkStart w:id="5751" w:name="_Toc16809"/>
      <w:bookmarkStart w:id="5752" w:name="_Toc24456"/>
      <w:bookmarkStart w:id="5753" w:name="_Toc1537"/>
      <w:bookmarkStart w:id="5754" w:name="_Toc282779632"/>
      <w:bookmarkStart w:id="5755" w:name="_Toc12788"/>
      <w:bookmarkStart w:id="5756" w:name="_Toc287853472"/>
      <w:bookmarkStart w:id="5757" w:name="_Toc24419"/>
      <w:bookmarkStart w:id="5758" w:name="_Toc27340"/>
      <w:bookmarkStart w:id="5759" w:name="_Toc11412"/>
      <w:bookmarkStart w:id="5760" w:name="_Toc1743"/>
      <w:bookmarkStart w:id="5761" w:name="_Toc288546772"/>
      <w:bookmarkStart w:id="5762" w:name="_Toc2168"/>
      <w:bookmarkStart w:id="5763" w:name="_Toc282787574"/>
      <w:bookmarkStart w:id="5764" w:name="_Toc288491648"/>
      <w:bookmarkStart w:id="5765" w:name="_Toc16997"/>
      <w:bookmarkStart w:id="5766" w:name="_Toc11427"/>
      <w:bookmarkStart w:id="5767" w:name="_Toc30113"/>
      <w:bookmarkStart w:id="5768" w:name="_Toc20587"/>
      <w:bookmarkStart w:id="5769" w:name="_Toc26614"/>
      <w:bookmarkStart w:id="5770" w:name="_Toc283794320"/>
      <w:r>
        <w:rPr>
          <w:rFonts w:hint="eastAsia"/>
          <w:szCs w:val="28"/>
        </w:rPr>
        <w:t>1．一般约定</w:t>
      </w:r>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p>
    <w:p>
      <w:pPr>
        <w:pStyle w:val="27"/>
        <w:spacing w:beforeLines="50" w:afterLines="50" w:line="420" w:lineRule="exact"/>
        <w:ind w:firstLine="241" w:firstLineChars="100"/>
        <w:rPr>
          <w:szCs w:val="24"/>
        </w:rPr>
      </w:pPr>
      <w:bookmarkStart w:id="5771" w:name="_Toc11147"/>
      <w:bookmarkStart w:id="5772" w:name="_Toc282779633"/>
      <w:bookmarkStart w:id="5773" w:name="_Toc7594"/>
      <w:bookmarkStart w:id="5774" w:name="_Toc10838"/>
      <w:bookmarkStart w:id="5775" w:name="_Toc8821"/>
      <w:bookmarkStart w:id="5776" w:name="_Toc29178"/>
      <w:bookmarkStart w:id="5777" w:name="_Toc14540"/>
      <w:bookmarkStart w:id="5778" w:name="_Toc10212"/>
      <w:bookmarkStart w:id="5779" w:name="_Toc27214"/>
      <w:bookmarkStart w:id="5780" w:name="_Toc282784895"/>
      <w:bookmarkStart w:id="5781" w:name="_Toc282787575"/>
      <w:bookmarkStart w:id="5782" w:name="_Toc13236"/>
      <w:bookmarkStart w:id="5783" w:name="_Toc288546773"/>
      <w:bookmarkStart w:id="5784" w:name="_Toc288491649"/>
      <w:bookmarkStart w:id="5785" w:name="_Toc22958"/>
      <w:bookmarkStart w:id="5786" w:name="_Toc28837"/>
      <w:bookmarkStart w:id="5787" w:name="_Toc287853473"/>
      <w:bookmarkStart w:id="5788" w:name="_Toc25266"/>
      <w:bookmarkStart w:id="5789" w:name="_Toc4745"/>
      <w:bookmarkStart w:id="5790" w:name="_Toc26010"/>
      <w:bookmarkStart w:id="5791" w:name="_Toc282779124"/>
      <w:bookmarkStart w:id="5792" w:name="_Toc23061"/>
      <w:bookmarkStart w:id="5793" w:name="_Toc32538"/>
      <w:bookmarkStart w:id="5794" w:name="_Toc21237"/>
      <w:bookmarkStart w:id="5795" w:name="_Toc283794321"/>
      <w:bookmarkStart w:id="5796" w:name="_Toc27656"/>
      <w:r>
        <w:rPr>
          <w:rFonts w:hint="eastAsia"/>
          <w:b/>
          <w:szCs w:val="24"/>
        </w:rPr>
        <w:t>1.1</w:t>
      </w:r>
      <w:r>
        <w:rPr>
          <w:rFonts w:hint="eastAsia"/>
          <w:szCs w:val="24"/>
        </w:rPr>
        <w:t xml:space="preserve">  词语定义</w:t>
      </w:r>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p>
    <w:p>
      <w:pPr>
        <w:spacing w:line="420" w:lineRule="exact"/>
        <w:ind w:firstLine="480" w:firstLineChars="200"/>
        <w:rPr>
          <w:rFonts w:hAnsi="楷体"/>
          <w:kern w:val="0"/>
          <w:sz w:val="24"/>
        </w:rPr>
      </w:pPr>
      <w:r>
        <w:rPr>
          <w:rFonts w:hint="eastAsia" w:hAnsi="楷体"/>
          <w:kern w:val="0"/>
          <w:sz w:val="24"/>
        </w:rPr>
        <w:t>1.1.6其它</w:t>
      </w:r>
    </w:p>
    <w:p>
      <w:pPr>
        <w:spacing w:line="420" w:lineRule="exact"/>
        <w:ind w:firstLine="480" w:firstLineChars="200"/>
        <w:rPr>
          <w:rFonts w:hAnsi="楷体"/>
          <w:kern w:val="0"/>
          <w:sz w:val="24"/>
        </w:rPr>
      </w:pPr>
      <w:r>
        <w:rPr>
          <w:rFonts w:hint="eastAsia" w:hAnsi="楷体"/>
          <w:kern w:val="0"/>
          <w:sz w:val="24"/>
        </w:rPr>
        <w:t>本项补充 1.1.6.8、1.1.6.9 目：</w:t>
      </w:r>
    </w:p>
    <w:p>
      <w:pPr>
        <w:spacing w:line="420" w:lineRule="exact"/>
        <w:ind w:firstLine="480" w:firstLineChars="200"/>
        <w:rPr>
          <w:rFonts w:hAnsi="楷体"/>
          <w:kern w:val="0"/>
          <w:sz w:val="24"/>
        </w:rPr>
      </w:pPr>
      <w:r>
        <w:rPr>
          <w:rFonts w:hint="eastAsia" w:hAnsi="楷体"/>
          <w:kern w:val="0"/>
          <w:sz w:val="24"/>
        </w:rPr>
        <w:t>1.1.6.8 根据浙江省地方标准《交通养护工程工程量清单计价规范》（DB33/T751）规定，“一类项目”是指规定范围和数量的检查、保养和小修项目，实行年度总承包的养护项目。</w:t>
      </w:r>
    </w:p>
    <w:p>
      <w:pPr>
        <w:spacing w:line="420" w:lineRule="exact"/>
        <w:ind w:firstLine="480" w:firstLineChars="200"/>
      </w:pPr>
      <w:r>
        <w:rPr>
          <w:rFonts w:hint="eastAsia" w:hAnsi="楷体"/>
          <w:kern w:val="0"/>
          <w:sz w:val="24"/>
        </w:rPr>
        <w:t>1.1.6.9 根据浙江省地方标准《交通养护工程工程量清单计价规范》（DB33/T751）规定，“二类项目”是指超过一类项目规定范围和数量的检查、保养和小修项目，实行按实结算的养护项目。</w:t>
      </w:r>
    </w:p>
    <w:p>
      <w:pPr>
        <w:pStyle w:val="28"/>
        <w:spacing w:beforeLines="50" w:afterLines="50" w:line="420" w:lineRule="exact"/>
        <w:rPr>
          <w:szCs w:val="28"/>
        </w:rPr>
      </w:pPr>
      <w:bookmarkStart w:id="5797" w:name="_Toc21501"/>
      <w:bookmarkStart w:id="5798" w:name="_Toc13321"/>
      <w:bookmarkStart w:id="5799" w:name="_Toc31004"/>
      <w:bookmarkStart w:id="5800" w:name="_Toc288491650"/>
      <w:bookmarkStart w:id="5801" w:name="_Toc18099"/>
      <w:bookmarkStart w:id="5802" w:name="_Toc288546774"/>
      <w:bookmarkStart w:id="5803" w:name="_Toc283794322"/>
      <w:bookmarkStart w:id="5804" w:name="_Toc282779634"/>
      <w:bookmarkStart w:id="5805" w:name="_Toc14196"/>
      <w:bookmarkStart w:id="5806" w:name="_Toc21023"/>
      <w:bookmarkStart w:id="5807" w:name="_Toc287853474"/>
      <w:bookmarkStart w:id="5808" w:name="_Toc23477"/>
      <w:bookmarkStart w:id="5809" w:name="_Toc28846"/>
      <w:bookmarkStart w:id="5810" w:name="_Toc1344"/>
      <w:bookmarkStart w:id="5811" w:name="_Toc5837"/>
      <w:bookmarkStart w:id="5812" w:name="_Toc26681"/>
      <w:bookmarkStart w:id="5813" w:name="_Toc282787576"/>
      <w:bookmarkStart w:id="5814" w:name="_Toc30872"/>
      <w:bookmarkStart w:id="5815" w:name="_Toc10279"/>
      <w:bookmarkStart w:id="5816" w:name="_Toc282779125"/>
      <w:bookmarkStart w:id="5817" w:name="_Toc30529"/>
      <w:bookmarkStart w:id="5818" w:name="_Toc2149"/>
      <w:bookmarkStart w:id="5819" w:name="_Toc8925"/>
      <w:bookmarkStart w:id="5820" w:name="_Toc22349"/>
      <w:bookmarkStart w:id="5821" w:name="_Toc30354"/>
      <w:r>
        <w:rPr>
          <w:rFonts w:hint="eastAsia"/>
          <w:szCs w:val="28"/>
        </w:rPr>
        <w:t>2．发包人义务</w:t>
      </w:r>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p>
    <w:p>
      <w:pPr>
        <w:pStyle w:val="7"/>
        <w:spacing w:before="120" w:after="120" w:line="420" w:lineRule="exact"/>
        <w:ind w:firstLine="241" w:firstLineChars="100"/>
        <w:rPr>
          <w:rFonts w:ascii="Times New Roman" w:hAnsi="Times New Roman"/>
          <w:sz w:val="24"/>
          <w:szCs w:val="24"/>
        </w:rPr>
      </w:pPr>
      <w:bookmarkStart w:id="5822" w:name="_Toc282787577"/>
      <w:r>
        <w:rPr>
          <w:rFonts w:hint="eastAsia" w:ascii="Times New Roman" w:hAnsi="Times New Roman"/>
          <w:sz w:val="24"/>
          <w:szCs w:val="24"/>
        </w:rPr>
        <w:t>2.6  支付合同价款</w:t>
      </w:r>
    </w:p>
    <w:p>
      <w:pPr>
        <w:spacing w:before="120" w:after="120" w:line="420" w:lineRule="exact"/>
        <w:ind w:firstLine="480" w:firstLineChars="200"/>
        <w:rPr>
          <w:rFonts w:ascii="宋体" w:hAnsi="宋体"/>
          <w:sz w:val="24"/>
        </w:rPr>
      </w:pPr>
      <w:r>
        <w:rPr>
          <w:rFonts w:hint="eastAsia" w:ascii="宋体" w:hAnsi="宋体"/>
          <w:sz w:val="24"/>
        </w:rPr>
        <w:t>本款补充：</w:t>
      </w:r>
    </w:p>
    <w:p>
      <w:pPr>
        <w:spacing w:before="120" w:after="120" w:line="420" w:lineRule="exact"/>
        <w:ind w:firstLine="464" w:firstLineChars="200"/>
        <w:rPr>
          <w:rFonts w:hAnsi="楷体"/>
          <w:spacing w:val="-4"/>
          <w:sz w:val="24"/>
        </w:rPr>
      </w:pPr>
      <w:r>
        <w:rPr>
          <w:rFonts w:hAnsi="楷体"/>
          <w:spacing w:val="-4"/>
          <w:sz w:val="24"/>
        </w:rPr>
        <w:t>发包人应严格执行《关于做好全省公路水运建设工程人工工资专用账户管理工作的通知》浙交〔2018〕241 号文及</w:t>
      </w:r>
      <w:r>
        <w:rPr>
          <w:rFonts w:hint="eastAsia" w:hAnsi="楷体"/>
          <w:spacing w:val="-4"/>
          <w:sz w:val="24"/>
        </w:rPr>
        <w:t>省、市及桐庐县相关人工工资专用专户的管理办法</w:t>
      </w:r>
      <w:r>
        <w:rPr>
          <w:rFonts w:hAnsi="楷体"/>
          <w:spacing w:val="-4"/>
          <w:sz w:val="24"/>
        </w:rPr>
        <w:t>。</w:t>
      </w:r>
    </w:p>
    <w:p>
      <w:pPr>
        <w:spacing w:line="420" w:lineRule="exact"/>
        <w:ind w:firstLine="464" w:firstLineChars="200"/>
        <w:rPr>
          <w:spacing w:val="-4"/>
          <w:sz w:val="24"/>
        </w:rPr>
      </w:pPr>
      <w:r>
        <w:rPr>
          <w:rFonts w:hAnsi="楷体"/>
          <w:spacing w:val="-4"/>
          <w:sz w:val="24"/>
        </w:rPr>
        <w:t>按照</w:t>
      </w:r>
      <w:r>
        <w:rPr>
          <w:rFonts w:hAnsi="楷体"/>
          <w:bCs/>
          <w:sz w:val="24"/>
        </w:rPr>
        <w:t>浙江省人力资源和社会保障厅</w:t>
      </w:r>
      <w:r>
        <w:rPr>
          <w:rFonts w:hAnsi="楷体"/>
          <w:spacing w:val="-4"/>
          <w:sz w:val="24"/>
        </w:rPr>
        <w:t>（原浙江省劳动和社会保障厅</w:t>
      </w:r>
      <w:r>
        <w:rPr>
          <w:rFonts w:hAnsi="楷体"/>
          <w:bCs/>
          <w:sz w:val="24"/>
        </w:rPr>
        <w:t>）</w:t>
      </w:r>
      <w:r>
        <w:rPr>
          <w:rFonts w:hAnsi="楷体"/>
          <w:spacing w:val="-4"/>
          <w:sz w:val="24"/>
        </w:rPr>
        <w:t>、浙江省交通运输厅（原浙江省交通厅）、中国人民银行杭州支行三家联合下发的浙劳社监</w:t>
      </w:r>
      <w:r>
        <w:rPr>
          <w:spacing w:val="-4"/>
          <w:sz w:val="24"/>
        </w:rPr>
        <w:t>[2007]90</w:t>
      </w:r>
      <w:r>
        <w:rPr>
          <w:rFonts w:hAnsi="楷体"/>
          <w:spacing w:val="-4"/>
          <w:sz w:val="24"/>
        </w:rPr>
        <w:t>号《浙江省交通建设领域农民工工资支付管理暂行办法》文件的规定，在</w:t>
      </w:r>
      <w:r>
        <w:rPr>
          <w:rFonts w:hAnsi="楷体"/>
          <w:kern w:val="0"/>
          <w:sz w:val="24"/>
        </w:rPr>
        <w:t>支付第一期开工预付款时</w:t>
      </w:r>
      <w:r>
        <w:rPr>
          <w:rFonts w:hAnsi="楷体"/>
          <w:spacing w:val="-4"/>
          <w:sz w:val="24"/>
        </w:rPr>
        <w:t>扣除合同价的</w:t>
      </w:r>
      <w:r>
        <w:rPr>
          <w:rFonts w:hint="eastAsia" w:hAnsi="楷体"/>
          <w:spacing w:val="-4"/>
          <w:sz w:val="24"/>
        </w:rPr>
        <w:t>2</w:t>
      </w:r>
      <w:r>
        <w:rPr>
          <w:rFonts w:hAnsi="楷体"/>
          <w:spacing w:val="-4"/>
          <w:sz w:val="24"/>
        </w:rPr>
        <w:t>％</w:t>
      </w:r>
      <w:r>
        <w:rPr>
          <w:rFonts w:hAnsi="楷体"/>
          <w:kern w:val="0"/>
          <w:sz w:val="24"/>
        </w:rPr>
        <w:t>（每个合同段最高不超过</w:t>
      </w:r>
      <w:r>
        <w:rPr>
          <w:kern w:val="0"/>
          <w:sz w:val="24"/>
        </w:rPr>
        <w:t>300</w:t>
      </w:r>
      <w:r>
        <w:rPr>
          <w:rFonts w:hAnsi="楷体"/>
          <w:kern w:val="0"/>
          <w:sz w:val="24"/>
        </w:rPr>
        <w:t>万元）</w:t>
      </w:r>
      <w:r>
        <w:rPr>
          <w:rFonts w:hAnsi="楷体"/>
          <w:spacing w:val="-4"/>
          <w:sz w:val="24"/>
        </w:rPr>
        <w:t>作为代承包人缴纳的农民工工资支付保证金存入保证金专户。</w:t>
      </w:r>
    </w:p>
    <w:p>
      <w:pPr>
        <w:spacing w:line="420" w:lineRule="exact"/>
        <w:ind w:firstLine="480" w:firstLineChars="200"/>
        <w:rPr>
          <w:rFonts w:hAnsi="楷体"/>
          <w:spacing w:val="-4"/>
          <w:sz w:val="24"/>
        </w:rPr>
      </w:pPr>
      <w:r>
        <w:rPr>
          <w:rFonts w:hAnsi="楷体"/>
          <w:kern w:val="0"/>
          <w:sz w:val="24"/>
        </w:rPr>
        <w:t>本合同项目养护工程完工后，承包人应在项目驻地公示工资支付情况，公示期为</w:t>
      </w:r>
      <w:r>
        <w:rPr>
          <w:kern w:val="0"/>
          <w:sz w:val="24"/>
        </w:rPr>
        <w:t>30</w:t>
      </w:r>
      <w:r>
        <w:rPr>
          <w:rFonts w:hAnsi="楷体"/>
          <w:kern w:val="0"/>
          <w:sz w:val="24"/>
        </w:rPr>
        <w:t>天。期满后，施工企业无拖欠农民工工资情况的，发包人应会同承包人向市交通行政部门提出返款申请，并填制《退还工资支付保证金申请表》，经当地劳动保障行政部门核签后，开户银行凭此在</w:t>
      </w:r>
      <w:r>
        <w:rPr>
          <w:kern w:val="0"/>
          <w:sz w:val="24"/>
        </w:rPr>
        <w:t>5</w:t>
      </w:r>
      <w:r>
        <w:rPr>
          <w:rFonts w:hAnsi="楷体"/>
          <w:kern w:val="0"/>
          <w:sz w:val="24"/>
        </w:rPr>
        <w:t>日内将保证金本息（利息按中国人民银行规定的活期存款利息计算）转入承包人账户。</w:t>
      </w:r>
    </w:p>
    <w:bookmarkEnd w:id="5822"/>
    <w:p>
      <w:pPr>
        <w:pStyle w:val="28"/>
        <w:spacing w:beforeLines="50" w:afterLines="50" w:line="420" w:lineRule="exact"/>
        <w:rPr>
          <w:szCs w:val="28"/>
        </w:rPr>
      </w:pPr>
      <w:bookmarkStart w:id="5823" w:name="_Toc28934"/>
      <w:bookmarkStart w:id="5824" w:name="_Toc1307"/>
      <w:bookmarkStart w:id="5825" w:name="_Toc8126"/>
      <w:bookmarkStart w:id="5826" w:name="_Toc287853475"/>
      <w:bookmarkStart w:id="5827" w:name="_Toc4739"/>
      <w:bookmarkStart w:id="5828" w:name="_Toc2710"/>
      <w:bookmarkStart w:id="5829" w:name="_Toc20913"/>
      <w:bookmarkStart w:id="5830" w:name="_Toc12836"/>
      <w:bookmarkStart w:id="5831" w:name="_Toc32697"/>
      <w:bookmarkStart w:id="5832" w:name="_Toc8886"/>
      <w:bookmarkStart w:id="5833" w:name="_Toc288491651"/>
      <w:bookmarkStart w:id="5834" w:name="_Toc31395"/>
      <w:bookmarkStart w:id="5835" w:name="_Toc22153"/>
      <w:bookmarkStart w:id="5836" w:name="_Toc15287"/>
      <w:bookmarkStart w:id="5837" w:name="_Toc24712"/>
      <w:bookmarkStart w:id="5838" w:name="_Toc31227"/>
      <w:bookmarkStart w:id="5839" w:name="_Toc282779635"/>
      <w:bookmarkStart w:id="5840" w:name="_Toc288546775"/>
      <w:bookmarkStart w:id="5841" w:name="_Toc282779126"/>
      <w:bookmarkStart w:id="5842" w:name="_Toc26984"/>
      <w:bookmarkStart w:id="5843" w:name="_Toc282787578"/>
      <w:bookmarkStart w:id="5844" w:name="_Toc7843"/>
      <w:bookmarkStart w:id="5845" w:name="_Toc283794323"/>
      <w:bookmarkStart w:id="5846" w:name="_Toc12544"/>
      <w:bookmarkStart w:id="5847" w:name="_Toc25794"/>
      <w:r>
        <w:rPr>
          <w:rFonts w:hint="eastAsia"/>
          <w:szCs w:val="28"/>
        </w:rPr>
        <w:t>4．承包人</w:t>
      </w:r>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p>
    <w:p>
      <w:pPr>
        <w:pStyle w:val="7"/>
        <w:spacing w:before="120" w:after="120" w:line="420" w:lineRule="exact"/>
        <w:ind w:firstLine="241" w:firstLineChars="100"/>
        <w:rPr>
          <w:b w:val="0"/>
          <w:sz w:val="24"/>
          <w:szCs w:val="24"/>
        </w:rPr>
      </w:pPr>
      <w:bookmarkStart w:id="5848" w:name="_Toc282787579"/>
      <w:r>
        <w:rPr>
          <w:rFonts w:ascii="Times New Roman" w:hAnsi="Times New Roman"/>
          <w:sz w:val="24"/>
          <w:szCs w:val="24"/>
        </w:rPr>
        <w:t>4.1</w:t>
      </w:r>
      <w:r>
        <w:rPr>
          <w:rFonts w:hint="eastAsia" w:ascii="黑体"/>
          <w:b w:val="0"/>
          <w:sz w:val="24"/>
          <w:szCs w:val="24"/>
        </w:rPr>
        <w:t>承包人的一般义务</w:t>
      </w:r>
      <w:bookmarkEnd w:id="5848"/>
    </w:p>
    <w:p>
      <w:pPr>
        <w:spacing w:line="420" w:lineRule="exact"/>
        <w:ind w:firstLine="480" w:firstLineChars="200"/>
        <w:rPr>
          <w:rFonts w:eastAsia="黑体"/>
          <w:sz w:val="24"/>
        </w:rPr>
      </w:pPr>
      <w:r>
        <w:rPr>
          <w:rFonts w:eastAsia="黑体"/>
          <w:sz w:val="24"/>
        </w:rPr>
        <w:t xml:space="preserve">4.1.10  </w:t>
      </w:r>
      <w:r>
        <w:rPr>
          <w:rFonts w:hAnsi="宋体"/>
          <w:sz w:val="24"/>
        </w:rPr>
        <w:t>其它义务</w:t>
      </w:r>
    </w:p>
    <w:p>
      <w:pPr>
        <w:spacing w:line="420" w:lineRule="exact"/>
        <w:ind w:firstLine="480" w:firstLineChars="200"/>
        <w:rPr>
          <w:rFonts w:ascii="宋体" w:hAnsi="宋体"/>
          <w:sz w:val="24"/>
        </w:rPr>
      </w:pPr>
      <w:r>
        <w:rPr>
          <w:rFonts w:hint="eastAsia" w:ascii="宋体" w:hAnsi="宋体"/>
          <w:sz w:val="24"/>
        </w:rPr>
        <w:t>本项第</w:t>
      </w:r>
      <w:r>
        <w:rPr>
          <w:rFonts w:eastAsia="黑体"/>
          <w:sz w:val="24"/>
        </w:rPr>
        <w:t>4.1.10</w:t>
      </w:r>
      <w:r>
        <w:rPr>
          <w:rFonts w:hint="eastAsia" w:eastAsia="黑体"/>
          <w:sz w:val="24"/>
        </w:rPr>
        <w:t>（2）</w:t>
      </w:r>
      <w:r>
        <w:rPr>
          <w:rFonts w:hint="eastAsia" w:ascii="宋体" w:hAnsi="宋体"/>
          <w:sz w:val="24"/>
        </w:rPr>
        <w:t>目</w:t>
      </w:r>
      <w:r>
        <w:rPr>
          <w:rFonts w:hint="eastAsia" w:hAnsi="宋体"/>
          <w:sz w:val="24"/>
        </w:rPr>
        <w:t>细化为</w:t>
      </w:r>
      <w:r>
        <w:rPr>
          <w:rFonts w:hint="eastAsia" w:ascii="宋体" w:hAnsi="宋体"/>
          <w:sz w:val="24"/>
        </w:rPr>
        <w:t>：</w:t>
      </w:r>
    </w:p>
    <w:p>
      <w:pPr>
        <w:spacing w:line="420" w:lineRule="exact"/>
        <w:ind w:firstLine="480" w:firstLineChars="200"/>
        <w:rPr>
          <w:rFonts w:hAnsi="楷体"/>
          <w:kern w:val="0"/>
          <w:sz w:val="24"/>
        </w:rPr>
      </w:pPr>
      <w:r>
        <w:rPr>
          <w:rFonts w:hAnsi="楷体"/>
          <w:kern w:val="0"/>
          <w:sz w:val="24"/>
        </w:rPr>
        <w:t>（2）</w:t>
      </w:r>
      <w:r>
        <w:rPr>
          <w:rFonts w:hint="eastAsia" w:hAnsi="楷体"/>
          <w:kern w:val="0"/>
          <w:sz w:val="24"/>
        </w:rPr>
        <w:t>承包人应严格执行《保障农民工工资支付条例》、《国务院办公厅关于全面治理拖欠农民工工资问题的意见》(国办发〔2016〕1号)、《浙江省交通建设领域”浙江无欠薪”行动专项治理方案》、《关于做好全省公路水运建设工程人工工资专用账户管理工作的通知》(浙交〔2018〕241号)等规定，建立健全农民工工资(劳务费)专用账户管理制度；实行人工费用与其他工程款分账管理制度，将农民工工资与工程材料款等相分离。承包人应在工程开工前，在项目所在地银行设农民工工资专用账户，专项用于支付农民工资；人工费分账基准比例为15%。发包人和承包人可根据基准比例浮动约定，确保满足按月足额支付民工工资。发包人将应付工程款中的工资性工程款按时单独拨付到承包人开设的农民工工资专用账户，此间涉及的相关责任及费用均由承包人自行承担，发包人不另行计量支付。</w:t>
      </w:r>
    </w:p>
    <w:p>
      <w:pPr>
        <w:spacing w:line="420" w:lineRule="exact"/>
        <w:ind w:firstLine="480" w:firstLineChars="200"/>
        <w:rPr>
          <w:rFonts w:hAnsi="楷体"/>
          <w:kern w:val="0"/>
          <w:sz w:val="24"/>
        </w:rPr>
      </w:pPr>
      <w:r>
        <w:rPr>
          <w:rFonts w:hint="eastAsia" w:hAnsi="楷体"/>
          <w:kern w:val="0"/>
          <w:sz w:val="24"/>
        </w:rPr>
        <w:t>农民工工资专用帐户应向项目所在地行政主管部门备案，并委托银行负责日常监管，确保专款专用。账户开设后，发包人应按照分账管理协议，及时打1%的工资性工程预付款至民工工资专户。承包人不得以任何借口拖欠材料、设备货款及民工工资等费用，如果出现此种现象，发包人有权代为支付其拖欠的材料、设备货款及民工工资，并从应付给承包人的任何款项中扣除相应款项。对恶意拖欠和拒不按计划支付的，作为不良记录纳入浙江省交通运输厅建设市场诚信信息系统和信用评价管理承统。</w:t>
      </w:r>
    </w:p>
    <w:p>
      <w:pPr>
        <w:spacing w:line="420" w:lineRule="exact"/>
        <w:ind w:firstLine="480" w:firstLineChars="200"/>
        <w:rPr>
          <w:rFonts w:hAnsi="楷体"/>
          <w:kern w:val="0"/>
          <w:sz w:val="24"/>
        </w:rPr>
      </w:pPr>
      <w:r>
        <w:rPr>
          <w:rFonts w:hint="eastAsia" w:hAnsi="楷体"/>
          <w:kern w:val="0"/>
          <w:sz w:val="24"/>
        </w:rPr>
        <w:t xml:space="preserve"> 承包人在本工程中，应严格执行《关于进一步落实交通建设领域施工企业农民工记工考勤卡等事宜的通知》(浙交〔2009〕39号文)和浙江省住房和城乡建设厅等11部门《关于在全省工程建设领域改革保证金制度的通知》(浙建〔2020〕7号)，根据保证金差异化缴存规则，如未缴纳民工工资保证金的，应在工程开工前，将农民工工资保证金缴纳至项目所在地相关部门设立的农民工工资保证金专户，如杭州范围内已缴纳的应提供相应凭证。发包人对资金周转遇到暂时困难并可能拖欠工资的，可以优先使用已缴纳的工资支付保证金支付工资。</w:t>
      </w:r>
    </w:p>
    <w:p>
      <w:pPr>
        <w:spacing w:line="420" w:lineRule="exact"/>
        <w:ind w:firstLine="480" w:firstLineChars="200"/>
        <w:rPr>
          <w:rFonts w:hAnsi="楷体"/>
          <w:kern w:val="0"/>
          <w:sz w:val="24"/>
        </w:rPr>
      </w:pPr>
      <w:r>
        <w:rPr>
          <w:rFonts w:hint="eastAsia" w:hAnsi="楷体"/>
          <w:kern w:val="0"/>
          <w:sz w:val="24"/>
        </w:rPr>
        <w:t xml:space="preserve"> 承包人的项目经理部是民工工资支付行为的主体，承包人的项目经理是民工工资支付的责任人，项目经理部要严格落实实名制管理，建立全体民工花名册、考勤记录和工资支付表，确保将工资通过银行代发方式用专用账户直接发到民工本人持有的银行卡上，按月足额发放农民工工资，严禁发放给“包工头”或者其他不具备用工主体资格的组织和个人。同时，承包人应加强劳动合同管理，农民工签订劳动合同后方可进场施工，规范公路建设用工行为。</w:t>
      </w:r>
    </w:p>
    <w:p>
      <w:pPr>
        <w:spacing w:line="420" w:lineRule="exact"/>
        <w:ind w:firstLine="480" w:firstLineChars="200"/>
        <w:rPr>
          <w:rFonts w:hAnsi="楷体"/>
          <w:kern w:val="0"/>
          <w:sz w:val="24"/>
        </w:rPr>
      </w:pPr>
      <w:r>
        <w:rPr>
          <w:rFonts w:hint="eastAsia" w:hAnsi="楷体"/>
          <w:kern w:val="0"/>
          <w:sz w:val="24"/>
        </w:rPr>
        <w:t xml:space="preserve"> 劳动合同、考勤记录和工资发放表须由民工本人签字，工资支付表应如实记录支付单位、支付时间、支付对象、支付数额、支付对象的身份证号和银行卡号、签字等信息，民工花名册和工资支付表应报监理人备查，其中工资支付的人数、金额等需由监理、建设单位审核。工资支付表、考勤表等工资发放信息需每月按时张贴在维权信息告示栏进行公示。</w:t>
      </w:r>
    </w:p>
    <w:p>
      <w:pPr>
        <w:spacing w:line="420" w:lineRule="exact"/>
        <w:ind w:firstLine="480" w:firstLineChars="200"/>
        <w:rPr>
          <w:rFonts w:hAnsi="楷体"/>
          <w:kern w:val="0"/>
          <w:sz w:val="24"/>
        </w:rPr>
      </w:pPr>
      <w:r>
        <w:rPr>
          <w:rFonts w:hint="eastAsia" w:hAnsi="楷体"/>
          <w:kern w:val="0"/>
          <w:sz w:val="24"/>
        </w:rPr>
        <w:t xml:space="preserve">承包人负责在施工现场醒目位置设立维权信息告示牌，明示业主单位、施工总承包企业及所在项目部、分包企业、行业监管部门等基本信息；明示劳动用工相关法律法规、当地最低工资标准、工资支付日期等信息；明示属地行业监管部门投诉举报电话和劳动争议调解仲裁、劳动保障监察投诉举报电话(电话为当地交通主管部门和劳动保障部门等第三方单位可打通的号码)等信息。项目完工后或农民工提前离开工地，承包人应在合同约定期限之内对农民工工资进行结算，并一次性付清所有应发放的工资，同时承包人应当在项目经理部的维权公示栏和新闻媒介上分阶段公示工资支付情况，并公开2个监督电话，公示期不少于30个工作日。    </w:t>
      </w:r>
    </w:p>
    <w:p>
      <w:pPr>
        <w:spacing w:line="420" w:lineRule="exact"/>
        <w:ind w:firstLine="480" w:firstLineChars="200"/>
        <w:rPr>
          <w:rFonts w:hAnsi="楷体"/>
          <w:kern w:val="0"/>
          <w:sz w:val="24"/>
        </w:rPr>
      </w:pPr>
      <w:r>
        <w:rPr>
          <w:rFonts w:hint="eastAsia" w:hAnsi="楷体"/>
          <w:kern w:val="0"/>
          <w:sz w:val="24"/>
        </w:rPr>
        <w:t>承包人应严格按照国家有关法律、法规和政策，及时解决工程中的各种经济纠纷及民工工资等问题。若由此发生民工上访、围堵发包人或政府部门的办公场所等事件，其项目经理或承包单位有关负责人在接到通知后，须2小时之内赶到事发地点，及时处理好相关事宜，否则，所造成的经济损失及一切责任由承包人承担。</w:t>
      </w:r>
    </w:p>
    <w:p>
      <w:pPr>
        <w:spacing w:line="420" w:lineRule="exact"/>
        <w:ind w:firstLine="480" w:firstLineChars="200"/>
        <w:rPr>
          <w:sz w:val="24"/>
        </w:rPr>
      </w:pPr>
      <w:r>
        <w:rPr>
          <w:rFonts w:hAnsi="楷体"/>
          <w:sz w:val="24"/>
        </w:rPr>
        <w:t>第</w:t>
      </w:r>
      <w:r>
        <w:rPr>
          <w:sz w:val="24"/>
        </w:rPr>
        <w:t>4.1.10</w:t>
      </w:r>
      <w:r>
        <w:rPr>
          <w:rFonts w:hAnsi="楷体"/>
          <w:sz w:val="24"/>
        </w:rPr>
        <w:t>（</w:t>
      </w:r>
      <w:r>
        <w:rPr>
          <w:sz w:val="24"/>
        </w:rPr>
        <w:t>3</w:t>
      </w:r>
      <w:r>
        <w:rPr>
          <w:rFonts w:hAnsi="楷体"/>
          <w:sz w:val="24"/>
        </w:rPr>
        <w:t>）目约定：</w:t>
      </w:r>
    </w:p>
    <w:p>
      <w:pPr>
        <w:numPr>
          <w:ilvl w:val="0"/>
          <w:numId w:val="7"/>
        </w:numPr>
        <w:spacing w:line="420" w:lineRule="exact"/>
        <w:ind w:left="105" w:leftChars="50" w:firstLine="240" w:firstLineChars="100"/>
        <w:rPr>
          <w:rFonts w:hAnsi="楷体"/>
          <w:sz w:val="24"/>
        </w:rPr>
      </w:pPr>
      <w:r>
        <w:rPr>
          <w:rFonts w:hAnsi="楷体"/>
          <w:sz w:val="24"/>
        </w:rPr>
        <w:t>承包人驻地建设必须满足</w:t>
      </w:r>
      <w:r>
        <w:rPr>
          <w:rFonts w:hAnsi="楷体"/>
          <w:spacing w:val="-4"/>
          <w:sz w:val="24"/>
        </w:rPr>
        <w:t>浙江省交通运输厅（原浙江省交通厅）</w:t>
      </w:r>
      <w:r>
        <w:rPr>
          <w:rFonts w:hAnsi="楷体"/>
          <w:sz w:val="24"/>
        </w:rPr>
        <w:t>浙交</w:t>
      </w:r>
      <w:r>
        <w:rPr>
          <w:sz w:val="24"/>
        </w:rPr>
        <w:t>[2008]296</w:t>
      </w:r>
      <w:r>
        <w:rPr>
          <w:rFonts w:hAnsi="楷体"/>
          <w:sz w:val="24"/>
        </w:rPr>
        <w:t>号文</w:t>
      </w:r>
      <w:r>
        <w:rPr>
          <w:rFonts w:hint="eastAsia"/>
          <w:sz w:val="24"/>
        </w:rPr>
        <w:t>“</w:t>
      </w:r>
      <w:r>
        <w:rPr>
          <w:rFonts w:hAnsi="楷体"/>
          <w:bCs/>
          <w:kern w:val="0"/>
          <w:sz w:val="24"/>
        </w:rPr>
        <w:t>关于印发《浙江省高速公路建设工程标准化工地管理规定》的通知</w:t>
      </w:r>
      <w:r>
        <w:rPr>
          <w:rFonts w:hint="eastAsia"/>
          <w:sz w:val="24"/>
        </w:rPr>
        <w:t>”</w:t>
      </w:r>
      <w:r>
        <w:rPr>
          <w:rFonts w:hAnsi="楷体"/>
          <w:sz w:val="24"/>
        </w:rPr>
        <w:t>要求。</w:t>
      </w:r>
    </w:p>
    <w:p>
      <w:pPr>
        <w:numPr>
          <w:ilvl w:val="255"/>
          <w:numId w:val="0"/>
        </w:numPr>
        <w:spacing w:line="420" w:lineRule="exact"/>
        <w:ind w:firstLine="241" w:firstLineChars="100"/>
        <w:rPr>
          <w:rFonts w:hAnsi="楷体"/>
          <w:b/>
          <w:bCs/>
          <w:sz w:val="24"/>
        </w:rPr>
      </w:pPr>
      <w:r>
        <w:rPr>
          <w:rFonts w:hint="eastAsia" w:hAnsi="楷体"/>
          <w:b/>
          <w:bCs/>
          <w:sz w:val="24"/>
        </w:rPr>
        <w:t>4.2 履约担保</w:t>
      </w:r>
    </w:p>
    <w:p>
      <w:pPr>
        <w:numPr>
          <w:ilvl w:val="255"/>
          <w:numId w:val="0"/>
        </w:numPr>
        <w:spacing w:line="420" w:lineRule="exact"/>
        <w:ind w:left="315" w:leftChars="150" w:right="1422" w:firstLine="480" w:firstLineChars="200"/>
        <w:rPr>
          <w:rFonts w:hAnsi="楷体"/>
          <w:sz w:val="24"/>
        </w:rPr>
      </w:pPr>
      <w:r>
        <w:rPr>
          <w:rFonts w:hAnsi="楷体"/>
          <w:sz w:val="24"/>
        </w:rPr>
        <w:t>本款细化为：</w:t>
      </w:r>
    </w:p>
    <w:p>
      <w:pPr>
        <w:numPr>
          <w:ilvl w:val="255"/>
          <w:numId w:val="0"/>
        </w:numPr>
        <w:spacing w:line="420" w:lineRule="exact"/>
        <w:ind w:firstLine="480" w:firstLineChars="200"/>
        <w:rPr>
          <w:rFonts w:hAnsi="楷体"/>
          <w:sz w:val="24"/>
        </w:rPr>
      </w:pPr>
      <w:r>
        <w:rPr>
          <w:rFonts w:hAnsi="楷体"/>
          <w:sz w:val="24"/>
        </w:rPr>
        <w:t>承包人应保证其履约担保在发包人颁发工程接收证书前一直有效。履约担保应在</w:t>
      </w:r>
      <w:r>
        <w:rPr>
          <w:rFonts w:hint="eastAsia" w:hAnsi="楷体"/>
          <w:sz w:val="24"/>
        </w:rPr>
        <w:t>交（竣）工验收完成后次日解除</w:t>
      </w:r>
      <w:r>
        <w:rPr>
          <w:rFonts w:hAnsi="楷体"/>
          <w:sz w:val="24"/>
        </w:rPr>
        <w:t>。</w:t>
      </w:r>
    </w:p>
    <w:p>
      <w:pPr>
        <w:pStyle w:val="7"/>
        <w:spacing w:before="120" w:after="120" w:line="420" w:lineRule="exact"/>
        <w:ind w:firstLine="241" w:firstLineChars="100"/>
        <w:rPr>
          <w:rFonts w:ascii="Times New Roman" w:hAnsi="Times New Roman"/>
          <w:sz w:val="24"/>
          <w:szCs w:val="24"/>
        </w:rPr>
      </w:pPr>
      <w:r>
        <w:rPr>
          <w:rFonts w:hint="eastAsia" w:ascii="Times New Roman" w:hAnsi="Times New Roman"/>
          <w:sz w:val="24"/>
          <w:szCs w:val="24"/>
        </w:rPr>
        <w:t>4.3 分包</w:t>
      </w:r>
    </w:p>
    <w:p>
      <w:pPr>
        <w:spacing w:line="420" w:lineRule="exact"/>
        <w:ind w:left="315" w:leftChars="150" w:right="1422" w:firstLine="480" w:firstLineChars="200"/>
        <w:rPr>
          <w:rFonts w:hAnsi="楷体"/>
          <w:sz w:val="24"/>
        </w:rPr>
      </w:pPr>
      <w:r>
        <w:rPr>
          <w:rFonts w:hint="eastAsia" w:hAnsi="楷体"/>
          <w:sz w:val="24"/>
        </w:rPr>
        <w:t>本款细化为：</w:t>
      </w:r>
    </w:p>
    <w:p>
      <w:pPr>
        <w:spacing w:line="420" w:lineRule="exact"/>
        <w:ind w:left="315" w:leftChars="150" w:right="1422" w:firstLine="480" w:firstLineChars="200"/>
        <w:rPr>
          <w:rFonts w:hAnsi="楷体"/>
          <w:sz w:val="24"/>
        </w:rPr>
      </w:pPr>
      <w:r>
        <w:rPr>
          <w:rFonts w:hint="eastAsia" w:hAnsi="楷体"/>
          <w:sz w:val="24"/>
        </w:rPr>
        <w:t xml:space="preserve">第 </w:t>
      </w:r>
      <w:r>
        <w:rPr>
          <w:rFonts w:hAnsi="楷体"/>
          <w:sz w:val="24"/>
        </w:rPr>
        <w:t>4.3.1</w:t>
      </w:r>
      <w:r>
        <w:rPr>
          <w:rFonts w:hint="eastAsia" w:hAnsi="楷体"/>
          <w:sz w:val="24"/>
        </w:rPr>
        <w:t xml:space="preserve"> 款细化为：</w:t>
      </w:r>
    </w:p>
    <w:p>
      <w:pPr>
        <w:widowControl/>
        <w:spacing w:before="120" w:after="120" w:line="360" w:lineRule="auto"/>
        <w:ind w:firstLine="480" w:firstLineChars="200"/>
        <w:jc w:val="left"/>
        <w:rPr>
          <w:rFonts w:ascii="楷体" w:hAnsi="楷体" w:cs="楷体"/>
          <w:sz w:val="24"/>
        </w:rPr>
      </w:pPr>
      <w:r>
        <w:rPr>
          <w:rFonts w:hint="eastAsia" w:ascii="楷体" w:hAnsi="楷体" w:cs="楷体"/>
          <w:kern w:val="0"/>
          <w:sz w:val="24"/>
        </w:rPr>
        <w:t>本项目严禁转包和违规分包，且不得再次分包。投标人拟在中标后将中标项目的部分适合专业化队伍施工的专业工程进行分包的应符合交通运输部 《关于印发公路工程施工分包管理办法的通知》（交公路发〔2011〕685 号）、《浙江省公路水运工程施工分包管理实施细则》（浙交〔2012〕253号）及《关于印发浙江省公路建设市场秩序专项整治工作方案的通知（浙交〔2015〕101 号）的规定。</w:t>
      </w:r>
    </w:p>
    <w:p>
      <w:pPr>
        <w:pStyle w:val="7"/>
        <w:spacing w:before="120" w:after="120" w:line="420" w:lineRule="exact"/>
        <w:ind w:firstLine="241" w:firstLineChars="100"/>
        <w:rPr>
          <w:b w:val="0"/>
          <w:sz w:val="24"/>
          <w:szCs w:val="24"/>
        </w:rPr>
      </w:pPr>
      <w:bookmarkStart w:id="5849" w:name="_Toc282787580"/>
      <w:r>
        <w:rPr>
          <w:rFonts w:ascii="Times New Roman" w:hAnsi="Times New Roman"/>
          <w:sz w:val="24"/>
          <w:szCs w:val="24"/>
        </w:rPr>
        <w:t>4.1</w:t>
      </w:r>
      <w:r>
        <w:rPr>
          <w:rFonts w:hint="eastAsia" w:ascii="Times New Roman" w:hAnsi="Times New Roman"/>
          <w:sz w:val="24"/>
          <w:szCs w:val="24"/>
        </w:rPr>
        <w:t>0</w:t>
      </w:r>
      <w:r>
        <w:rPr>
          <w:rFonts w:hint="eastAsia" w:ascii="黑体"/>
          <w:b w:val="0"/>
          <w:sz w:val="24"/>
          <w:szCs w:val="24"/>
        </w:rPr>
        <w:t>承包人现场查勘</w:t>
      </w:r>
      <w:bookmarkEnd w:id="5849"/>
    </w:p>
    <w:p>
      <w:pPr>
        <w:spacing w:line="420" w:lineRule="exact"/>
        <w:ind w:firstLine="480"/>
        <w:rPr>
          <w:rFonts w:ascii="楷体" w:hAnsi="楷体" w:cs="楷体"/>
          <w:kern w:val="0"/>
          <w:sz w:val="24"/>
        </w:rPr>
      </w:pPr>
      <w:r>
        <w:rPr>
          <w:rFonts w:hint="eastAsia" w:ascii="楷体" w:hAnsi="楷体" w:cs="楷体"/>
          <w:kern w:val="0"/>
          <w:sz w:val="24"/>
        </w:rPr>
        <w:t>本款补充第4.10.3项：</w:t>
      </w:r>
    </w:p>
    <w:p>
      <w:pPr>
        <w:spacing w:line="420" w:lineRule="exact"/>
        <w:ind w:firstLine="480"/>
        <w:rPr>
          <w:rFonts w:ascii="楷体" w:hAnsi="楷体" w:cs="楷体"/>
          <w:kern w:val="0"/>
          <w:sz w:val="24"/>
        </w:rPr>
      </w:pPr>
      <w:r>
        <w:rPr>
          <w:rFonts w:hint="eastAsia" w:ascii="楷体" w:hAnsi="楷体" w:cs="楷体"/>
          <w:kern w:val="0"/>
          <w:sz w:val="24"/>
        </w:rPr>
        <w:t>承包人应认真查勘施工现场，充分考虑到施工区域与相邻标段的相互影响和干扰，以及材料、设备等进入施工现场的公路和水路现状，并在投标报价中考虑上述因素而产生的所有费用，这些费用均由承包人承担。</w:t>
      </w:r>
    </w:p>
    <w:p>
      <w:pPr>
        <w:pStyle w:val="27"/>
        <w:spacing w:beforeLines="50" w:afterLines="50" w:line="420" w:lineRule="exact"/>
        <w:ind w:firstLine="241" w:firstLineChars="100"/>
        <w:rPr>
          <w:b/>
          <w:szCs w:val="24"/>
        </w:rPr>
      </w:pPr>
      <w:bookmarkStart w:id="5850" w:name="_Toc14263"/>
      <w:bookmarkStart w:id="5851" w:name="_Toc14439"/>
      <w:bookmarkStart w:id="5852" w:name="_Toc26700"/>
      <w:bookmarkStart w:id="5853" w:name="_Toc30359"/>
      <w:bookmarkStart w:id="5854" w:name="_Toc26796"/>
      <w:r>
        <w:rPr>
          <w:b/>
          <w:szCs w:val="24"/>
        </w:rPr>
        <w:t>4.11 不利物质条件</w:t>
      </w:r>
      <w:bookmarkEnd w:id="5850"/>
      <w:bookmarkEnd w:id="5851"/>
      <w:bookmarkEnd w:id="5852"/>
      <w:bookmarkEnd w:id="5853"/>
      <w:bookmarkEnd w:id="5854"/>
    </w:p>
    <w:p>
      <w:pPr>
        <w:spacing w:line="420" w:lineRule="exact"/>
        <w:ind w:firstLine="480"/>
        <w:rPr>
          <w:rFonts w:ascii="楷体" w:hAnsi="楷体" w:cs="楷体"/>
          <w:kern w:val="0"/>
          <w:sz w:val="24"/>
          <w:u w:val="single"/>
        </w:rPr>
      </w:pPr>
      <w:r>
        <w:rPr>
          <w:rFonts w:hint="eastAsia" w:ascii="楷体" w:hAnsi="楷体" w:cs="楷体"/>
          <w:kern w:val="0"/>
          <w:sz w:val="24"/>
        </w:rPr>
        <w:t>4.11.1 不利物质条件的范围：</w:t>
      </w:r>
      <w:r>
        <w:rPr>
          <w:rFonts w:hint="eastAsia" w:ascii="楷体" w:hAnsi="楷体" w:cs="楷体"/>
          <w:kern w:val="0"/>
          <w:sz w:val="24"/>
          <w:u w:val="single"/>
        </w:rPr>
        <w:t xml:space="preserve">  /  </w:t>
      </w:r>
    </w:p>
    <w:p>
      <w:pPr>
        <w:pStyle w:val="28"/>
        <w:spacing w:beforeLines="50" w:afterLines="50" w:line="420" w:lineRule="exact"/>
        <w:rPr>
          <w:szCs w:val="28"/>
        </w:rPr>
      </w:pPr>
      <w:bookmarkStart w:id="5855" w:name="_Toc19104"/>
      <w:bookmarkStart w:id="5856" w:name="_Toc282787582"/>
      <w:bookmarkStart w:id="5857" w:name="_Toc4153"/>
      <w:bookmarkStart w:id="5858" w:name="_Toc287853476"/>
      <w:bookmarkStart w:id="5859" w:name="_Toc8612"/>
      <w:bookmarkStart w:id="5860" w:name="_Toc8056"/>
      <w:bookmarkStart w:id="5861" w:name="_Toc1016"/>
      <w:bookmarkStart w:id="5862" w:name="_Toc12667"/>
      <w:bookmarkStart w:id="5863" w:name="_Toc288491652"/>
      <w:bookmarkStart w:id="5864" w:name="_Toc282779127"/>
      <w:bookmarkStart w:id="5865" w:name="_Toc28046"/>
      <w:bookmarkStart w:id="5866" w:name="_Toc24315"/>
      <w:bookmarkStart w:id="5867" w:name="_Toc7304"/>
      <w:bookmarkStart w:id="5868" w:name="_Toc282779636"/>
      <w:bookmarkStart w:id="5869" w:name="_Toc288546776"/>
      <w:bookmarkStart w:id="5870" w:name="_Toc29543"/>
      <w:bookmarkStart w:id="5871" w:name="_Toc283794324"/>
      <w:bookmarkStart w:id="5872" w:name="_Toc22844"/>
      <w:bookmarkStart w:id="5873" w:name="_Toc6064"/>
      <w:bookmarkStart w:id="5874" w:name="_Toc8022"/>
      <w:bookmarkStart w:id="5875" w:name="_Toc11138"/>
      <w:bookmarkStart w:id="5876" w:name="_Toc30396"/>
      <w:bookmarkStart w:id="5877" w:name="_Toc13124"/>
      <w:bookmarkStart w:id="5878" w:name="_Toc7772"/>
      <w:bookmarkStart w:id="5879" w:name="_Toc7742"/>
      <w:r>
        <w:rPr>
          <w:rFonts w:hint="eastAsia"/>
          <w:szCs w:val="28"/>
        </w:rPr>
        <w:t>9．施工安全、治安保卫和环境保护</w:t>
      </w:r>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p>
    <w:p>
      <w:pPr>
        <w:pStyle w:val="27"/>
        <w:spacing w:beforeLines="50" w:afterLines="50" w:line="420" w:lineRule="exact"/>
        <w:ind w:firstLine="241" w:firstLineChars="100"/>
        <w:rPr>
          <w:szCs w:val="24"/>
        </w:rPr>
      </w:pPr>
      <w:bookmarkStart w:id="5880" w:name="_Toc32467"/>
      <w:bookmarkStart w:id="5881" w:name="_Toc288546777"/>
      <w:bookmarkStart w:id="5882" w:name="_Toc10551"/>
      <w:bookmarkStart w:id="5883" w:name="_Toc287853477"/>
      <w:bookmarkStart w:id="5884" w:name="_Toc6385"/>
      <w:bookmarkStart w:id="5885" w:name="_Toc6935"/>
      <w:bookmarkStart w:id="5886" w:name="_Toc282779637"/>
      <w:bookmarkStart w:id="5887" w:name="_Toc798"/>
      <w:bookmarkStart w:id="5888" w:name="_Toc271"/>
      <w:bookmarkStart w:id="5889" w:name="_Toc31844"/>
      <w:bookmarkStart w:id="5890" w:name="_Toc18800"/>
      <w:bookmarkStart w:id="5891" w:name="_Toc282787583"/>
      <w:bookmarkStart w:id="5892" w:name="_Toc282779128"/>
      <w:bookmarkStart w:id="5893" w:name="_Toc283794325"/>
      <w:bookmarkStart w:id="5894" w:name="_Toc24768"/>
      <w:bookmarkStart w:id="5895" w:name="_Toc25560"/>
      <w:bookmarkStart w:id="5896" w:name="_Toc1739"/>
      <w:bookmarkStart w:id="5897" w:name="_Toc27435"/>
      <w:bookmarkStart w:id="5898" w:name="_Toc10458"/>
      <w:bookmarkStart w:id="5899" w:name="_Toc26730"/>
      <w:bookmarkStart w:id="5900" w:name="_Toc30114"/>
      <w:bookmarkStart w:id="5901" w:name="_Toc288491653"/>
      <w:bookmarkStart w:id="5902" w:name="_Toc333"/>
      <w:bookmarkStart w:id="5903" w:name="_Toc26918"/>
      <w:bookmarkStart w:id="5904" w:name="_Toc14410"/>
      <w:r>
        <w:rPr>
          <w:rFonts w:hint="eastAsia"/>
          <w:b/>
          <w:szCs w:val="24"/>
        </w:rPr>
        <w:t>9.2</w:t>
      </w:r>
      <w:r>
        <w:rPr>
          <w:rFonts w:hint="eastAsia"/>
          <w:szCs w:val="24"/>
        </w:rPr>
        <w:t xml:space="preserve">  承包人的施工安全责任</w:t>
      </w:r>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p>
    <w:p>
      <w:pPr>
        <w:widowControl/>
        <w:wordWrap w:val="0"/>
        <w:snapToGrid w:val="0"/>
        <w:spacing w:line="420" w:lineRule="exact"/>
        <w:ind w:firstLine="480" w:firstLineChars="200"/>
        <w:jc w:val="left"/>
        <w:rPr>
          <w:kern w:val="0"/>
          <w:sz w:val="24"/>
        </w:rPr>
      </w:pPr>
      <w:r>
        <w:rPr>
          <w:rFonts w:hint="eastAsia" w:hAnsi="宋体"/>
          <w:kern w:val="0"/>
          <w:sz w:val="24"/>
        </w:rPr>
        <w:t>本款</w:t>
      </w:r>
      <w:r>
        <w:rPr>
          <w:rFonts w:hAnsi="宋体"/>
          <w:kern w:val="0"/>
          <w:sz w:val="24"/>
        </w:rPr>
        <w:t>第</w:t>
      </w:r>
      <w:r>
        <w:rPr>
          <w:kern w:val="0"/>
          <w:sz w:val="24"/>
        </w:rPr>
        <w:t>9.2.1</w:t>
      </w:r>
      <w:r>
        <w:rPr>
          <w:rFonts w:hAnsi="宋体"/>
          <w:kern w:val="0"/>
          <w:sz w:val="24"/>
        </w:rPr>
        <w:t>项补充：</w:t>
      </w:r>
    </w:p>
    <w:p>
      <w:pPr>
        <w:widowControl/>
        <w:wordWrap w:val="0"/>
        <w:snapToGrid w:val="0"/>
        <w:spacing w:line="420" w:lineRule="exact"/>
        <w:ind w:firstLine="480" w:firstLineChars="200"/>
        <w:jc w:val="left"/>
        <w:rPr>
          <w:kern w:val="0"/>
          <w:sz w:val="32"/>
          <w:szCs w:val="32"/>
        </w:rPr>
      </w:pPr>
      <w:r>
        <w:rPr>
          <w:rFonts w:hAnsi="楷体"/>
          <w:kern w:val="0"/>
          <w:sz w:val="24"/>
        </w:rPr>
        <w:t>监理人发现承包人在施工现场存在安全隐患或未落实安全生产费用的，应当提出要求其改正，施工单位拒不改正的，监理人可暂时停止工程款的计量支付，并及时向发包人报告。</w:t>
      </w:r>
    </w:p>
    <w:p>
      <w:pPr>
        <w:wordWrap w:val="0"/>
        <w:snapToGrid w:val="0"/>
        <w:spacing w:line="420" w:lineRule="exact"/>
        <w:ind w:firstLine="480" w:firstLineChars="200"/>
        <w:jc w:val="left"/>
        <w:rPr>
          <w:sz w:val="24"/>
        </w:rPr>
      </w:pPr>
      <w:r>
        <w:rPr>
          <w:rFonts w:hint="eastAsia"/>
          <w:sz w:val="24"/>
        </w:rPr>
        <w:t>第9.2.5项约定为：</w:t>
      </w:r>
    </w:p>
    <w:p>
      <w:pPr>
        <w:wordWrap w:val="0"/>
        <w:snapToGrid w:val="0"/>
        <w:spacing w:line="420" w:lineRule="exact"/>
        <w:ind w:firstLine="480" w:firstLineChars="200"/>
        <w:jc w:val="left"/>
        <w:rPr>
          <w:rFonts w:hAnsi="楷体"/>
          <w:kern w:val="0"/>
          <w:sz w:val="24"/>
        </w:rPr>
      </w:pPr>
      <w:r>
        <w:rPr>
          <w:rFonts w:hAnsi="楷体"/>
          <w:kern w:val="0"/>
          <w:sz w:val="24"/>
        </w:rPr>
        <w:t>9.2.5 安全生产费用不低于投标总报价的</w:t>
      </w:r>
      <w:r>
        <w:rPr>
          <w:rFonts w:hint="eastAsia" w:hAnsi="楷体"/>
          <w:kern w:val="0"/>
          <w:sz w:val="24"/>
        </w:rPr>
        <w:t>1.5</w:t>
      </w:r>
      <w:r>
        <w:rPr>
          <w:rFonts w:hAnsi="楷体"/>
          <w:kern w:val="0"/>
          <w:sz w:val="24"/>
        </w:rPr>
        <w:t>%</w:t>
      </w:r>
      <w:r>
        <w:rPr>
          <w:rFonts w:hint="eastAsia" w:hAnsi="楷体"/>
          <w:kern w:val="0"/>
          <w:sz w:val="24"/>
        </w:rPr>
        <w:t>。</w:t>
      </w:r>
      <w:r>
        <w:rPr>
          <w:rFonts w:hAnsi="楷体"/>
          <w:kern w:val="0"/>
          <w:sz w:val="24"/>
        </w:rPr>
        <w:t>安</w:t>
      </w:r>
      <w:r>
        <w:rPr>
          <w:rFonts w:hint="eastAsia" w:hAnsi="楷体"/>
          <w:kern w:val="0"/>
          <w:sz w:val="24"/>
        </w:rPr>
        <w:t>全</w:t>
      </w:r>
      <w:r>
        <w:rPr>
          <w:rFonts w:hAnsi="楷体"/>
          <w:kern w:val="0"/>
          <w:sz w:val="24"/>
        </w:rPr>
        <w:t>生产费用（纳入交通组织维护费的除外）应用于施工安全防护用具及设施的采购和更新、安全施工措施的落实</w:t>
      </w:r>
      <w:r>
        <w:rPr>
          <w:rFonts w:hint="eastAsia" w:hAnsi="楷体"/>
          <w:kern w:val="0"/>
          <w:sz w:val="24"/>
        </w:rPr>
        <w:t>、</w:t>
      </w:r>
      <w:r>
        <w:rPr>
          <w:rFonts w:hAnsi="楷体"/>
          <w:kern w:val="0"/>
          <w:sz w:val="24"/>
        </w:rPr>
        <w:t>安全生产条件的改善，不得挪作他用。承包人还应执行《浙江省交通建设工程质量和安全生产管理条例》、交通运输部《公路水运工程平安工地建设管理办法》的相关规定和要求。如承包人在此基础上增加安全生产费用以满足项目施工需要，则承包人应在本项目工程量清单其他相关子目的单价或总额价中予以考虑，发包人不再另行支付。因采取合同未约定的特殊防护措施增加的费用，由监理人按第3.5款商定或确定。安全生产费的使用和支付按浙江省交通运输厅关于印发《浙江省交通建设工程安全生产费用管理办法》的通知浙交[2021]12号文的相关要求以及相关最新规定办理。</w:t>
      </w:r>
    </w:p>
    <w:p>
      <w:pPr>
        <w:wordWrap w:val="0"/>
        <w:snapToGrid w:val="0"/>
        <w:spacing w:line="420" w:lineRule="exact"/>
        <w:ind w:firstLine="480" w:firstLineChars="200"/>
        <w:jc w:val="left"/>
        <w:rPr>
          <w:sz w:val="24"/>
        </w:rPr>
      </w:pPr>
      <w:r>
        <w:rPr>
          <w:rFonts w:hAnsi="楷体"/>
          <w:sz w:val="24"/>
        </w:rPr>
        <w:t>安全生产费用应用于以下范围使用：</w:t>
      </w:r>
    </w:p>
    <w:p>
      <w:pPr>
        <w:widowControl/>
        <w:wordWrap w:val="0"/>
        <w:snapToGrid w:val="0"/>
        <w:spacing w:line="420" w:lineRule="exact"/>
        <w:ind w:firstLine="480" w:firstLineChars="200"/>
        <w:jc w:val="left"/>
        <w:rPr>
          <w:kern w:val="0"/>
          <w:sz w:val="24"/>
        </w:rPr>
      </w:pPr>
      <w:r>
        <w:rPr>
          <w:rFonts w:hAnsi="楷体"/>
          <w:kern w:val="0"/>
          <w:sz w:val="24"/>
        </w:rPr>
        <w:t>（</w:t>
      </w:r>
      <w:r>
        <w:rPr>
          <w:kern w:val="0"/>
          <w:sz w:val="24"/>
        </w:rPr>
        <w:t>1</w:t>
      </w:r>
      <w:r>
        <w:rPr>
          <w:rFonts w:hAnsi="楷体"/>
          <w:kern w:val="0"/>
          <w:sz w:val="24"/>
        </w:rPr>
        <w:t>）完善、改造和维护安全防护、检测、探测设备、设施支出；</w:t>
      </w:r>
    </w:p>
    <w:p>
      <w:pPr>
        <w:wordWrap w:val="0"/>
        <w:snapToGrid w:val="0"/>
        <w:spacing w:line="420" w:lineRule="exact"/>
        <w:ind w:firstLine="480" w:firstLineChars="200"/>
        <w:jc w:val="left"/>
        <w:rPr>
          <w:kern w:val="0"/>
          <w:sz w:val="24"/>
        </w:rPr>
      </w:pPr>
      <w:r>
        <w:rPr>
          <w:rFonts w:hAnsi="楷体"/>
          <w:kern w:val="0"/>
          <w:sz w:val="24"/>
        </w:rPr>
        <w:t>（</w:t>
      </w:r>
      <w:r>
        <w:rPr>
          <w:kern w:val="0"/>
          <w:sz w:val="24"/>
        </w:rPr>
        <w:t>2</w:t>
      </w:r>
      <w:r>
        <w:rPr>
          <w:rFonts w:hAnsi="楷体"/>
          <w:kern w:val="0"/>
          <w:sz w:val="24"/>
        </w:rPr>
        <w:t>）配备必要的应急救援器材、设备和现场作业人员安全防护物品支出；</w:t>
      </w:r>
    </w:p>
    <w:p>
      <w:pPr>
        <w:wordWrap w:val="0"/>
        <w:snapToGrid w:val="0"/>
        <w:spacing w:line="420" w:lineRule="exact"/>
        <w:ind w:firstLine="480" w:firstLineChars="200"/>
        <w:jc w:val="left"/>
        <w:rPr>
          <w:sz w:val="24"/>
        </w:rPr>
      </w:pPr>
      <w:r>
        <w:rPr>
          <w:rFonts w:hAnsi="楷体"/>
          <w:kern w:val="0"/>
          <w:sz w:val="24"/>
        </w:rPr>
        <w:t>（</w:t>
      </w:r>
      <w:r>
        <w:rPr>
          <w:kern w:val="0"/>
          <w:sz w:val="24"/>
        </w:rPr>
        <w:t>3</w:t>
      </w:r>
      <w:r>
        <w:rPr>
          <w:rFonts w:hAnsi="楷体"/>
          <w:kern w:val="0"/>
          <w:sz w:val="24"/>
        </w:rPr>
        <w:t>）安全生产检查与评价支出；</w:t>
      </w:r>
    </w:p>
    <w:p>
      <w:pPr>
        <w:widowControl/>
        <w:wordWrap w:val="0"/>
        <w:snapToGrid w:val="0"/>
        <w:spacing w:line="420" w:lineRule="exact"/>
        <w:ind w:firstLine="480" w:firstLineChars="200"/>
        <w:jc w:val="left"/>
        <w:rPr>
          <w:kern w:val="0"/>
          <w:sz w:val="24"/>
        </w:rPr>
      </w:pPr>
      <w:r>
        <w:rPr>
          <w:rFonts w:hAnsi="楷体"/>
          <w:kern w:val="0"/>
          <w:sz w:val="24"/>
        </w:rPr>
        <w:t>（</w:t>
      </w:r>
      <w:r>
        <w:rPr>
          <w:kern w:val="0"/>
          <w:sz w:val="24"/>
        </w:rPr>
        <w:t>4</w:t>
      </w:r>
      <w:r>
        <w:rPr>
          <w:rFonts w:hAnsi="楷体"/>
          <w:kern w:val="0"/>
          <w:sz w:val="24"/>
        </w:rPr>
        <w:t>）重大危险源、重大事故隐患的评估、整改、监控支出；</w:t>
      </w:r>
    </w:p>
    <w:p>
      <w:pPr>
        <w:widowControl/>
        <w:wordWrap w:val="0"/>
        <w:snapToGrid w:val="0"/>
        <w:spacing w:line="420" w:lineRule="exact"/>
        <w:ind w:firstLine="480" w:firstLineChars="200"/>
        <w:jc w:val="left"/>
        <w:rPr>
          <w:kern w:val="0"/>
          <w:sz w:val="24"/>
        </w:rPr>
      </w:pPr>
      <w:r>
        <w:rPr>
          <w:rFonts w:hAnsi="楷体"/>
          <w:kern w:val="0"/>
          <w:sz w:val="24"/>
        </w:rPr>
        <w:t>（</w:t>
      </w:r>
      <w:r>
        <w:rPr>
          <w:kern w:val="0"/>
          <w:sz w:val="24"/>
        </w:rPr>
        <w:t>5</w:t>
      </w:r>
      <w:r>
        <w:rPr>
          <w:rFonts w:hAnsi="楷体"/>
          <w:kern w:val="0"/>
          <w:sz w:val="24"/>
        </w:rPr>
        <w:t>）安全技能培训及进行应急救援演练支出；</w:t>
      </w:r>
    </w:p>
    <w:p>
      <w:pPr>
        <w:widowControl/>
        <w:wordWrap w:val="0"/>
        <w:snapToGrid w:val="0"/>
        <w:spacing w:line="420" w:lineRule="exact"/>
        <w:ind w:firstLine="480" w:firstLineChars="200"/>
        <w:jc w:val="left"/>
        <w:rPr>
          <w:kern w:val="0"/>
          <w:sz w:val="24"/>
        </w:rPr>
      </w:pPr>
      <w:r>
        <w:rPr>
          <w:rFonts w:hAnsi="楷体"/>
          <w:kern w:val="0"/>
          <w:sz w:val="24"/>
        </w:rPr>
        <w:t>（</w:t>
      </w:r>
      <w:r>
        <w:rPr>
          <w:kern w:val="0"/>
          <w:sz w:val="24"/>
        </w:rPr>
        <w:t>6</w:t>
      </w:r>
      <w:r>
        <w:rPr>
          <w:rFonts w:hAnsi="楷体"/>
          <w:kern w:val="0"/>
          <w:sz w:val="24"/>
        </w:rPr>
        <w:t>）其它与安全生产直接相关的支出。</w:t>
      </w:r>
    </w:p>
    <w:p>
      <w:pPr>
        <w:wordWrap w:val="0"/>
        <w:snapToGrid w:val="0"/>
        <w:spacing w:line="420" w:lineRule="exact"/>
        <w:ind w:firstLine="480" w:firstLineChars="200"/>
        <w:jc w:val="left"/>
        <w:rPr>
          <w:sz w:val="24"/>
        </w:rPr>
      </w:pPr>
      <w:r>
        <w:rPr>
          <w:rFonts w:hAnsi="楷体"/>
          <w:sz w:val="24"/>
        </w:rPr>
        <w:t>如承包人在此基础上增加安全生产费用以满足项目施工需要，则承包人应在本项目工程量清单其它相关子目的单价或总额价中予以考虑，发包人不再另行支付。因采取合同未约定的特殊防护措施增加的费用，由监理人按第</w:t>
      </w:r>
      <w:r>
        <w:rPr>
          <w:sz w:val="24"/>
        </w:rPr>
        <w:t>3.5</w:t>
      </w:r>
      <w:r>
        <w:rPr>
          <w:rFonts w:hAnsi="楷体"/>
          <w:sz w:val="24"/>
        </w:rPr>
        <w:t>款商定或确定。</w:t>
      </w:r>
    </w:p>
    <w:p>
      <w:pPr>
        <w:wordWrap w:val="0"/>
        <w:snapToGrid w:val="0"/>
        <w:spacing w:line="420" w:lineRule="exact"/>
        <w:ind w:firstLine="480" w:firstLineChars="200"/>
        <w:jc w:val="left"/>
        <w:rPr>
          <w:rFonts w:hAnsi="楷体"/>
          <w:kern w:val="0"/>
          <w:sz w:val="24"/>
        </w:rPr>
      </w:pPr>
      <w:r>
        <w:rPr>
          <w:rFonts w:hAnsi="楷体"/>
          <w:kern w:val="0"/>
          <w:sz w:val="24"/>
        </w:rPr>
        <w:t>安全生产费用实行专款专用。</w:t>
      </w:r>
      <w:r>
        <w:rPr>
          <w:rFonts w:hint="eastAsia" w:hAnsi="楷体"/>
          <w:kern w:val="0"/>
          <w:sz w:val="24"/>
        </w:rPr>
        <w:t>承包人</w:t>
      </w:r>
      <w:r>
        <w:rPr>
          <w:rFonts w:hAnsi="楷体"/>
          <w:kern w:val="0"/>
          <w:sz w:val="24"/>
        </w:rPr>
        <w:t>应当建</w:t>
      </w:r>
      <w:r>
        <w:rPr>
          <w:rFonts w:hint="eastAsia" w:hAnsi="楷体"/>
          <w:sz w:val="24"/>
        </w:rPr>
        <w:t>富阳</w:t>
      </w:r>
      <w:r>
        <w:rPr>
          <w:rFonts w:hAnsi="楷体"/>
          <w:kern w:val="0"/>
          <w:sz w:val="24"/>
        </w:rPr>
        <w:t>立健全工程项目安全生产费用管理、计取和使用制度，明确安全生产费用管理、计取和使用的程序、职责及权限。</w:t>
      </w:r>
      <w:r>
        <w:rPr>
          <w:rFonts w:hint="eastAsia" w:hAnsi="楷体"/>
          <w:kern w:val="0"/>
          <w:sz w:val="24"/>
        </w:rPr>
        <w:t>承包人</w:t>
      </w:r>
      <w:r>
        <w:rPr>
          <w:rFonts w:hAnsi="楷体"/>
          <w:kern w:val="0"/>
          <w:sz w:val="24"/>
        </w:rPr>
        <w:t>应当在规定范围安排使用安全生产费用，不得挪用或挤占。</w:t>
      </w:r>
    </w:p>
    <w:p>
      <w:pPr>
        <w:pStyle w:val="27"/>
        <w:spacing w:beforeLines="50" w:afterLines="50" w:line="420" w:lineRule="exact"/>
        <w:ind w:firstLine="241" w:firstLineChars="100"/>
        <w:rPr>
          <w:b/>
          <w:szCs w:val="24"/>
        </w:rPr>
      </w:pPr>
      <w:bookmarkStart w:id="5905" w:name="_Toc25832"/>
      <w:bookmarkStart w:id="5906" w:name="_Toc2877"/>
      <w:bookmarkStart w:id="5907" w:name="_Toc4856"/>
      <w:bookmarkStart w:id="5908" w:name="_Toc6181"/>
      <w:bookmarkStart w:id="5909" w:name="_Toc24585"/>
      <w:bookmarkStart w:id="5910" w:name="_Toc32294"/>
      <w:bookmarkStart w:id="5911" w:name="_Toc27580"/>
      <w:bookmarkStart w:id="5912" w:name="_Toc1241"/>
      <w:bookmarkStart w:id="5913" w:name="_Toc2144"/>
      <w:bookmarkStart w:id="5914" w:name="_Toc31595"/>
      <w:bookmarkStart w:id="5915" w:name="_Toc24951"/>
      <w:bookmarkStart w:id="5916" w:name="_Toc12722"/>
      <w:bookmarkStart w:id="5917" w:name="_Toc18582"/>
      <w:bookmarkStart w:id="5918" w:name="_Toc14128"/>
      <w:r>
        <w:rPr>
          <w:rFonts w:hint="eastAsia"/>
          <w:b/>
          <w:szCs w:val="24"/>
        </w:rPr>
        <w:t>9.4 环境保护</w:t>
      </w:r>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p>
    <w:p>
      <w:pPr>
        <w:pStyle w:val="2"/>
        <w:ind w:firstLine="240"/>
        <w:rPr>
          <w:rFonts w:hAnsi="楷体"/>
          <w:kern w:val="0"/>
        </w:rPr>
      </w:pPr>
      <w:r>
        <w:rPr>
          <w:rFonts w:hint="eastAsia" w:hAnsi="楷体"/>
          <w:kern w:val="0"/>
        </w:rPr>
        <w:t>本款第9.4.7（2）项补充：</w:t>
      </w:r>
    </w:p>
    <w:p>
      <w:pPr>
        <w:wordWrap w:val="0"/>
        <w:snapToGrid w:val="0"/>
        <w:spacing w:line="420" w:lineRule="exact"/>
        <w:ind w:firstLine="480" w:firstLineChars="200"/>
        <w:jc w:val="left"/>
        <w:rPr>
          <w:rFonts w:hAnsi="楷体"/>
          <w:sz w:val="24"/>
        </w:rPr>
      </w:pPr>
      <w:r>
        <w:rPr>
          <w:rFonts w:hint="eastAsia" w:hAnsi="楷体"/>
          <w:sz w:val="24"/>
        </w:rPr>
        <w:t>对于公路施工中粉尘污染的主要污染源（灰土拌和、施工车辆、机械运行及运输）产生的扬尘，应严格执行浙江省、杭州市和区的相关文件规定，应采取有效措施减轻其对施工现场的大气污染，保护人民健康，如：</w:t>
      </w:r>
    </w:p>
    <w:p>
      <w:pPr>
        <w:wordWrap w:val="0"/>
        <w:snapToGrid w:val="0"/>
        <w:spacing w:line="420" w:lineRule="exact"/>
        <w:ind w:firstLine="480" w:firstLineChars="200"/>
        <w:jc w:val="left"/>
        <w:rPr>
          <w:rFonts w:hAnsi="楷体"/>
          <w:sz w:val="24"/>
        </w:rPr>
      </w:pPr>
      <w:r>
        <w:rPr>
          <w:rFonts w:hint="eastAsia" w:hAnsi="楷体"/>
          <w:sz w:val="24"/>
        </w:rPr>
        <w:t>a .拌和设备应有较好的密封或有防尘设备；</w:t>
      </w:r>
    </w:p>
    <w:p>
      <w:pPr>
        <w:wordWrap w:val="0"/>
        <w:snapToGrid w:val="0"/>
        <w:spacing w:line="420" w:lineRule="exact"/>
        <w:ind w:firstLine="480" w:firstLineChars="200"/>
        <w:jc w:val="left"/>
        <w:rPr>
          <w:rFonts w:hAnsi="楷体"/>
          <w:sz w:val="24"/>
        </w:rPr>
      </w:pPr>
      <w:r>
        <w:rPr>
          <w:rFonts w:hint="eastAsia" w:hAnsi="楷体"/>
          <w:sz w:val="24"/>
        </w:rPr>
        <w:t>b .路基施工、施工通道、沥青混凝土拌和站及灰土拌合站应经常洒水降尘；</w:t>
      </w:r>
    </w:p>
    <w:p>
      <w:pPr>
        <w:wordWrap w:val="0"/>
        <w:snapToGrid w:val="0"/>
        <w:spacing w:line="420" w:lineRule="exact"/>
        <w:ind w:firstLine="480" w:firstLineChars="200"/>
        <w:jc w:val="left"/>
        <w:rPr>
          <w:rFonts w:hAnsi="楷体"/>
          <w:sz w:val="24"/>
        </w:rPr>
      </w:pPr>
      <w:r>
        <w:rPr>
          <w:rFonts w:hint="eastAsia" w:hAnsi="楷体"/>
          <w:sz w:val="24"/>
        </w:rPr>
        <w:t>c .路面施工应注意保持水分，以免扬尘；</w:t>
      </w:r>
    </w:p>
    <w:p>
      <w:pPr>
        <w:wordWrap w:val="0"/>
        <w:snapToGrid w:val="0"/>
        <w:spacing w:line="420" w:lineRule="exact"/>
        <w:ind w:firstLine="480" w:firstLineChars="200"/>
        <w:jc w:val="left"/>
        <w:rPr>
          <w:rFonts w:hAnsi="楷体"/>
          <w:sz w:val="24"/>
        </w:rPr>
      </w:pPr>
      <w:r>
        <w:rPr>
          <w:rFonts w:hint="eastAsia" w:hAnsi="楷体"/>
          <w:sz w:val="24"/>
        </w:rPr>
        <w:t>d .隧道出渣和桥梁钻孔灌注桩施工时排出的泥浆要妥善处理，严禁向河流或农田排放。</w:t>
      </w:r>
    </w:p>
    <w:p>
      <w:pPr>
        <w:wordWrap w:val="0"/>
        <w:snapToGrid w:val="0"/>
        <w:spacing w:line="420" w:lineRule="exact"/>
        <w:ind w:firstLine="480" w:firstLineChars="200"/>
        <w:jc w:val="left"/>
        <w:rPr>
          <w:rFonts w:hAnsi="楷体"/>
          <w:sz w:val="24"/>
        </w:rPr>
      </w:pPr>
      <w:r>
        <w:rPr>
          <w:rFonts w:hint="eastAsia" w:hAnsi="楷体"/>
          <w:sz w:val="24"/>
        </w:rPr>
        <w:t>e .碎石、矿粉和水泥、砂子在运输过程中要有覆盖或其它防尘措施。</w:t>
      </w:r>
    </w:p>
    <w:p>
      <w:pPr>
        <w:pStyle w:val="2"/>
        <w:spacing w:line="420" w:lineRule="exact"/>
        <w:ind w:firstLine="480" w:firstLineChars="200"/>
        <w:rPr>
          <w:rFonts w:hAnsi="楷体"/>
          <w:kern w:val="0"/>
        </w:rPr>
      </w:pPr>
      <w:r>
        <w:rPr>
          <w:rFonts w:hint="eastAsia" w:hAnsi="楷体"/>
          <w:kern w:val="0"/>
        </w:rPr>
        <w:t>f . 边坡及土石方工程开挖后，破坏的原地形要有绿色覆盖措施。</w:t>
      </w:r>
    </w:p>
    <w:p>
      <w:pPr>
        <w:pStyle w:val="28"/>
        <w:spacing w:beforeLines="50" w:afterLines="50" w:line="420" w:lineRule="exact"/>
        <w:rPr>
          <w:szCs w:val="28"/>
        </w:rPr>
      </w:pPr>
      <w:bookmarkStart w:id="5919" w:name="_Toc3821"/>
      <w:bookmarkStart w:id="5920" w:name="_Toc14355"/>
      <w:bookmarkStart w:id="5921" w:name="_Toc288491654"/>
      <w:bookmarkStart w:id="5922" w:name="_Toc4681"/>
      <w:bookmarkStart w:id="5923" w:name="_Toc282779129"/>
      <w:bookmarkStart w:id="5924" w:name="_Toc20776"/>
      <w:bookmarkStart w:id="5925" w:name="_Toc25312"/>
      <w:bookmarkStart w:id="5926" w:name="_Toc287853478"/>
      <w:bookmarkStart w:id="5927" w:name="_Toc27256"/>
      <w:bookmarkStart w:id="5928" w:name="_Toc10874"/>
      <w:bookmarkStart w:id="5929" w:name="_Toc26394"/>
      <w:bookmarkStart w:id="5930" w:name="_Toc19431"/>
      <w:bookmarkStart w:id="5931" w:name="_Toc3601"/>
      <w:bookmarkStart w:id="5932" w:name="_Toc4665"/>
      <w:bookmarkStart w:id="5933" w:name="_Toc282779638"/>
      <w:bookmarkStart w:id="5934" w:name="_Toc4106"/>
      <w:bookmarkStart w:id="5935" w:name="_Toc19366"/>
      <w:bookmarkStart w:id="5936" w:name="_Toc4576"/>
      <w:bookmarkStart w:id="5937" w:name="_Toc9645"/>
      <w:bookmarkStart w:id="5938" w:name="_Toc27816"/>
      <w:bookmarkStart w:id="5939" w:name="_Toc11323"/>
      <w:bookmarkStart w:id="5940" w:name="_Toc288546778"/>
      <w:bookmarkStart w:id="5941" w:name="_Toc282787584"/>
      <w:bookmarkStart w:id="5942" w:name="_Toc24577"/>
      <w:bookmarkStart w:id="5943" w:name="_Toc283794326"/>
      <w:r>
        <w:rPr>
          <w:rFonts w:hint="eastAsia"/>
          <w:szCs w:val="28"/>
        </w:rPr>
        <w:t>10．进度计划</w:t>
      </w:r>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p>
    <w:p>
      <w:pPr>
        <w:pStyle w:val="7"/>
        <w:spacing w:before="120" w:after="120" w:line="420" w:lineRule="exact"/>
        <w:ind w:firstLine="241" w:firstLineChars="100"/>
        <w:rPr>
          <w:rFonts w:ascii="黑体"/>
          <w:b w:val="0"/>
          <w:sz w:val="24"/>
          <w:szCs w:val="24"/>
        </w:rPr>
      </w:pPr>
      <w:bookmarkStart w:id="5944" w:name="_Toc282787585"/>
      <w:r>
        <w:rPr>
          <w:rFonts w:ascii="Times New Roman" w:hAnsi="Times New Roman"/>
          <w:sz w:val="24"/>
          <w:szCs w:val="24"/>
        </w:rPr>
        <w:t>10.1</w:t>
      </w:r>
      <w:r>
        <w:rPr>
          <w:rFonts w:hint="eastAsia" w:ascii="黑体"/>
          <w:b w:val="0"/>
          <w:sz w:val="24"/>
          <w:szCs w:val="24"/>
        </w:rPr>
        <w:t>合同进度计划</w:t>
      </w:r>
      <w:bookmarkEnd w:id="5944"/>
    </w:p>
    <w:p>
      <w:pPr>
        <w:spacing w:line="360" w:lineRule="exact"/>
        <w:ind w:firstLine="480" w:firstLineChars="200"/>
        <w:rPr>
          <w:rFonts w:ascii="宋体" w:hAnsi="宋体"/>
          <w:sz w:val="24"/>
        </w:rPr>
      </w:pPr>
      <w:r>
        <w:rPr>
          <w:rFonts w:hint="eastAsia" w:ascii="宋体" w:hAnsi="宋体"/>
          <w:sz w:val="24"/>
        </w:rPr>
        <w:t>本款补充：</w:t>
      </w:r>
    </w:p>
    <w:p>
      <w:pPr>
        <w:spacing w:line="360" w:lineRule="exact"/>
        <w:ind w:firstLine="480" w:firstLineChars="200"/>
        <w:rPr>
          <w:sz w:val="24"/>
        </w:rPr>
      </w:pPr>
      <w:r>
        <w:rPr>
          <w:rFonts w:hAnsi="楷体"/>
          <w:sz w:val="24"/>
        </w:rPr>
        <w:t>承包人编制养护工程作业方案的内容：</w:t>
      </w:r>
    </w:p>
    <w:p>
      <w:pPr>
        <w:spacing w:line="420" w:lineRule="exact"/>
        <w:ind w:firstLine="480" w:firstLineChars="200"/>
        <w:rPr>
          <w:sz w:val="24"/>
        </w:rPr>
      </w:pPr>
      <w:r>
        <w:rPr>
          <w:rFonts w:hAnsi="楷体"/>
          <w:sz w:val="24"/>
        </w:rPr>
        <w:t>（</w:t>
      </w:r>
      <w:r>
        <w:rPr>
          <w:sz w:val="24"/>
        </w:rPr>
        <w:t>1</w:t>
      </w:r>
      <w:r>
        <w:rPr>
          <w:rFonts w:hAnsi="楷体"/>
          <w:sz w:val="24"/>
        </w:rPr>
        <w:t>）养护工程的施工组织、现场布置；</w:t>
      </w:r>
    </w:p>
    <w:p>
      <w:pPr>
        <w:spacing w:line="420" w:lineRule="exact"/>
        <w:ind w:firstLine="480" w:firstLineChars="200"/>
        <w:rPr>
          <w:sz w:val="24"/>
        </w:rPr>
      </w:pPr>
      <w:r>
        <w:rPr>
          <w:rFonts w:hAnsi="楷体"/>
          <w:sz w:val="24"/>
        </w:rPr>
        <w:t>（</w:t>
      </w:r>
      <w:r>
        <w:rPr>
          <w:sz w:val="24"/>
        </w:rPr>
        <w:t>2</w:t>
      </w:r>
      <w:r>
        <w:rPr>
          <w:rFonts w:hAnsi="楷体"/>
          <w:sz w:val="24"/>
        </w:rPr>
        <w:t>）养护工程计划；</w:t>
      </w:r>
    </w:p>
    <w:p>
      <w:pPr>
        <w:spacing w:line="420" w:lineRule="exact"/>
        <w:ind w:firstLine="480" w:firstLineChars="200"/>
        <w:rPr>
          <w:sz w:val="24"/>
        </w:rPr>
      </w:pPr>
      <w:r>
        <w:rPr>
          <w:rFonts w:hAnsi="楷体"/>
          <w:sz w:val="24"/>
        </w:rPr>
        <w:t>（</w:t>
      </w:r>
      <w:r>
        <w:rPr>
          <w:sz w:val="24"/>
        </w:rPr>
        <w:t>3</w:t>
      </w:r>
      <w:r>
        <w:rPr>
          <w:rFonts w:hAnsi="楷体"/>
          <w:sz w:val="24"/>
        </w:rPr>
        <w:t>）劳动力、机械设备、材料的供应及资金流量计划；</w:t>
      </w:r>
    </w:p>
    <w:p>
      <w:pPr>
        <w:spacing w:line="420" w:lineRule="exact"/>
        <w:ind w:firstLine="480" w:firstLineChars="200"/>
        <w:rPr>
          <w:sz w:val="24"/>
        </w:rPr>
      </w:pPr>
      <w:r>
        <w:rPr>
          <w:rFonts w:hAnsi="楷体"/>
          <w:sz w:val="24"/>
        </w:rPr>
        <w:t>（</w:t>
      </w:r>
      <w:r>
        <w:rPr>
          <w:sz w:val="24"/>
        </w:rPr>
        <w:t>4</w:t>
      </w:r>
      <w:r>
        <w:rPr>
          <w:rFonts w:hAnsi="楷体"/>
          <w:sz w:val="24"/>
        </w:rPr>
        <w:t>）大中修养护工程的技术措施和</w:t>
      </w:r>
      <w:r>
        <w:rPr>
          <w:rFonts w:hint="eastAsia" w:hAnsi="楷体"/>
          <w:sz w:val="24"/>
        </w:rPr>
        <w:t>保施工道路畅通</w:t>
      </w:r>
      <w:r>
        <w:rPr>
          <w:rFonts w:hAnsi="楷体"/>
          <w:sz w:val="24"/>
        </w:rPr>
        <w:t>方案；</w:t>
      </w:r>
    </w:p>
    <w:p>
      <w:pPr>
        <w:spacing w:line="420" w:lineRule="exact"/>
        <w:ind w:firstLine="960" w:firstLineChars="400"/>
        <w:rPr>
          <w:sz w:val="24"/>
        </w:rPr>
      </w:pPr>
      <w:r>
        <w:rPr>
          <w:sz w:val="24"/>
        </w:rPr>
        <w:t>a</w:t>
      </w:r>
      <w:r>
        <w:rPr>
          <w:rFonts w:hAnsi="楷体"/>
          <w:sz w:val="24"/>
        </w:rPr>
        <w:t>．施工现场临时用电方案；</w:t>
      </w:r>
    </w:p>
    <w:p>
      <w:pPr>
        <w:spacing w:line="420" w:lineRule="exact"/>
        <w:ind w:firstLine="960" w:firstLineChars="400"/>
        <w:rPr>
          <w:sz w:val="24"/>
        </w:rPr>
      </w:pPr>
      <w:r>
        <w:rPr>
          <w:sz w:val="24"/>
        </w:rPr>
        <w:t>b</w:t>
      </w:r>
      <w:r>
        <w:rPr>
          <w:rFonts w:hAnsi="楷体"/>
          <w:sz w:val="24"/>
        </w:rPr>
        <w:t>．对下列危险性较大的养护作业应当编制专项施工方案：</w:t>
      </w:r>
    </w:p>
    <w:p>
      <w:pPr>
        <w:spacing w:line="420" w:lineRule="exact"/>
        <w:ind w:firstLine="960" w:firstLineChars="400"/>
        <w:rPr>
          <w:sz w:val="24"/>
        </w:rPr>
      </w:pPr>
      <w:r>
        <w:rPr>
          <w:sz w:val="24"/>
        </w:rPr>
        <w:t>① 不良地质条件下有潜在危险性的土方、石方开挖</w:t>
      </w:r>
    </w:p>
    <w:p>
      <w:pPr>
        <w:spacing w:line="420" w:lineRule="exact"/>
        <w:ind w:firstLine="960" w:firstLineChars="400"/>
        <w:rPr>
          <w:sz w:val="24"/>
        </w:rPr>
      </w:pPr>
      <w:r>
        <w:rPr>
          <w:sz w:val="24"/>
        </w:rPr>
        <w:t>② 滑坡和高边坡处理</w:t>
      </w:r>
    </w:p>
    <w:p>
      <w:pPr>
        <w:spacing w:line="420" w:lineRule="exact"/>
        <w:ind w:firstLine="960" w:firstLineChars="400"/>
        <w:rPr>
          <w:sz w:val="24"/>
        </w:rPr>
      </w:pPr>
      <w:r>
        <w:rPr>
          <w:sz w:val="24"/>
        </w:rPr>
        <w:t>⑤ 大型临时工程中的大型支架、模板、便桥的架设与拆除</w:t>
      </w:r>
    </w:p>
    <w:p>
      <w:pPr>
        <w:spacing w:line="420" w:lineRule="exact"/>
        <w:ind w:firstLine="960" w:firstLineChars="400"/>
        <w:rPr>
          <w:sz w:val="24"/>
        </w:rPr>
      </w:pPr>
      <w:r>
        <w:rPr>
          <w:sz w:val="24"/>
        </w:rPr>
        <w:t>⑦ 其它危险性较大的养护作业</w:t>
      </w:r>
    </w:p>
    <w:p>
      <w:pPr>
        <w:spacing w:line="420" w:lineRule="exact"/>
        <w:ind w:firstLine="480" w:firstLineChars="200"/>
        <w:rPr>
          <w:sz w:val="24"/>
        </w:rPr>
      </w:pPr>
      <w:r>
        <w:rPr>
          <w:rFonts w:hAnsi="楷体"/>
          <w:sz w:val="24"/>
        </w:rPr>
        <w:t>（</w:t>
      </w:r>
      <w:r>
        <w:rPr>
          <w:sz w:val="24"/>
        </w:rPr>
        <w:t>5</w:t>
      </w:r>
      <w:r>
        <w:rPr>
          <w:rFonts w:hAnsi="楷体"/>
          <w:sz w:val="24"/>
        </w:rPr>
        <w:t>）质量、安全保证体系；</w:t>
      </w:r>
    </w:p>
    <w:p>
      <w:pPr>
        <w:spacing w:line="420" w:lineRule="exact"/>
        <w:ind w:firstLine="480" w:firstLineChars="200"/>
        <w:rPr>
          <w:sz w:val="24"/>
        </w:rPr>
      </w:pPr>
      <w:r>
        <w:rPr>
          <w:rFonts w:hAnsi="楷体"/>
          <w:sz w:val="24"/>
        </w:rPr>
        <w:t>（</w:t>
      </w:r>
      <w:r>
        <w:rPr>
          <w:sz w:val="24"/>
        </w:rPr>
        <w:t>6</w:t>
      </w:r>
      <w:r>
        <w:rPr>
          <w:rFonts w:hAnsi="楷体"/>
          <w:sz w:val="24"/>
        </w:rPr>
        <w:t>）环境保护措施；</w:t>
      </w:r>
    </w:p>
    <w:p>
      <w:pPr>
        <w:spacing w:line="420" w:lineRule="exact"/>
        <w:ind w:firstLine="480" w:firstLineChars="200"/>
        <w:rPr>
          <w:sz w:val="24"/>
        </w:rPr>
      </w:pPr>
      <w:r>
        <w:rPr>
          <w:rFonts w:hAnsi="楷体"/>
          <w:sz w:val="24"/>
        </w:rPr>
        <w:t>（</w:t>
      </w:r>
      <w:r>
        <w:rPr>
          <w:sz w:val="24"/>
        </w:rPr>
        <w:t>7</w:t>
      </w:r>
      <w:r>
        <w:rPr>
          <w:rFonts w:hAnsi="楷体"/>
          <w:sz w:val="24"/>
        </w:rPr>
        <w:t>）其它应说明的事项。</w:t>
      </w:r>
    </w:p>
    <w:p>
      <w:pPr>
        <w:pStyle w:val="28"/>
        <w:spacing w:beforeLines="50" w:afterLines="50" w:line="420" w:lineRule="exact"/>
        <w:rPr>
          <w:szCs w:val="28"/>
        </w:rPr>
      </w:pPr>
      <w:bookmarkStart w:id="5945" w:name="_Toc13946"/>
      <w:bookmarkStart w:id="5946" w:name="_Toc282779130"/>
      <w:bookmarkStart w:id="5947" w:name="_Toc288491655"/>
      <w:bookmarkStart w:id="5948" w:name="_Toc19208"/>
      <w:bookmarkStart w:id="5949" w:name="_Toc23653"/>
      <w:bookmarkStart w:id="5950" w:name="_Toc26935"/>
      <w:bookmarkStart w:id="5951" w:name="_Toc1722"/>
      <w:bookmarkStart w:id="5952" w:name="_Toc14709"/>
      <w:bookmarkStart w:id="5953" w:name="_Toc283794327"/>
      <w:bookmarkStart w:id="5954" w:name="_Toc18145"/>
      <w:bookmarkStart w:id="5955" w:name="_Toc2713"/>
      <w:bookmarkStart w:id="5956" w:name="_Toc26167"/>
      <w:bookmarkStart w:id="5957" w:name="_Toc21371"/>
      <w:bookmarkStart w:id="5958" w:name="_Toc27791"/>
      <w:bookmarkStart w:id="5959" w:name="_Toc5139"/>
      <w:bookmarkStart w:id="5960" w:name="_Toc282787586"/>
      <w:bookmarkStart w:id="5961" w:name="_Toc6746"/>
      <w:bookmarkStart w:id="5962" w:name="_Toc28731"/>
      <w:bookmarkStart w:id="5963" w:name="_Toc282779639"/>
      <w:bookmarkStart w:id="5964" w:name="_Toc8493"/>
      <w:bookmarkStart w:id="5965" w:name="_Toc1050"/>
      <w:bookmarkStart w:id="5966" w:name="_Toc9406"/>
      <w:bookmarkStart w:id="5967" w:name="_Toc19354"/>
      <w:bookmarkStart w:id="5968" w:name="_Toc287853479"/>
      <w:r>
        <w:rPr>
          <w:rFonts w:hint="eastAsia"/>
          <w:szCs w:val="28"/>
        </w:rPr>
        <w:t>11．开工和交工</w:t>
      </w:r>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p>
    <w:p>
      <w:pPr>
        <w:pStyle w:val="7"/>
        <w:spacing w:before="120" w:after="120" w:line="420" w:lineRule="exact"/>
        <w:ind w:firstLine="241" w:firstLineChars="100"/>
        <w:rPr>
          <w:rFonts w:ascii="黑体"/>
          <w:b w:val="0"/>
          <w:sz w:val="24"/>
          <w:szCs w:val="24"/>
        </w:rPr>
      </w:pPr>
      <w:bookmarkStart w:id="5969" w:name="_Toc282787587"/>
      <w:r>
        <w:rPr>
          <w:rFonts w:ascii="Times New Roman" w:hAnsi="Times New Roman" w:eastAsia="楷体_GB2312"/>
          <w:sz w:val="24"/>
          <w:szCs w:val="24"/>
        </w:rPr>
        <w:t>11.4</w:t>
      </w:r>
      <w:r>
        <w:rPr>
          <w:rFonts w:hint="eastAsia" w:ascii="黑体"/>
          <w:b w:val="0"/>
          <w:sz w:val="24"/>
          <w:szCs w:val="24"/>
        </w:rPr>
        <w:t xml:space="preserve"> 异常恶劣的气候条件</w:t>
      </w:r>
      <w:bookmarkEnd w:id="5969"/>
    </w:p>
    <w:p>
      <w:pPr>
        <w:spacing w:line="420" w:lineRule="exact"/>
        <w:ind w:firstLine="480" w:firstLineChars="200"/>
        <w:rPr>
          <w:rFonts w:hAnsi="宋体"/>
          <w:sz w:val="24"/>
        </w:rPr>
      </w:pPr>
      <w:r>
        <w:rPr>
          <w:rFonts w:hint="eastAsia"/>
          <w:sz w:val="24"/>
        </w:rPr>
        <w:t>本款补充异常恶劣的气候条件为</w:t>
      </w:r>
      <w:r>
        <w:rPr>
          <w:rFonts w:hint="eastAsia" w:hAnsi="宋体"/>
          <w:sz w:val="24"/>
        </w:rPr>
        <w:t>：</w:t>
      </w:r>
    </w:p>
    <w:p>
      <w:pPr>
        <w:spacing w:line="420" w:lineRule="exact"/>
        <w:ind w:firstLine="480" w:firstLineChars="200"/>
        <w:rPr>
          <w:sz w:val="24"/>
        </w:rPr>
      </w:pPr>
      <w:r>
        <w:rPr>
          <w:rFonts w:hAnsi="楷体"/>
          <w:sz w:val="24"/>
        </w:rPr>
        <w:t>（</w:t>
      </w:r>
      <w:r>
        <w:rPr>
          <w:sz w:val="24"/>
        </w:rPr>
        <w:t>1</w:t>
      </w:r>
      <w:r>
        <w:rPr>
          <w:rFonts w:hAnsi="楷体"/>
          <w:sz w:val="24"/>
        </w:rPr>
        <w:t>）持续高温：连续三日日最高气温</w:t>
      </w:r>
      <w:r>
        <w:rPr>
          <w:sz w:val="24"/>
        </w:rPr>
        <w:t>38</w:t>
      </w:r>
      <w:r>
        <w:rPr>
          <w:rFonts w:ascii="楷体" w:hAnsi="楷体"/>
          <w:sz w:val="24"/>
        </w:rPr>
        <w:t>℃</w:t>
      </w:r>
      <w:r>
        <w:rPr>
          <w:rFonts w:hAnsi="楷体"/>
          <w:sz w:val="24"/>
        </w:rPr>
        <w:t>以上；</w:t>
      </w:r>
    </w:p>
    <w:p>
      <w:pPr>
        <w:spacing w:line="420" w:lineRule="exact"/>
        <w:ind w:firstLine="480" w:firstLineChars="200"/>
        <w:rPr>
          <w:sz w:val="24"/>
        </w:rPr>
      </w:pPr>
      <w:r>
        <w:rPr>
          <w:rFonts w:hAnsi="楷体"/>
          <w:sz w:val="24"/>
        </w:rPr>
        <w:t>（</w:t>
      </w:r>
      <w:r>
        <w:rPr>
          <w:sz w:val="24"/>
        </w:rPr>
        <w:t>2</w:t>
      </w:r>
      <w:r>
        <w:rPr>
          <w:rFonts w:hAnsi="楷体"/>
          <w:sz w:val="24"/>
        </w:rPr>
        <w:t>）持续低温：连续三日日最高气温</w:t>
      </w:r>
      <w:r>
        <w:rPr>
          <w:sz w:val="24"/>
        </w:rPr>
        <w:t>-20</w:t>
      </w:r>
      <w:r>
        <w:rPr>
          <w:rFonts w:ascii="楷体" w:hAnsi="楷体"/>
          <w:sz w:val="24"/>
        </w:rPr>
        <w:t>℃</w:t>
      </w:r>
      <w:r>
        <w:rPr>
          <w:rFonts w:hAnsi="楷体"/>
          <w:sz w:val="24"/>
        </w:rPr>
        <w:t>以下；</w:t>
      </w:r>
    </w:p>
    <w:p>
      <w:pPr>
        <w:spacing w:line="420" w:lineRule="exact"/>
        <w:ind w:firstLine="480" w:firstLineChars="200"/>
        <w:rPr>
          <w:sz w:val="24"/>
        </w:rPr>
      </w:pPr>
      <w:r>
        <w:rPr>
          <w:rFonts w:hAnsi="楷体"/>
          <w:sz w:val="24"/>
        </w:rPr>
        <w:t>（</w:t>
      </w:r>
      <w:r>
        <w:rPr>
          <w:sz w:val="24"/>
        </w:rPr>
        <w:t>3</w:t>
      </w:r>
      <w:r>
        <w:rPr>
          <w:rFonts w:hAnsi="楷体"/>
          <w:sz w:val="24"/>
        </w:rPr>
        <w:t>）暴雨天气：日降雨量</w:t>
      </w:r>
      <w:r>
        <w:rPr>
          <w:sz w:val="24"/>
        </w:rPr>
        <w:t>50mm</w:t>
      </w:r>
      <w:r>
        <w:rPr>
          <w:rFonts w:hAnsi="楷体"/>
          <w:sz w:val="24"/>
        </w:rPr>
        <w:t>，雨日超过</w:t>
      </w:r>
      <w:r>
        <w:rPr>
          <w:sz w:val="24"/>
        </w:rPr>
        <w:t>1</w:t>
      </w:r>
      <w:r>
        <w:rPr>
          <w:rFonts w:hAnsi="楷体"/>
          <w:sz w:val="24"/>
        </w:rPr>
        <w:t>天及以上，或降雨强度大于</w:t>
      </w:r>
      <w:r>
        <w:rPr>
          <w:sz w:val="24"/>
        </w:rPr>
        <w:t>20mm/h</w:t>
      </w:r>
      <w:r>
        <w:rPr>
          <w:rFonts w:hAnsi="楷体"/>
          <w:sz w:val="24"/>
        </w:rPr>
        <w:t>；</w:t>
      </w:r>
    </w:p>
    <w:p>
      <w:pPr>
        <w:spacing w:line="420" w:lineRule="exact"/>
        <w:ind w:firstLine="480" w:firstLineChars="200"/>
        <w:rPr>
          <w:sz w:val="24"/>
        </w:rPr>
      </w:pPr>
      <w:r>
        <w:rPr>
          <w:rFonts w:hAnsi="楷体"/>
          <w:sz w:val="24"/>
        </w:rPr>
        <w:t>（</w:t>
      </w:r>
      <w:r>
        <w:rPr>
          <w:sz w:val="24"/>
        </w:rPr>
        <w:t>4</w:t>
      </w:r>
      <w:r>
        <w:rPr>
          <w:rFonts w:hAnsi="楷体"/>
          <w:sz w:val="24"/>
        </w:rPr>
        <w:t>）大风天气：日风力在</w:t>
      </w:r>
      <w:r>
        <w:rPr>
          <w:sz w:val="24"/>
        </w:rPr>
        <w:t>6</w:t>
      </w:r>
      <w:r>
        <w:rPr>
          <w:rFonts w:hAnsi="楷体"/>
          <w:sz w:val="24"/>
        </w:rPr>
        <w:t>级以上且持续时间不少于</w:t>
      </w:r>
      <w:r>
        <w:rPr>
          <w:sz w:val="24"/>
        </w:rPr>
        <w:t>4</w:t>
      </w:r>
      <w:r>
        <w:rPr>
          <w:rFonts w:hAnsi="楷体"/>
          <w:sz w:val="24"/>
        </w:rPr>
        <w:t>小时，或阵风大于</w:t>
      </w:r>
      <w:r>
        <w:rPr>
          <w:sz w:val="24"/>
        </w:rPr>
        <w:t>8</w:t>
      </w:r>
      <w:r>
        <w:rPr>
          <w:rFonts w:hAnsi="楷体"/>
          <w:sz w:val="24"/>
        </w:rPr>
        <w:t>级以上台风灾害；</w:t>
      </w:r>
    </w:p>
    <w:p>
      <w:pPr>
        <w:spacing w:line="420" w:lineRule="exact"/>
        <w:ind w:firstLine="480" w:firstLineChars="200"/>
        <w:rPr>
          <w:sz w:val="24"/>
        </w:rPr>
      </w:pPr>
      <w:r>
        <w:rPr>
          <w:rFonts w:hAnsi="楷体"/>
          <w:sz w:val="24"/>
        </w:rPr>
        <w:t>（</w:t>
      </w:r>
      <w:r>
        <w:rPr>
          <w:sz w:val="24"/>
        </w:rPr>
        <w:t>5</w:t>
      </w:r>
      <w:r>
        <w:rPr>
          <w:rFonts w:hAnsi="楷体"/>
          <w:sz w:val="24"/>
        </w:rPr>
        <w:t>）造成工程损坏的冰雹和大雪灾害：日降雪量</w:t>
      </w:r>
      <w:r>
        <w:rPr>
          <w:sz w:val="24"/>
        </w:rPr>
        <w:t>10mm</w:t>
      </w:r>
      <w:r>
        <w:rPr>
          <w:rFonts w:hAnsi="楷体"/>
          <w:sz w:val="24"/>
        </w:rPr>
        <w:t>及以上；</w:t>
      </w:r>
    </w:p>
    <w:p>
      <w:pPr>
        <w:spacing w:line="420" w:lineRule="exact"/>
        <w:ind w:firstLine="480" w:firstLineChars="200"/>
        <w:rPr>
          <w:sz w:val="24"/>
        </w:rPr>
      </w:pPr>
      <w:r>
        <w:rPr>
          <w:rFonts w:hAnsi="楷体"/>
          <w:sz w:val="24"/>
        </w:rPr>
        <w:t>（</w:t>
      </w:r>
      <w:r>
        <w:rPr>
          <w:sz w:val="24"/>
        </w:rPr>
        <w:t>6</w:t>
      </w:r>
      <w:r>
        <w:rPr>
          <w:rFonts w:hAnsi="楷体"/>
          <w:sz w:val="24"/>
        </w:rPr>
        <w:t>）水淹：施工场地大部或全部被潮水、洪水或雨水淹没超过</w:t>
      </w:r>
      <w:r>
        <w:rPr>
          <w:sz w:val="24"/>
        </w:rPr>
        <w:t>1</w:t>
      </w:r>
      <w:r>
        <w:rPr>
          <w:rFonts w:hAnsi="楷体"/>
          <w:sz w:val="24"/>
        </w:rPr>
        <w:t>天；</w:t>
      </w:r>
    </w:p>
    <w:p>
      <w:pPr>
        <w:spacing w:line="420" w:lineRule="exact"/>
        <w:ind w:firstLine="480" w:firstLineChars="200"/>
        <w:rPr>
          <w:sz w:val="24"/>
        </w:rPr>
      </w:pPr>
      <w:r>
        <w:rPr>
          <w:rFonts w:hAnsi="楷体"/>
          <w:sz w:val="24"/>
        </w:rPr>
        <w:t>（</w:t>
      </w:r>
      <w:r>
        <w:rPr>
          <w:sz w:val="24"/>
        </w:rPr>
        <w:t>7</w:t>
      </w:r>
      <w:r>
        <w:rPr>
          <w:rFonts w:hAnsi="楷体"/>
          <w:sz w:val="24"/>
        </w:rPr>
        <w:t>）其它异常恶劣气候灾害。</w:t>
      </w:r>
    </w:p>
    <w:p>
      <w:pPr>
        <w:spacing w:line="420" w:lineRule="exact"/>
        <w:ind w:firstLine="480" w:firstLineChars="200"/>
        <w:rPr>
          <w:rFonts w:hAnsi="楷体"/>
          <w:sz w:val="24"/>
        </w:rPr>
      </w:pPr>
      <w:r>
        <w:rPr>
          <w:rFonts w:hAnsi="楷体"/>
          <w:sz w:val="24"/>
        </w:rPr>
        <w:t>异常恶劣的气候数据以养护工程所在地气象部门资料为准。</w:t>
      </w:r>
    </w:p>
    <w:p>
      <w:pPr>
        <w:pStyle w:val="28"/>
        <w:spacing w:beforeLines="50" w:afterLines="50" w:line="420" w:lineRule="exact"/>
        <w:rPr>
          <w:szCs w:val="28"/>
        </w:rPr>
      </w:pPr>
      <w:r>
        <w:rPr>
          <w:szCs w:val="28"/>
        </w:rPr>
        <w:t xml:space="preserve">12. </w:t>
      </w:r>
      <w:r>
        <w:rPr>
          <w:rFonts w:hint="eastAsia"/>
          <w:szCs w:val="28"/>
        </w:rPr>
        <w:t>暂停施工</w:t>
      </w:r>
    </w:p>
    <w:p>
      <w:pPr>
        <w:pStyle w:val="27"/>
        <w:spacing w:beforeLines="50" w:afterLines="50" w:line="420" w:lineRule="exact"/>
        <w:rPr>
          <w:szCs w:val="24"/>
        </w:rPr>
      </w:pPr>
      <w:r>
        <w:rPr>
          <w:rFonts w:hint="eastAsia"/>
          <w:b/>
          <w:szCs w:val="24"/>
        </w:rPr>
        <w:t>12.1</w:t>
      </w:r>
      <w:r>
        <w:rPr>
          <w:rFonts w:hint="eastAsia"/>
          <w:szCs w:val="24"/>
        </w:rPr>
        <w:t xml:space="preserve">  承包人暂停施工的责任</w:t>
      </w:r>
    </w:p>
    <w:p>
      <w:pPr>
        <w:spacing w:line="420" w:lineRule="exact"/>
        <w:ind w:firstLine="480" w:firstLineChars="200"/>
        <w:rPr>
          <w:sz w:val="24"/>
        </w:rPr>
      </w:pPr>
      <w:r>
        <w:rPr>
          <w:rFonts w:hint="eastAsia"/>
          <w:sz w:val="24"/>
        </w:rPr>
        <w:t>因下列暂停施工增加的费用和（或）工期延误由承包人承担：</w:t>
      </w:r>
    </w:p>
    <w:p>
      <w:pPr>
        <w:spacing w:line="420" w:lineRule="exact"/>
        <w:ind w:firstLine="480" w:firstLineChars="200"/>
        <w:rPr>
          <w:sz w:val="24"/>
        </w:rPr>
      </w:pPr>
      <w:r>
        <w:rPr>
          <w:rFonts w:hint="eastAsia"/>
          <w:sz w:val="24"/>
        </w:rPr>
        <w:t>（1）承包人违约引起的暂停施工；</w:t>
      </w:r>
    </w:p>
    <w:p>
      <w:pPr>
        <w:spacing w:line="420" w:lineRule="exact"/>
        <w:ind w:firstLine="480" w:firstLineChars="200"/>
        <w:rPr>
          <w:sz w:val="24"/>
        </w:rPr>
      </w:pPr>
      <w:r>
        <w:rPr>
          <w:rFonts w:hint="eastAsia"/>
          <w:sz w:val="24"/>
        </w:rPr>
        <w:t>（2）由于承包人原因为工程合理施工和安全保障所必需的暂停施工；</w:t>
      </w:r>
    </w:p>
    <w:p>
      <w:pPr>
        <w:spacing w:line="420" w:lineRule="exact"/>
        <w:ind w:firstLine="480" w:firstLineChars="200"/>
        <w:rPr>
          <w:sz w:val="24"/>
        </w:rPr>
      </w:pPr>
      <w:r>
        <w:rPr>
          <w:rFonts w:hint="eastAsia"/>
          <w:sz w:val="24"/>
        </w:rPr>
        <w:t>（3）承包人擅自暂停施工；</w:t>
      </w:r>
    </w:p>
    <w:p>
      <w:pPr>
        <w:spacing w:line="420" w:lineRule="exact"/>
        <w:ind w:firstLine="480" w:firstLineChars="200"/>
        <w:rPr>
          <w:sz w:val="24"/>
        </w:rPr>
      </w:pPr>
      <w:r>
        <w:rPr>
          <w:rFonts w:hint="eastAsia"/>
          <w:sz w:val="24"/>
        </w:rPr>
        <w:t>（4）承包人其它原因引起的暂停施工；</w:t>
      </w:r>
    </w:p>
    <w:p>
      <w:pPr>
        <w:spacing w:line="420" w:lineRule="exact"/>
        <w:ind w:firstLine="480" w:firstLineChars="200"/>
        <w:rPr>
          <w:sz w:val="24"/>
        </w:rPr>
      </w:pPr>
      <w:r>
        <w:rPr>
          <w:rFonts w:hint="eastAsia"/>
          <w:sz w:val="24"/>
        </w:rPr>
        <w:t>（5）现场气候条件导致的必要停工（第11.4款规定的异常恶劣的气候条件除外）；</w:t>
      </w:r>
    </w:p>
    <w:p>
      <w:pPr>
        <w:spacing w:line="420" w:lineRule="exact"/>
        <w:ind w:firstLine="480" w:firstLineChars="200"/>
        <w:rPr>
          <w:sz w:val="24"/>
        </w:rPr>
      </w:pPr>
      <w:r>
        <w:rPr>
          <w:rFonts w:hint="eastAsia"/>
          <w:sz w:val="24"/>
        </w:rPr>
        <w:t>（6）项目专用合同条款可能约定的由承包人承担的其它暂停施工。</w:t>
      </w:r>
    </w:p>
    <w:p>
      <w:pPr>
        <w:spacing w:line="420" w:lineRule="exact"/>
        <w:ind w:firstLine="480" w:firstLineChars="200"/>
        <w:rPr>
          <w:rFonts w:hAnsi="楷体"/>
          <w:sz w:val="24"/>
        </w:rPr>
      </w:pPr>
    </w:p>
    <w:p>
      <w:pPr>
        <w:spacing w:line="420" w:lineRule="exact"/>
        <w:ind w:firstLine="482" w:firstLineChars="200"/>
        <w:rPr>
          <w:b/>
          <w:sz w:val="24"/>
        </w:rPr>
      </w:pPr>
      <w:r>
        <w:rPr>
          <w:rFonts w:hint="eastAsia"/>
          <w:b/>
          <w:sz w:val="24"/>
        </w:rPr>
        <w:t>12.2  发包人暂停施工的责任</w:t>
      </w:r>
    </w:p>
    <w:p>
      <w:pPr>
        <w:spacing w:line="420" w:lineRule="exact"/>
        <w:ind w:firstLine="480" w:firstLineChars="200"/>
        <w:rPr>
          <w:sz w:val="24"/>
        </w:rPr>
      </w:pPr>
      <w:r>
        <w:rPr>
          <w:rFonts w:hint="eastAsia"/>
          <w:sz w:val="24"/>
        </w:rPr>
        <w:t>由于发包人原因引起的暂停施工造成工期延误的，承包人有权要求发包人延长工期和（或）增加费用，并支付合理利润。</w:t>
      </w:r>
    </w:p>
    <w:p>
      <w:pPr>
        <w:pStyle w:val="28"/>
        <w:spacing w:beforeLines="50" w:afterLines="50" w:line="420" w:lineRule="exact"/>
        <w:rPr>
          <w:szCs w:val="28"/>
        </w:rPr>
      </w:pPr>
      <w:bookmarkStart w:id="5970" w:name="_Toc287853481"/>
      <w:bookmarkStart w:id="5971" w:name="_Toc24445"/>
      <w:bookmarkStart w:id="5972" w:name="_Toc17438"/>
      <w:bookmarkStart w:id="5973" w:name="_Toc25835"/>
      <w:bookmarkStart w:id="5974" w:name="_Toc28155"/>
      <w:bookmarkStart w:id="5975" w:name="_Toc282787591"/>
      <w:bookmarkStart w:id="5976" w:name="_Toc6720"/>
      <w:bookmarkStart w:id="5977" w:name="_Toc32376"/>
      <w:bookmarkStart w:id="5978" w:name="_Toc19693"/>
      <w:bookmarkStart w:id="5979" w:name="_Toc6966"/>
      <w:bookmarkStart w:id="5980" w:name="_Toc25313"/>
      <w:bookmarkStart w:id="5981" w:name="_Toc240724136"/>
      <w:bookmarkStart w:id="5982" w:name="_Toc288491657"/>
      <w:bookmarkStart w:id="5983" w:name="_Toc18596"/>
      <w:bookmarkStart w:id="5984" w:name="_Toc17742"/>
      <w:bookmarkStart w:id="5985" w:name="_Toc5003"/>
      <w:bookmarkStart w:id="5986" w:name="_Toc29556"/>
      <w:bookmarkStart w:id="5987" w:name="_Toc16661"/>
      <w:bookmarkStart w:id="5988" w:name="_Toc2066"/>
      <w:bookmarkStart w:id="5989" w:name="_Toc282779132"/>
      <w:bookmarkStart w:id="5990" w:name="_Toc283794329"/>
      <w:bookmarkStart w:id="5991" w:name="_Toc20540"/>
      <w:bookmarkStart w:id="5992" w:name="_Toc26153"/>
      <w:bookmarkStart w:id="5993" w:name="_Toc288546781"/>
      <w:bookmarkStart w:id="5994" w:name="_Toc282779641"/>
      <w:bookmarkStart w:id="5995" w:name="_Toc240883731"/>
      <w:bookmarkStart w:id="5996" w:name="_Toc15172"/>
      <w:r>
        <w:rPr>
          <w:rFonts w:hint="eastAsia"/>
          <w:szCs w:val="28"/>
        </w:rPr>
        <w:t>13.  工程质量</w:t>
      </w:r>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p>
    <w:p>
      <w:pPr>
        <w:spacing w:beforeLines="50" w:afterLines="50" w:line="420" w:lineRule="exact"/>
        <w:ind w:firstLine="241" w:firstLineChars="100"/>
        <w:outlineLvl w:val="0"/>
        <w:rPr>
          <w:rFonts w:ascii="黑体" w:eastAsia="黑体"/>
          <w:sz w:val="24"/>
        </w:rPr>
      </w:pPr>
      <w:bookmarkStart w:id="5997" w:name="_Toc287853482"/>
      <w:bookmarkStart w:id="5998" w:name="_Toc288546782"/>
      <w:bookmarkStart w:id="5999" w:name="_Toc13190"/>
      <w:bookmarkStart w:id="6000" w:name="_Toc23735"/>
      <w:bookmarkStart w:id="6001" w:name="_Toc240724138"/>
      <w:bookmarkStart w:id="6002" w:name="_Toc17994"/>
      <w:bookmarkStart w:id="6003" w:name="_Toc3519"/>
      <w:bookmarkStart w:id="6004" w:name="_Toc15210"/>
      <w:bookmarkStart w:id="6005" w:name="_Toc2002"/>
      <w:bookmarkStart w:id="6006" w:name="_Toc9503"/>
      <w:bookmarkStart w:id="6007" w:name="_Toc30888"/>
      <w:bookmarkStart w:id="6008" w:name="_Toc29828"/>
      <w:bookmarkStart w:id="6009" w:name="_Toc282779133"/>
      <w:bookmarkStart w:id="6010" w:name="_Toc282787592"/>
      <w:bookmarkStart w:id="6011" w:name="_Toc29827"/>
      <w:bookmarkStart w:id="6012" w:name="_Toc23055"/>
      <w:bookmarkStart w:id="6013" w:name="_Toc20949"/>
      <w:bookmarkStart w:id="6014" w:name="_Toc21822"/>
      <w:bookmarkStart w:id="6015" w:name="_Toc26539"/>
      <w:bookmarkStart w:id="6016" w:name="_Toc283794330"/>
      <w:bookmarkStart w:id="6017" w:name="_Toc23095"/>
      <w:bookmarkStart w:id="6018" w:name="_Toc288491658"/>
      <w:bookmarkStart w:id="6019" w:name="_Toc282779642"/>
      <w:bookmarkStart w:id="6020" w:name="_Toc240883733"/>
      <w:bookmarkStart w:id="6021" w:name="_Toc10982"/>
      <w:bookmarkStart w:id="6022" w:name="_Toc11712"/>
      <w:bookmarkStart w:id="6023" w:name="_Toc24068"/>
      <w:r>
        <w:rPr>
          <w:rFonts w:hint="eastAsia"/>
          <w:b/>
          <w:sz w:val="24"/>
        </w:rPr>
        <w:t>13.7</w:t>
      </w:r>
      <w:r>
        <w:rPr>
          <w:rFonts w:hint="eastAsia" w:ascii="黑体" w:eastAsia="黑体"/>
          <w:sz w:val="24"/>
        </w:rPr>
        <w:t>质量抽检</w:t>
      </w:r>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p>
    <w:p>
      <w:pPr>
        <w:spacing w:line="420" w:lineRule="exact"/>
        <w:ind w:firstLine="480" w:firstLineChars="200"/>
        <w:rPr>
          <w:sz w:val="24"/>
        </w:rPr>
      </w:pPr>
      <w:bookmarkStart w:id="6024" w:name="_Toc240883734"/>
      <w:bookmarkStart w:id="6025" w:name="_Toc238550388"/>
      <w:bookmarkStart w:id="6026" w:name="_Toc240724139"/>
      <w:r>
        <w:rPr>
          <w:rFonts w:hint="eastAsia"/>
          <w:sz w:val="24"/>
        </w:rPr>
        <w:t>第13.7款补充：</w:t>
      </w:r>
      <w:bookmarkEnd w:id="6024"/>
      <w:bookmarkEnd w:id="6025"/>
      <w:bookmarkEnd w:id="6026"/>
    </w:p>
    <w:p>
      <w:pPr>
        <w:spacing w:line="420" w:lineRule="exact"/>
        <w:ind w:firstLine="480" w:firstLineChars="200"/>
        <w:rPr>
          <w:sz w:val="24"/>
        </w:rPr>
      </w:pPr>
      <w:r>
        <w:rPr>
          <w:rFonts w:hAnsi="楷体"/>
          <w:sz w:val="24"/>
        </w:rPr>
        <w:t>省、市交通工程质量监督机构和业主有权对承包人施工质量随时进行抽检，并通过监理人对工程质量实施否决，承包人应积极配合并免费提供试验用的试件。</w:t>
      </w:r>
    </w:p>
    <w:p>
      <w:pPr>
        <w:pStyle w:val="28"/>
        <w:spacing w:beforeLines="50" w:afterLines="50" w:line="420" w:lineRule="exact"/>
        <w:rPr>
          <w:szCs w:val="28"/>
        </w:rPr>
      </w:pPr>
      <w:bookmarkStart w:id="6027" w:name="_Toc13838"/>
      <w:bookmarkStart w:id="6028" w:name="_Toc18384"/>
      <w:bookmarkStart w:id="6029" w:name="_Toc19525"/>
      <w:bookmarkStart w:id="6030" w:name="_Toc19149"/>
      <w:bookmarkStart w:id="6031" w:name="_Toc288491659"/>
      <w:bookmarkStart w:id="6032" w:name="_Toc27369"/>
      <w:bookmarkStart w:id="6033" w:name="_Toc6607"/>
      <w:bookmarkStart w:id="6034" w:name="_Toc32110"/>
      <w:bookmarkStart w:id="6035" w:name="_Toc282787593"/>
      <w:bookmarkStart w:id="6036" w:name="_Toc18567"/>
      <w:bookmarkStart w:id="6037" w:name="_Toc29123"/>
      <w:bookmarkStart w:id="6038" w:name="_Toc27618"/>
      <w:bookmarkStart w:id="6039" w:name="_Toc283794331"/>
      <w:bookmarkStart w:id="6040" w:name="_Toc17475"/>
      <w:bookmarkStart w:id="6041" w:name="_Toc23687"/>
      <w:bookmarkStart w:id="6042" w:name="_Toc30432"/>
      <w:bookmarkStart w:id="6043" w:name="_Toc25016"/>
      <w:bookmarkStart w:id="6044" w:name="_Toc282779134"/>
      <w:bookmarkStart w:id="6045" w:name="_Toc22782"/>
      <w:bookmarkStart w:id="6046" w:name="_Toc287853483"/>
      <w:bookmarkStart w:id="6047" w:name="_Toc6030"/>
      <w:bookmarkStart w:id="6048" w:name="_Toc20626"/>
      <w:bookmarkStart w:id="6049" w:name="_Toc288546783"/>
      <w:bookmarkStart w:id="6050" w:name="_Toc282779643"/>
      <w:bookmarkStart w:id="6051" w:name="_Toc9357"/>
      <w:r>
        <w:rPr>
          <w:rFonts w:hint="eastAsia"/>
          <w:szCs w:val="28"/>
        </w:rPr>
        <w:t>16．价格调整</w:t>
      </w:r>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p>
    <w:p>
      <w:pPr>
        <w:pStyle w:val="7"/>
        <w:spacing w:before="120" w:after="120" w:line="420" w:lineRule="exact"/>
        <w:ind w:firstLine="241" w:firstLineChars="100"/>
        <w:rPr>
          <w:rFonts w:ascii="黑体"/>
          <w:b w:val="0"/>
          <w:sz w:val="24"/>
          <w:szCs w:val="24"/>
        </w:rPr>
      </w:pPr>
      <w:bookmarkStart w:id="6052" w:name="_Toc282787594"/>
      <w:r>
        <w:rPr>
          <w:rStyle w:val="29"/>
          <w:rFonts w:ascii="Times New Roman" w:hAnsi="Times New Roman" w:eastAsia="楷体_GB2312"/>
          <w:b/>
          <w:bCs/>
          <w:sz w:val="24"/>
          <w:szCs w:val="24"/>
        </w:rPr>
        <w:t>1</w:t>
      </w:r>
      <w:r>
        <w:rPr>
          <w:rStyle w:val="29"/>
          <w:rFonts w:hint="eastAsia" w:ascii="Times New Roman" w:hAnsi="Times New Roman" w:eastAsia="楷体_GB2312"/>
          <w:b/>
          <w:bCs/>
          <w:sz w:val="24"/>
          <w:szCs w:val="24"/>
        </w:rPr>
        <w:t>6.1</w:t>
      </w:r>
      <w:r>
        <w:rPr>
          <w:rFonts w:hint="eastAsia" w:ascii="黑体"/>
          <w:b w:val="0"/>
          <w:sz w:val="24"/>
          <w:szCs w:val="24"/>
        </w:rPr>
        <w:t xml:space="preserve">  物价波动引起的价格调整</w:t>
      </w:r>
      <w:bookmarkEnd w:id="6052"/>
    </w:p>
    <w:p>
      <w:pPr>
        <w:spacing w:beforeLines="50" w:afterLines="50" w:line="500" w:lineRule="exact"/>
        <w:ind w:firstLine="420" w:firstLineChars="200"/>
        <w:outlineLvl w:val="0"/>
        <w:rPr>
          <w:rFonts w:ascii="宋体" w:hAnsi="宋体"/>
        </w:rPr>
      </w:pPr>
      <w:bookmarkStart w:id="6053" w:name="_Toc28222"/>
      <w:bookmarkStart w:id="6054" w:name="_Toc288546784"/>
      <w:bookmarkStart w:id="6055" w:name="_Toc240724142"/>
      <w:bookmarkStart w:id="6056" w:name="_Toc13992"/>
      <w:bookmarkStart w:id="6057" w:name="_Toc28787"/>
      <w:bookmarkStart w:id="6058" w:name="_Toc9186"/>
      <w:bookmarkStart w:id="6059" w:name="_Toc2930"/>
      <w:bookmarkStart w:id="6060" w:name="_Toc13411"/>
      <w:bookmarkStart w:id="6061" w:name="_Toc18337"/>
      <w:bookmarkStart w:id="6062" w:name="_Toc5509"/>
      <w:bookmarkStart w:id="6063" w:name="_Toc20119"/>
      <w:bookmarkStart w:id="6064" w:name="_Toc14661"/>
      <w:bookmarkStart w:id="6065" w:name="_Toc9509"/>
      <w:bookmarkStart w:id="6066" w:name="_Toc282787595"/>
      <w:bookmarkStart w:id="6067" w:name="_Toc282779644"/>
      <w:bookmarkStart w:id="6068" w:name="_Toc283794332"/>
      <w:bookmarkStart w:id="6069" w:name="_Toc28730"/>
      <w:bookmarkStart w:id="6070" w:name="_Toc240883737"/>
      <w:bookmarkStart w:id="6071" w:name="_Toc15201"/>
      <w:bookmarkStart w:id="6072" w:name="_Toc282779135"/>
      <w:bookmarkStart w:id="6073" w:name="_Toc13301"/>
      <w:bookmarkStart w:id="6074" w:name="_Toc13462"/>
      <w:bookmarkStart w:id="6075" w:name="_Toc288491660"/>
      <w:bookmarkStart w:id="6076" w:name="_Toc287853484"/>
      <w:bookmarkStart w:id="6077" w:name="_Toc27425"/>
      <w:bookmarkStart w:id="6078" w:name="_Toc16894"/>
      <w:bookmarkStart w:id="6079" w:name="_Toc32546"/>
      <w:r>
        <w:rPr>
          <w:rFonts w:hint="eastAsia" w:ascii="宋体" w:hAnsi="宋体"/>
        </w:rPr>
        <w:t>在合同执行期间，不予调价。</w:t>
      </w:r>
    </w:p>
    <w:p>
      <w:pPr>
        <w:spacing w:beforeLines="50" w:afterLines="50" w:line="500" w:lineRule="exact"/>
        <w:outlineLvl w:val="0"/>
        <w:rPr>
          <w:rFonts w:ascii="黑体" w:eastAsia="黑体"/>
          <w:sz w:val="24"/>
        </w:rPr>
      </w:pPr>
      <w:r>
        <w:rPr>
          <w:rFonts w:hint="eastAsia"/>
          <w:b/>
          <w:sz w:val="24"/>
        </w:rPr>
        <w:t>17．</w:t>
      </w:r>
      <w:r>
        <w:rPr>
          <w:rFonts w:hint="eastAsia" w:ascii="黑体" w:eastAsia="黑体"/>
          <w:sz w:val="24"/>
        </w:rPr>
        <w:t>计量与支付</w:t>
      </w:r>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p>
    <w:p>
      <w:pPr>
        <w:spacing w:beforeLines="50" w:afterLines="50" w:line="500" w:lineRule="exact"/>
        <w:ind w:firstLine="241" w:firstLineChars="100"/>
        <w:outlineLvl w:val="0"/>
        <w:rPr>
          <w:b/>
          <w:sz w:val="24"/>
        </w:rPr>
      </w:pPr>
      <w:bookmarkStart w:id="6080" w:name="_Toc13365"/>
      <w:bookmarkStart w:id="6081" w:name="_Toc282779645"/>
      <w:bookmarkStart w:id="6082" w:name="_Toc20499"/>
      <w:bookmarkStart w:id="6083" w:name="_Toc22807"/>
      <w:bookmarkStart w:id="6084" w:name="_Toc29567"/>
      <w:bookmarkStart w:id="6085" w:name="_Toc13377"/>
      <w:bookmarkStart w:id="6086" w:name="_Toc288546785"/>
      <w:bookmarkStart w:id="6087" w:name="_Toc3067"/>
      <w:bookmarkStart w:id="6088" w:name="_Toc288491661"/>
      <w:bookmarkStart w:id="6089" w:name="_Toc240724143"/>
      <w:bookmarkStart w:id="6090" w:name="_Toc22789"/>
      <w:bookmarkStart w:id="6091" w:name="_Toc320"/>
      <w:bookmarkStart w:id="6092" w:name="_Toc14344"/>
      <w:bookmarkStart w:id="6093" w:name="_Toc282779136"/>
      <w:bookmarkStart w:id="6094" w:name="_Toc12932"/>
      <w:bookmarkStart w:id="6095" w:name="_Toc6740"/>
      <w:bookmarkStart w:id="6096" w:name="_Toc7240"/>
      <w:bookmarkStart w:id="6097" w:name="_Toc240883738"/>
      <w:bookmarkStart w:id="6098" w:name="_Toc21848"/>
      <w:bookmarkStart w:id="6099" w:name="_Toc19545"/>
      <w:bookmarkStart w:id="6100" w:name="_Toc239488083"/>
      <w:bookmarkStart w:id="6101" w:name="_Toc23467"/>
      <w:bookmarkStart w:id="6102" w:name="_Toc8730"/>
      <w:bookmarkStart w:id="6103" w:name="_Toc17032"/>
      <w:bookmarkStart w:id="6104" w:name="_Toc28834"/>
      <w:bookmarkStart w:id="6105" w:name="_Toc287853485"/>
      <w:bookmarkStart w:id="6106" w:name="_Toc282787596"/>
      <w:bookmarkStart w:id="6107" w:name="_Toc283794333"/>
      <w:r>
        <w:rPr>
          <w:rFonts w:hint="eastAsia"/>
          <w:b/>
          <w:sz w:val="24"/>
        </w:rPr>
        <w:t xml:space="preserve">17.2  </w:t>
      </w:r>
      <w:r>
        <w:rPr>
          <w:rFonts w:hint="eastAsia" w:ascii="黑体" w:eastAsia="黑体"/>
          <w:b/>
          <w:sz w:val="24"/>
        </w:rPr>
        <w:t>预付款</w:t>
      </w:r>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p>
    <w:p>
      <w:pPr>
        <w:pStyle w:val="27"/>
        <w:spacing w:beforeLines="50" w:afterLines="50" w:line="420" w:lineRule="exact"/>
        <w:ind w:firstLine="210" w:firstLineChars="100"/>
        <w:rPr>
          <w:rFonts w:ascii="宋体" w:hAnsi="宋体" w:eastAsia="宋体" w:cs="Times New Roman"/>
          <w:sz w:val="21"/>
          <w:szCs w:val="24"/>
        </w:rPr>
      </w:pPr>
      <w:bookmarkStart w:id="6108" w:name="_Toc10131"/>
      <w:bookmarkStart w:id="6109" w:name="_Toc29098"/>
      <w:bookmarkStart w:id="6110" w:name="_Toc22855"/>
      <w:bookmarkStart w:id="6111" w:name="_Toc5486"/>
      <w:bookmarkStart w:id="6112" w:name="_Toc1216"/>
      <w:r>
        <w:rPr>
          <w:rFonts w:hint="eastAsia" w:ascii="宋体" w:hAnsi="宋体" w:eastAsia="宋体" w:cs="Times New Roman"/>
          <w:sz w:val="21"/>
          <w:szCs w:val="24"/>
        </w:rPr>
        <w:t>17.2.1  预付款</w:t>
      </w:r>
    </w:p>
    <w:p>
      <w:pPr>
        <w:pStyle w:val="27"/>
        <w:spacing w:beforeLines="50" w:afterLines="50" w:line="420" w:lineRule="exact"/>
        <w:ind w:firstLine="210" w:firstLineChars="100"/>
        <w:rPr>
          <w:rFonts w:ascii="宋体" w:hAnsi="宋体" w:eastAsia="宋体" w:cs="Times New Roman"/>
          <w:sz w:val="21"/>
          <w:szCs w:val="24"/>
        </w:rPr>
      </w:pPr>
      <w:r>
        <w:rPr>
          <w:rFonts w:hint="eastAsia" w:ascii="宋体" w:hAnsi="宋体" w:eastAsia="宋体" w:cs="Times New Roman"/>
          <w:sz w:val="21"/>
          <w:szCs w:val="24"/>
        </w:rPr>
        <w:t>本项原内容后补充：</w:t>
      </w:r>
    </w:p>
    <w:p>
      <w:pPr>
        <w:spacing w:line="400" w:lineRule="exact"/>
        <w:ind w:firstLine="435"/>
        <w:rPr>
          <w:rFonts w:ascii="宋体" w:hAnsi="宋体"/>
        </w:rPr>
      </w:pPr>
      <w:r>
        <w:rPr>
          <w:rFonts w:hint="eastAsia" w:ascii="宋体" w:hAnsi="宋体"/>
        </w:rPr>
        <w:t>通用合同条款第补充17.2.1（1）、（2）、（3）项细化为：</w:t>
      </w:r>
    </w:p>
    <w:p>
      <w:pPr>
        <w:numPr>
          <w:ilvl w:val="0"/>
          <w:numId w:val="8"/>
        </w:numPr>
        <w:spacing w:line="500" w:lineRule="exact"/>
        <w:ind w:firstLine="482"/>
        <w:rPr>
          <w:rFonts w:hAnsi="楷体"/>
          <w:b/>
          <w:bCs/>
          <w:sz w:val="24"/>
        </w:rPr>
      </w:pPr>
      <w:r>
        <w:rPr>
          <w:rFonts w:hint="eastAsia" w:hAnsi="楷体"/>
          <w:b/>
          <w:bCs/>
          <w:sz w:val="24"/>
        </w:rPr>
        <w:t>“开工预付款”</w:t>
      </w:r>
      <w:r>
        <w:rPr>
          <w:rFonts w:hAnsi="楷体"/>
          <w:b/>
          <w:bCs/>
          <w:sz w:val="24"/>
        </w:rPr>
        <w:t xml:space="preserve">支付比例为合同价的 </w:t>
      </w:r>
      <w:r>
        <w:rPr>
          <w:rFonts w:hint="eastAsia" w:hAnsi="楷体"/>
          <w:b/>
          <w:bCs/>
          <w:sz w:val="24"/>
        </w:rPr>
        <w:t>30</w:t>
      </w:r>
      <w:r>
        <w:rPr>
          <w:rFonts w:hAnsi="楷体"/>
          <w:b/>
          <w:bCs/>
          <w:sz w:val="24"/>
        </w:rPr>
        <w:t>%，</w:t>
      </w:r>
      <w:r>
        <w:rPr>
          <w:rFonts w:hAnsi="楷体"/>
          <w:sz w:val="24"/>
        </w:rPr>
        <w:t>在合同签署后</w:t>
      </w:r>
      <w:r>
        <w:rPr>
          <w:rFonts w:hint="eastAsia" w:hAnsi="楷体"/>
          <w:sz w:val="24"/>
        </w:rPr>
        <w:t>并提交预付款发票后7天内一次性</w:t>
      </w:r>
      <w:r>
        <w:rPr>
          <w:rFonts w:hAnsi="楷体"/>
          <w:sz w:val="24"/>
        </w:rPr>
        <w:t>支付</w:t>
      </w:r>
      <w:r>
        <w:rPr>
          <w:rFonts w:hint="eastAsia" w:hAnsi="楷体"/>
          <w:sz w:val="24"/>
        </w:rPr>
        <w:t>（</w:t>
      </w:r>
      <w:r>
        <w:rPr>
          <w:rFonts w:hAnsi="楷体"/>
          <w:spacing w:val="-4"/>
          <w:sz w:val="24"/>
        </w:rPr>
        <w:t>扣除合同价的</w:t>
      </w:r>
      <w:r>
        <w:rPr>
          <w:rFonts w:hint="eastAsia"/>
          <w:spacing w:val="-4"/>
          <w:sz w:val="24"/>
        </w:rPr>
        <w:t>1</w:t>
      </w:r>
      <w:r>
        <w:rPr>
          <w:rFonts w:hAnsi="楷体"/>
          <w:spacing w:val="-4"/>
          <w:sz w:val="24"/>
        </w:rPr>
        <w:t>％</w:t>
      </w:r>
      <w:r>
        <w:rPr>
          <w:rFonts w:hint="eastAsia" w:hAnsi="楷体"/>
          <w:sz w:val="24"/>
        </w:rPr>
        <w:t>）；</w:t>
      </w:r>
    </w:p>
    <w:p>
      <w:pPr>
        <w:spacing w:line="500" w:lineRule="exact"/>
        <w:ind w:firstLine="480" w:firstLineChars="200"/>
        <w:jc w:val="left"/>
        <w:rPr>
          <w:rFonts w:hAnsi="楷体"/>
          <w:sz w:val="24"/>
        </w:rPr>
      </w:pPr>
      <w:r>
        <w:rPr>
          <w:rFonts w:hint="eastAsia" w:hAnsi="楷体"/>
          <w:sz w:val="24"/>
        </w:rPr>
        <w:t>承包人不得将该预付款用于与本工程无关的支出，发包人有权监督承包人对该项费用的使用，如经查实承包人滥用开工预付款，发包人有权立即将该款收回。</w:t>
      </w:r>
    </w:p>
    <w:p>
      <w:pPr>
        <w:spacing w:line="500" w:lineRule="exact"/>
        <w:ind w:firstLine="480" w:firstLineChars="200"/>
        <w:jc w:val="left"/>
        <w:rPr>
          <w:rFonts w:hAnsi="楷体"/>
          <w:sz w:val="24"/>
        </w:rPr>
      </w:pPr>
      <w:r>
        <w:rPr>
          <w:rFonts w:hint="eastAsia" w:hAnsi="楷体"/>
          <w:sz w:val="24"/>
        </w:rPr>
        <w:t>（2）材料、设备预付款比例：本项目不适用。</w:t>
      </w:r>
    </w:p>
    <w:p>
      <w:pPr>
        <w:spacing w:line="500" w:lineRule="exact"/>
        <w:ind w:firstLine="480" w:firstLineChars="200"/>
        <w:jc w:val="left"/>
        <w:rPr>
          <w:rFonts w:hAnsi="楷体"/>
          <w:sz w:val="24"/>
        </w:rPr>
      </w:pPr>
      <w:r>
        <w:rPr>
          <w:rFonts w:hint="eastAsia" w:hAnsi="楷体"/>
          <w:sz w:val="24"/>
        </w:rPr>
        <w:t>（3）预付款的扣回与还清：开工预付款为进度付款的组成部分，在本工程实施过程中无需扣回。</w:t>
      </w:r>
    </w:p>
    <w:p>
      <w:pPr>
        <w:pStyle w:val="27"/>
        <w:spacing w:beforeLines="50" w:afterLines="50" w:line="420" w:lineRule="exact"/>
        <w:ind w:firstLine="241" w:firstLineChars="100"/>
        <w:jc w:val="left"/>
        <w:rPr>
          <w:b/>
          <w:szCs w:val="24"/>
        </w:rPr>
      </w:pPr>
      <w:bookmarkStart w:id="6113" w:name="_Toc2114"/>
      <w:bookmarkStart w:id="6114" w:name="_Toc8043"/>
      <w:bookmarkStart w:id="6115" w:name="_Toc704"/>
      <w:r>
        <w:rPr>
          <w:rFonts w:hint="eastAsia"/>
          <w:b/>
          <w:szCs w:val="24"/>
        </w:rPr>
        <w:t>17.2  预付款保函（本项目不适用）</w:t>
      </w:r>
      <w:bookmarkEnd w:id="6113"/>
      <w:bookmarkEnd w:id="6114"/>
      <w:bookmarkEnd w:id="6115"/>
    </w:p>
    <w:p>
      <w:pPr>
        <w:pStyle w:val="27"/>
        <w:spacing w:beforeLines="50" w:afterLines="50" w:line="420" w:lineRule="exact"/>
        <w:ind w:firstLine="241" w:firstLineChars="100"/>
        <w:rPr>
          <w:b/>
          <w:szCs w:val="24"/>
        </w:rPr>
      </w:pPr>
      <w:r>
        <w:rPr>
          <w:rFonts w:hint="eastAsia"/>
          <w:b/>
          <w:szCs w:val="24"/>
        </w:rPr>
        <w:t>17.3  工程进度付款</w:t>
      </w:r>
    </w:p>
    <w:p>
      <w:pPr>
        <w:spacing w:line="400" w:lineRule="exact"/>
        <w:ind w:firstLine="435"/>
      </w:pPr>
      <w:r>
        <w:rPr>
          <w:rFonts w:hint="eastAsia" w:ascii="宋体" w:hAnsi="宋体"/>
        </w:rPr>
        <w:t>通用合同条款第补充17.3.3项细化为：</w:t>
      </w:r>
    </w:p>
    <w:p>
      <w:pPr>
        <w:spacing w:line="500" w:lineRule="exact"/>
        <w:ind w:firstLine="480" w:firstLineChars="200"/>
        <w:rPr>
          <w:rFonts w:hAnsi="楷体"/>
          <w:sz w:val="24"/>
        </w:rPr>
      </w:pPr>
      <w:r>
        <w:rPr>
          <w:rFonts w:hint="eastAsia" w:hAnsi="楷体"/>
          <w:sz w:val="24"/>
        </w:rPr>
        <w:t>本项目在实施过程中，当施工形象进度完成至70%工程量时开始计量签证。工程验收合格</w:t>
      </w:r>
      <w:r>
        <w:rPr>
          <w:rFonts w:hAnsi="楷体"/>
          <w:sz w:val="24"/>
        </w:rPr>
        <w:t>后</w:t>
      </w:r>
      <w:r>
        <w:rPr>
          <w:rFonts w:hint="eastAsia" w:hAnsi="楷体"/>
          <w:sz w:val="24"/>
        </w:rPr>
        <w:t>7</w:t>
      </w:r>
      <w:r>
        <w:rPr>
          <w:rFonts w:hAnsi="楷体"/>
          <w:sz w:val="24"/>
        </w:rPr>
        <w:t>个日历天内，</w:t>
      </w:r>
      <w:r>
        <w:rPr>
          <w:rFonts w:hint="eastAsia" w:hAnsi="楷体"/>
          <w:sz w:val="24"/>
        </w:rPr>
        <w:t>支付至签约合同价的90%</w:t>
      </w:r>
      <w:r>
        <w:rPr>
          <w:rFonts w:hAnsi="楷体"/>
          <w:sz w:val="24"/>
        </w:rPr>
        <w:t>给承包人。</w:t>
      </w:r>
    </w:p>
    <w:p>
      <w:pPr>
        <w:spacing w:line="500" w:lineRule="exact"/>
        <w:ind w:firstLine="480" w:firstLineChars="200"/>
        <w:rPr>
          <w:rFonts w:hAnsi="楷体"/>
          <w:sz w:val="24"/>
        </w:rPr>
      </w:pPr>
      <w:r>
        <w:rPr>
          <w:rFonts w:hAnsi="楷体"/>
          <w:sz w:val="24"/>
        </w:rPr>
        <w:t>发包人不按期支付的，按专用合同条款的约定支付逾期付款违约金。违约金计算基数为发包人的全部未付款额，时间从应付而未付该款额之日算起（不计复利）。</w:t>
      </w:r>
    </w:p>
    <w:p>
      <w:pPr>
        <w:spacing w:line="400" w:lineRule="exact"/>
        <w:ind w:firstLine="435"/>
        <w:jc w:val="left"/>
        <w:rPr>
          <w:rFonts w:ascii="宋体" w:hAnsi="宋体"/>
        </w:rPr>
      </w:pPr>
      <w:r>
        <w:rPr>
          <w:rFonts w:hint="eastAsia" w:ascii="宋体" w:hAnsi="宋体"/>
        </w:rPr>
        <w:t>通用合同条款 17.3.3 项第（5）目细化为：</w:t>
      </w:r>
    </w:p>
    <w:p>
      <w:pPr>
        <w:spacing w:line="500" w:lineRule="exact"/>
        <w:ind w:firstLine="480" w:firstLineChars="200"/>
        <w:jc w:val="left"/>
      </w:pPr>
      <w:r>
        <w:rPr>
          <w:rFonts w:hAnsi="楷体"/>
          <w:sz w:val="24"/>
        </w:rPr>
        <w:t>（5）在</w:t>
      </w:r>
      <w:r>
        <w:rPr>
          <w:rFonts w:hint="eastAsia" w:hAnsi="楷体"/>
          <w:sz w:val="24"/>
        </w:rPr>
        <w:t>完工</w:t>
      </w:r>
      <w:r>
        <w:rPr>
          <w:rFonts w:hAnsi="楷体"/>
          <w:sz w:val="24"/>
        </w:rPr>
        <w:t>阶段保留</w:t>
      </w:r>
      <w:r>
        <w:rPr>
          <w:rFonts w:hint="eastAsia" w:hAnsi="楷体"/>
          <w:sz w:val="24"/>
        </w:rPr>
        <w:t>10</w:t>
      </w:r>
      <w:r>
        <w:rPr>
          <w:rFonts w:hAnsi="楷体"/>
          <w:sz w:val="24"/>
        </w:rPr>
        <w:t>％的工程款（不含质量保证金的扣留），以备支付工程结算核减等原因调整的工程款，工程结算审计完成后</w:t>
      </w:r>
      <w:r>
        <w:rPr>
          <w:rFonts w:hint="eastAsia" w:hAnsi="楷体"/>
          <w:sz w:val="24"/>
        </w:rPr>
        <w:t>7个工作日</w:t>
      </w:r>
      <w:r>
        <w:rPr>
          <w:rFonts w:hAnsi="楷体"/>
          <w:sz w:val="24"/>
        </w:rPr>
        <w:t>内支付到工程结算价的</w:t>
      </w:r>
      <w:r>
        <w:rPr>
          <w:rFonts w:hint="eastAsia" w:hAnsi="楷体"/>
          <w:sz w:val="24"/>
        </w:rPr>
        <w:t>100</w:t>
      </w:r>
      <w:r>
        <w:rPr>
          <w:rFonts w:hAnsi="楷体"/>
          <w:sz w:val="24"/>
        </w:rPr>
        <w:t>%。</w:t>
      </w:r>
      <w:r>
        <w:rPr>
          <w:rFonts w:hint="eastAsia" w:hAnsi="楷体"/>
          <w:sz w:val="24"/>
        </w:rPr>
        <w:t>（无质量问题的按实支付，有质量问题的结算款中扣除）</w:t>
      </w:r>
    </w:p>
    <w:p>
      <w:pPr>
        <w:pStyle w:val="27"/>
        <w:spacing w:beforeLines="50" w:afterLines="50" w:line="420" w:lineRule="exact"/>
        <w:ind w:firstLine="241" w:firstLineChars="100"/>
        <w:rPr>
          <w:szCs w:val="24"/>
        </w:rPr>
      </w:pPr>
      <w:bookmarkStart w:id="6116" w:name="_Toc23415"/>
      <w:bookmarkStart w:id="6117" w:name="_Toc17075"/>
      <w:bookmarkStart w:id="6118" w:name="_Toc20463"/>
      <w:bookmarkStart w:id="6119" w:name="_Toc18473"/>
      <w:bookmarkStart w:id="6120" w:name="_Toc25550"/>
      <w:r>
        <w:rPr>
          <w:rFonts w:hint="eastAsia"/>
          <w:b/>
          <w:szCs w:val="24"/>
        </w:rPr>
        <w:t>17.4</w:t>
      </w:r>
      <w:r>
        <w:rPr>
          <w:rFonts w:hint="eastAsia"/>
          <w:szCs w:val="24"/>
        </w:rPr>
        <w:t xml:space="preserve">  质量保证金</w:t>
      </w:r>
      <w:bookmarkEnd w:id="6116"/>
      <w:bookmarkEnd w:id="6117"/>
      <w:bookmarkEnd w:id="6118"/>
      <w:bookmarkEnd w:id="6119"/>
      <w:bookmarkEnd w:id="6120"/>
    </w:p>
    <w:p>
      <w:pPr>
        <w:pStyle w:val="2"/>
        <w:ind w:firstLine="480" w:firstLineChars="200"/>
      </w:pPr>
      <w:r>
        <w:rPr>
          <w:rFonts w:hAnsi="楷体"/>
        </w:rPr>
        <w:t>本项目无需缴纳质量保证金</w:t>
      </w:r>
      <w:r>
        <w:rPr>
          <w:rFonts w:hint="eastAsia" w:hAnsi="楷体" w:cs="Times New Roman"/>
        </w:rPr>
        <w:t>。</w:t>
      </w:r>
    </w:p>
    <w:bookmarkEnd w:id="6108"/>
    <w:bookmarkEnd w:id="6109"/>
    <w:bookmarkEnd w:id="6110"/>
    <w:bookmarkEnd w:id="6111"/>
    <w:bookmarkEnd w:id="6112"/>
    <w:p>
      <w:pPr>
        <w:pStyle w:val="28"/>
        <w:spacing w:beforeLines="50" w:afterLines="50" w:line="500" w:lineRule="exact"/>
        <w:rPr>
          <w:szCs w:val="28"/>
        </w:rPr>
      </w:pPr>
      <w:bookmarkStart w:id="6121" w:name="_Toc288491662"/>
      <w:bookmarkStart w:id="6122" w:name="_Toc31729"/>
      <w:bookmarkStart w:id="6123" w:name="_Toc282787597"/>
      <w:bookmarkStart w:id="6124" w:name="_Toc283794334"/>
      <w:bookmarkStart w:id="6125" w:name="_Toc3034"/>
      <w:bookmarkStart w:id="6126" w:name="_Toc11959"/>
      <w:bookmarkStart w:id="6127" w:name="_Toc287853486"/>
      <w:bookmarkStart w:id="6128" w:name="_Toc8608"/>
      <w:bookmarkStart w:id="6129" w:name="_Toc26697"/>
      <w:bookmarkStart w:id="6130" w:name="_Toc12217"/>
      <w:bookmarkStart w:id="6131" w:name="_Toc3195"/>
      <w:bookmarkStart w:id="6132" w:name="_Toc10966"/>
      <w:bookmarkStart w:id="6133" w:name="_Toc25179"/>
      <w:bookmarkStart w:id="6134" w:name="_Toc282779646"/>
      <w:bookmarkStart w:id="6135" w:name="_Toc17376"/>
      <w:bookmarkStart w:id="6136" w:name="_Toc19839"/>
      <w:bookmarkStart w:id="6137" w:name="_Toc8494"/>
      <w:bookmarkStart w:id="6138" w:name="_Toc282779137"/>
      <w:bookmarkStart w:id="6139" w:name="_Toc1226"/>
      <w:bookmarkStart w:id="6140" w:name="_Toc16503"/>
      <w:bookmarkStart w:id="6141" w:name="_Toc10814"/>
      <w:bookmarkStart w:id="6142" w:name="_Toc15304"/>
      <w:bookmarkStart w:id="6143" w:name="_Toc288546786"/>
      <w:bookmarkStart w:id="6144" w:name="_Toc652"/>
      <w:bookmarkStart w:id="6145" w:name="_Toc8031"/>
      <w:bookmarkStart w:id="6146" w:name="_Toc237744624"/>
      <w:bookmarkStart w:id="6147" w:name="_Toc237255140"/>
      <w:bookmarkStart w:id="6148" w:name="_Toc238550390"/>
      <w:r>
        <w:rPr>
          <w:rFonts w:hint="eastAsia"/>
          <w:szCs w:val="28"/>
        </w:rPr>
        <w:t>18．交（竣）工验收</w:t>
      </w:r>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p>
    <w:bookmarkEnd w:id="6146"/>
    <w:bookmarkEnd w:id="6147"/>
    <w:bookmarkEnd w:id="6148"/>
    <w:p>
      <w:pPr>
        <w:spacing w:line="500" w:lineRule="exact"/>
        <w:ind w:firstLine="480" w:firstLineChars="200"/>
        <w:rPr>
          <w:sz w:val="24"/>
        </w:rPr>
      </w:pPr>
      <w:r>
        <w:rPr>
          <w:rFonts w:hint="eastAsia"/>
          <w:sz w:val="24"/>
        </w:rPr>
        <w:t>本条补充第18.9款：</w:t>
      </w:r>
    </w:p>
    <w:p>
      <w:pPr>
        <w:pStyle w:val="7"/>
        <w:spacing w:before="0" w:after="0" w:line="500" w:lineRule="exact"/>
        <w:ind w:firstLine="241" w:firstLineChars="100"/>
        <w:rPr>
          <w:rFonts w:ascii="Times New Roman" w:hAnsi="Times New Roman"/>
          <w:sz w:val="24"/>
          <w:szCs w:val="24"/>
        </w:rPr>
      </w:pPr>
      <w:bookmarkStart w:id="6149" w:name="_Toc282787598"/>
      <w:r>
        <w:rPr>
          <w:rFonts w:hint="eastAsia" w:ascii="Times New Roman" w:hAnsi="Times New Roman"/>
          <w:sz w:val="24"/>
          <w:szCs w:val="24"/>
        </w:rPr>
        <w:t xml:space="preserve">18.9  </w:t>
      </w:r>
      <w:r>
        <w:rPr>
          <w:rFonts w:hint="eastAsia" w:ascii="Times New Roman" w:hAnsi="Times New Roman"/>
          <w:b w:val="0"/>
          <w:sz w:val="24"/>
          <w:szCs w:val="24"/>
        </w:rPr>
        <w:t>交（竣）工文件</w:t>
      </w:r>
      <w:bookmarkEnd w:id="6149"/>
    </w:p>
    <w:p>
      <w:pPr>
        <w:spacing w:line="500" w:lineRule="exact"/>
        <w:ind w:firstLine="480" w:firstLineChars="200"/>
        <w:rPr>
          <w:sz w:val="24"/>
        </w:rPr>
      </w:pPr>
      <w:r>
        <w:rPr>
          <w:rFonts w:hAnsi="楷体"/>
          <w:sz w:val="24"/>
        </w:rPr>
        <w:t>（</w:t>
      </w:r>
      <w:r>
        <w:rPr>
          <w:rFonts w:hint="eastAsia" w:hAnsi="楷体"/>
          <w:sz w:val="24"/>
        </w:rPr>
        <w:t>1</w:t>
      </w:r>
      <w:r>
        <w:rPr>
          <w:rFonts w:hAnsi="楷体"/>
          <w:sz w:val="24"/>
        </w:rPr>
        <w:t>）大中修养护工程承包人编制竣工文件，应按交通运输部</w:t>
      </w:r>
      <w:r>
        <w:rPr>
          <w:sz w:val="24"/>
        </w:rPr>
        <w:t xml:space="preserve"> [2004]3</w:t>
      </w:r>
      <w:r>
        <w:rPr>
          <w:rFonts w:hAnsi="楷体"/>
          <w:sz w:val="24"/>
        </w:rPr>
        <w:t>号令发布的《公路工程竣工验收办法》和浙江省交通运输厅《浙江省公路工程竣工决算编制办法》。承包人还应按交通运输部《交通基本建设项目竣工决算报告编制办法》的规定和要求编制（由他实施的部分）竣工决算一式六套，提交监理人审核，费用由承包人承担。竣工文件中涉及施工及监理文件的有关表式，承包人应按《浙江省公路建设项目施工统一用表管理系统》（光盘）和浙江省交通运输厅工程质量监督局检测中心规定的统一用表（光盘）选用。光盘由承包人自备。</w:t>
      </w:r>
    </w:p>
    <w:p>
      <w:pPr>
        <w:pStyle w:val="28"/>
        <w:spacing w:beforeLines="50" w:afterLines="50" w:line="500" w:lineRule="exact"/>
        <w:rPr>
          <w:szCs w:val="28"/>
        </w:rPr>
      </w:pPr>
      <w:bookmarkStart w:id="6150" w:name="_Toc288491663"/>
      <w:bookmarkStart w:id="6151" w:name="_Toc282787599"/>
      <w:bookmarkStart w:id="6152" w:name="_Toc22592"/>
      <w:bookmarkStart w:id="6153" w:name="_Toc283794335"/>
      <w:bookmarkStart w:id="6154" w:name="_Toc17378"/>
      <w:bookmarkStart w:id="6155" w:name="_Toc14945"/>
      <w:bookmarkStart w:id="6156" w:name="_Toc11806"/>
      <w:bookmarkStart w:id="6157" w:name="_Toc4995"/>
      <w:bookmarkStart w:id="6158" w:name="_Toc287853487"/>
      <w:bookmarkStart w:id="6159" w:name="_Toc16860"/>
      <w:bookmarkStart w:id="6160" w:name="_Toc1628"/>
      <w:bookmarkStart w:id="6161" w:name="_Toc282779138"/>
      <w:bookmarkStart w:id="6162" w:name="_Toc5157"/>
      <w:bookmarkStart w:id="6163" w:name="_Toc13456"/>
      <w:bookmarkStart w:id="6164" w:name="_Toc288546787"/>
      <w:bookmarkStart w:id="6165" w:name="_Toc29783"/>
      <w:bookmarkStart w:id="6166" w:name="_Toc16753"/>
      <w:bookmarkStart w:id="6167" w:name="_Toc2440"/>
      <w:bookmarkStart w:id="6168" w:name="_Toc23977"/>
      <w:bookmarkStart w:id="6169" w:name="_Toc1789"/>
      <w:bookmarkStart w:id="6170" w:name="_Toc7975"/>
      <w:bookmarkStart w:id="6171" w:name="_Toc282779647"/>
      <w:bookmarkStart w:id="6172" w:name="_Toc16221"/>
      <w:bookmarkStart w:id="6173" w:name="_Toc30168"/>
      <w:bookmarkStart w:id="6174" w:name="_Toc6828"/>
      <w:r>
        <w:rPr>
          <w:rFonts w:hint="eastAsia"/>
          <w:szCs w:val="28"/>
        </w:rPr>
        <w:t>20.  保险</w:t>
      </w:r>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p>
    <w:p>
      <w:pPr>
        <w:pStyle w:val="7"/>
        <w:spacing w:before="120" w:after="120" w:line="500" w:lineRule="exact"/>
        <w:rPr>
          <w:rFonts w:ascii="Times New Roman" w:hAnsi="Times New Roman"/>
          <w:sz w:val="24"/>
          <w:szCs w:val="24"/>
        </w:rPr>
      </w:pPr>
      <w:bookmarkStart w:id="6175" w:name="_Toc240883739"/>
      <w:bookmarkStart w:id="6176" w:name="_Toc240016210"/>
      <w:bookmarkStart w:id="6177" w:name="_Toc240724144"/>
      <w:bookmarkStart w:id="6178" w:name="_Toc282787600"/>
      <w:r>
        <w:rPr>
          <w:rFonts w:hint="eastAsia" w:ascii="Times New Roman" w:hAnsi="Times New Roman"/>
          <w:sz w:val="24"/>
          <w:szCs w:val="24"/>
        </w:rPr>
        <w:t xml:space="preserve">20.1  </w:t>
      </w:r>
      <w:r>
        <w:rPr>
          <w:rFonts w:hint="eastAsia" w:ascii="Times New Roman" w:hAnsi="Times New Roman"/>
          <w:b w:val="0"/>
          <w:sz w:val="24"/>
          <w:szCs w:val="24"/>
        </w:rPr>
        <w:t>工程保险</w:t>
      </w:r>
      <w:bookmarkEnd w:id="6175"/>
      <w:bookmarkEnd w:id="6176"/>
      <w:bookmarkEnd w:id="6177"/>
      <w:bookmarkEnd w:id="6178"/>
    </w:p>
    <w:p>
      <w:pPr>
        <w:spacing w:line="500" w:lineRule="exact"/>
        <w:ind w:firstLine="480" w:firstLineChars="200"/>
        <w:rPr>
          <w:sz w:val="24"/>
        </w:rPr>
      </w:pPr>
      <w:r>
        <w:rPr>
          <w:rFonts w:hint="eastAsia"/>
          <w:sz w:val="24"/>
        </w:rPr>
        <w:t>本款中的“保险金额”内容约定修改为：</w:t>
      </w:r>
    </w:p>
    <w:p>
      <w:pPr>
        <w:spacing w:line="500" w:lineRule="exact"/>
        <w:ind w:firstLine="480" w:firstLineChars="200"/>
        <w:rPr>
          <w:sz w:val="24"/>
        </w:rPr>
      </w:pPr>
      <w:r>
        <w:rPr>
          <w:rFonts w:hAnsi="楷体"/>
          <w:sz w:val="24"/>
        </w:rPr>
        <w:t>保险金额：工程量清单第</w:t>
      </w:r>
      <w:r>
        <w:rPr>
          <w:sz w:val="24"/>
        </w:rPr>
        <w:t>100</w:t>
      </w:r>
      <w:r>
        <w:rPr>
          <w:rFonts w:hAnsi="楷体"/>
          <w:sz w:val="24"/>
        </w:rPr>
        <w:t>章（不含建筑工程一切险、第三者责任险的保险费和安全生产费用）至700章的合计金额。</w:t>
      </w:r>
    </w:p>
    <w:p>
      <w:pPr>
        <w:pStyle w:val="7"/>
        <w:spacing w:before="120" w:after="120" w:line="500" w:lineRule="exact"/>
        <w:rPr>
          <w:rFonts w:ascii="Times New Roman" w:hAnsi="Times New Roman"/>
          <w:b w:val="0"/>
          <w:sz w:val="24"/>
          <w:szCs w:val="24"/>
        </w:rPr>
      </w:pPr>
      <w:bookmarkStart w:id="6179" w:name="_Toc282787601"/>
      <w:bookmarkStart w:id="6180" w:name="_Toc238550391"/>
      <w:bookmarkStart w:id="6181" w:name="_Toc240883740"/>
      <w:bookmarkStart w:id="6182" w:name="_Toc240724145"/>
      <w:r>
        <w:rPr>
          <w:rFonts w:hint="eastAsia" w:ascii="Times New Roman" w:hAnsi="Times New Roman"/>
          <w:sz w:val="24"/>
          <w:szCs w:val="24"/>
        </w:rPr>
        <w:t>20.6</w:t>
      </w:r>
      <w:r>
        <w:rPr>
          <w:rFonts w:hint="eastAsia" w:ascii="Times New Roman" w:hAnsi="Times New Roman"/>
          <w:b w:val="0"/>
          <w:sz w:val="24"/>
          <w:szCs w:val="24"/>
        </w:rPr>
        <w:t xml:space="preserve">  对各项保险的一般要求</w:t>
      </w:r>
      <w:bookmarkEnd w:id="6179"/>
      <w:bookmarkEnd w:id="6180"/>
      <w:bookmarkEnd w:id="6181"/>
      <w:bookmarkEnd w:id="6182"/>
    </w:p>
    <w:p>
      <w:pPr>
        <w:spacing w:line="500" w:lineRule="exact"/>
        <w:ind w:firstLine="480" w:firstLineChars="200"/>
        <w:rPr>
          <w:sz w:val="24"/>
        </w:rPr>
      </w:pPr>
      <w:r>
        <w:rPr>
          <w:rFonts w:hint="eastAsia"/>
          <w:sz w:val="24"/>
        </w:rPr>
        <w:t>20.6.1  保险凭证</w:t>
      </w:r>
    </w:p>
    <w:p>
      <w:pPr>
        <w:spacing w:line="500" w:lineRule="exact"/>
        <w:ind w:firstLine="480" w:firstLineChars="200"/>
        <w:rPr>
          <w:sz w:val="24"/>
        </w:rPr>
      </w:pPr>
      <w:r>
        <w:rPr>
          <w:rFonts w:hint="eastAsia"/>
          <w:sz w:val="24"/>
        </w:rPr>
        <w:t>本项约定为：</w:t>
      </w:r>
    </w:p>
    <w:p>
      <w:pPr>
        <w:spacing w:line="500" w:lineRule="exact"/>
        <w:ind w:firstLine="480" w:firstLineChars="200"/>
        <w:rPr>
          <w:sz w:val="24"/>
        </w:rPr>
      </w:pPr>
      <w:r>
        <w:rPr>
          <w:rFonts w:hAnsi="楷体"/>
          <w:sz w:val="24"/>
        </w:rPr>
        <w:t>承包人向发包人提交各项保险失效的证据和保险单副本的期限：开工后</w:t>
      </w:r>
      <w:r>
        <w:rPr>
          <w:sz w:val="24"/>
        </w:rPr>
        <w:t>28</w:t>
      </w:r>
      <w:r>
        <w:rPr>
          <w:rFonts w:hAnsi="楷体"/>
          <w:sz w:val="24"/>
        </w:rPr>
        <w:t>天内。</w:t>
      </w:r>
      <w:r>
        <w:rPr>
          <w:rFonts w:hint="eastAsia" w:hAnsi="楷体"/>
          <w:sz w:val="24"/>
        </w:rPr>
        <w:t>保险单必须与专用合同条款约定的条件保持一致。</w:t>
      </w:r>
    </w:p>
    <w:p>
      <w:pPr>
        <w:pStyle w:val="28"/>
        <w:spacing w:beforeLines="50" w:afterLines="50" w:line="500" w:lineRule="exact"/>
        <w:rPr>
          <w:szCs w:val="28"/>
        </w:rPr>
      </w:pPr>
      <w:bookmarkStart w:id="6183" w:name="_Toc288491664"/>
      <w:bookmarkStart w:id="6184" w:name="_Toc5726"/>
      <w:bookmarkStart w:id="6185" w:name="_Toc21622"/>
      <w:bookmarkStart w:id="6186" w:name="_Toc2650"/>
      <w:bookmarkStart w:id="6187" w:name="_Toc31232"/>
      <w:bookmarkStart w:id="6188" w:name="_Toc7484"/>
      <w:bookmarkStart w:id="6189" w:name="_Toc282779648"/>
      <w:bookmarkStart w:id="6190" w:name="_Toc9355"/>
      <w:bookmarkStart w:id="6191" w:name="_Toc282787602"/>
      <w:bookmarkStart w:id="6192" w:name="_Toc22352"/>
      <w:bookmarkStart w:id="6193" w:name="_Toc15478"/>
      <w:bookmarkStart w:id="6194" w:name="_Toc288546788"/>
      <w:bookmarkStart w:id="6195" w:name="_Toc283794336"/>
      <w:bookmarkStart w:id="6196" w:name="_Toc12368"/>
      <w:bookmarkStart w:id="6197" w:name="_Toc656"/>
      <w:bookmarkStart w:id="6198" w:name="_Toc32501"/>
      <w:bookmarkStart w:id="6199" w:name="_Toc10948"/>
      <w:bookmarkStart w:id="6200" w:name="_Toc282779139"/>
      <w:bookmarkStart w:id="6201" w:name="_Toc287853488"/>
      <w:bookmarkStart w:id="6202" w:name="_Toc3375"/>
      <w:bookmarkStart w:id="6203" w:name="_Toc10261"/>
      <w:bookmarkStart w:id="6204" w:name="_Toc12700"/>
      <w:bookmarkStart w:id="6205" w:name="_Toc16420"/>
      <w:bookmarkStart w:id="6206" w:name="_Toc13647"/>
      <w:bookmarkStart w:id="6207" w:name="_Toc14514"/>
      <w:r>
        <w:rPr>
          <w:rFonts w:hint="eastAsia"/>
          <w:szCs w:val="28"/>
        </w:rPr>
        <w:t>22．违约</w:t>
      </w:r>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p>
    <w:p>
      <w:pPr>
        <w:pStyle w:val="7"/>
        <w:spacing w:before="120" w:after="120" w:line="500" w:lineRule="exact"/>
        <w:rPr>
          <w:rFonts w:ascii="Times New Roman" w:hAnsi="Times New Roman"/>
          <w:sz w:val="24"/>
          <w:szCs w:val="24"/>
        </w:rPr>
      </w:pPr>
      <w:bookmarkStart w:id="6208" w:name="_Toc282787603"/>
      <w:r>
        <w:rPr>
          <w:rFonts w:hint="eastAsia" w:ascii="Times New Roman" w:hAnsi="Times New Roman"/>
          <w:sz w:val="24"/>
          <w:szCs w:val="24"/>
        </w:rPr>
        <w:t>22.1 承包人违约</w:t>
      </w:r>
    </w:p>
    <w:p>
      <w:pPr>
        <w:pStyle w:val="7"/>
        <w:spacing w:before="120" w:after="120" w:line="500" w:lineRule="exact"/>
        <w:rPr>
          <w:rFonts w:ascii="Times New Roman" w:hAnsi="Times New Roman"/>
          <w:sz w:val="24"/>
          <w:szCs w:val="24"/>
        </w:rPr>
      </w:pPr>
      <w:r>
        <w:rPr>
          <w:rFonts w:hint="eastAsia" w:ascii="Times New Roman" w:hAnsi="Times New Roman"/>
          <w:sz w:val="24"/>
          <w:szCs w:val="24"/>
        </w:rPr>
        <w:t>22.1.1 承包人违约的情形</w:t>
      </w:r>
    </w:p>
    <w:p>
      <w:pPr>
        <w:spacing w:line="500" w:lineRule="exact"/>
        <w:ind w:firstLine="480" w:firstLineChars="200"/>
        <w:rPr>
          <w:sz w:val="24"/>
        </w:rPr>
      </w:pPr>
      <w:r>
        <w:rPr>
          <w:rFonts w:hint="eastAsia"/>
          <w:sz w:val="24"/>
        </w:rPr>
        <w:t>本项原内容后补充：</w:t>
      </w:r>
    </w:p>
    <w:p>
      <w:pPr>
        <w:spacing w:line="500" w:lineRule="exact"/>
        <w:ind w:firstLine="480" w:firstLineChars="200"/>
        <w:rPr>
          <w:rFonts w:hAnsi="楷体"/>
          <w:sz w:val="24"/>
        </w:rPr>
      </w:pPr>
      <w:r>
        <w:rPr>
          <w:rFonts w:hint="eastAsia" w:hAnsi="楷体"/>
          <w:sz w:val="24"/>
        </w:rPr>
        <w:t>承包人违反第13.1.1项的约定，工程质量未达到交工验收的质量评定为合格或竣工验收的质量评定合格的要求的；</w:t>
      </w:r>
    </w:p>
    <w:p>
      <w:pPr>
        <w:spacing w:line="500" w:lineRule="exact"/>
        <w:ind w:firstLine="480" w:firstLineChars="200"/>
        <w:rPr>
          <w:rFonts w:hAnsi="楷体"/>
          <w:sz w:val="24"/>
        </w:rPr>
      </w:pPr>
      <w:r>
        <w:rPr>
          <w:rFonts w:hint="eastAsia" w:hAnsi="楷体"/>
          <w:sz w:val="24"/>
        </w:rPr>
        <w:t>承包人违反 13.6.1项的约定，承包人使用不合格材料、工程设备，或采用不适当的施工工艺，或施工不当，造成工序或分项工程质量不合格的，监理人可以随时发出指令，要求承包人暂停该部位施工立即采取措施进行替换、补救或拆除重建，直至达到合同要求的质量标准，由此增加的费用和（或）工期延误由承包人承担；</w:t>
      </w:r>
    </w:p>
    <w:p>
      <w:pPr>
        <w:spacing w:line="500" w:lineRule="exact"/>
        <w:ind w:firstLine="480" w:firstLineChars="200"/>
        <w:rPr>
          <w:rFonts w:hAnsi="楷体"/>
          <w:sz w:val="24"/>
        </w:rPr>
      </w:pPr>
      <w:r>
        <w:rPr>
          <w:rFonts w:hint="eastAsia" w:hAnsi="楷体"/>
          <w:sz w:val="24"/>
        </w:rPr>
        <w:t>（12）承包人违反第4.9款的约定，将发包人支付给承包人的各项价款转移或用于其他工程；</w:t>
      </w:r>
    </w:p>
    <w:p>
      <w:pPr>
        <w:spacing w:line="500" w:lineRule="exact"/>
        <w:ind w:firstLine="480" w:firstLineChars="200"/>
        <w:rPr>
          <w:rFonts w:hAnsi="楷体"/>
          <w:sz w:val="24"/>
        </w:rPr>
      </w:pPr>
      <w:r>
        <w:rPr>
          <w:rFonts w:hint="eastAsia" w:hAnsi="楷体"/>
          <w:sz w:val="24"/>
        </w:rPr>
        <w:t>（13）承包人违反第4.6款的约定，未按承诺或未按监理人的要求及时配送称职的主要管理人员、技术骨干，或未按规定替换、或擅离职守的；</w:t>
      </w:r>
    </w:p>
    <w:p>
      <w:pPr>
        <w:spacing w:line="500" w:lineRule="exact"/>
        <w:ind w:firstLine="480" w:firstLineChars="200"/>
        <w:rPr>
          <w:rFonts w:hAnsi="楷体"/>
          <w:sz w:val="24"/>
        </w:rPr>
      </w:pPr>
      <w:r>
        <w:rPr>
          <w:rFonts w:hint="eastAsia" w:hAnsi="楷体"/>
          <w:sz w:val="24"/>
        </w:rPr>
        <w:t>（14）承包人违反投标人须知3.5款的约定，在合同实施期间发现承包人在投标时提供了虚假资料的；</w:t>
      </w:r>
    </w:p>
    <w:p>
      <w:pPr>
        <w:pStyle w:val="7"/>
        <w:spacing w:before="120" w:after="120" w:line="500" w:lineRule="exact"/>
        <w:rPr>
          <w:rFonts w:ascii="Times New Roman" w:hAnsi="Times New Roman"/>
          <w:sz w:val="24"/>
          <w:szCs w:val="24"/>
        </w:rPr>
      </w:pPr>
      <w:r>
        <w:rPr>
          <w:rFonts w:hint="eastAsia" w:ascii="Times New Roman" w:hAnsi="Times New Roman"/>
          <w:sz w:val="24"/>
          <w:szCs w:val="24"/>
        </w:rPr>
        <w:t>22.1.2 对承包人的违约处理</w:t>
      </w:r>
    </w:p>
    <w:bookmarkEnd w:id="6208"/>
    <w:p>
      <w:pPr>
        <w:spacing w:line="500" w:lineRule="exact"/>
        <w:ind w:firstLine="480" w:firstLineChars="200"/>
        <w:rPr>
          <w:sz w:val="24"/>
        </w:rPr>
      </w:pPr>
      <w:bookmarkStart w:id="6209" w:name="_Toc282787604"/>
      <w:bookmarkStart w:id="6210" w:name="_Toc288491665"/>
      <w:bookmarkStart w:id="6211" w:name="_Toc282779649"/>
      <w:bookmarkStart w:id="6212" w:name="_Toc288546789"/>
      <w:bookmarkStart w:id="6213" w:name="_Toc282779140"/>
      <w:bookmarkStart w:id="6214" w:name="_Toc287853489"/>
      <w:bookmarkStart w:id="6215" w:name="_Toc283794337"/>
      <w:r>
        <w:rPr>
          <w:rFonts w:hint="eastAsia"/>
          <w:sz w:val="24"/>
        </w:rPr>
        <w:t>本项原内容后补充：</w:t>
      </w:r>
    </w:p>
    <w:p>
      <w:pPr>
        <w:spacing w:line="500" w:lineRule="exact"/>
        <w:ind w:firstLine="480" w:firstLineChars="200"/>
        <w:rPr>
          <w:sz w:val="24"/>
        </w:rPr>
      </w:pPr>
      <w:r>
        <w:rPr>
          <w:rFonts w:hint="eastAsia"/>
          <w:sz w:val="24"/>
        </w:rPr>
        <w:t>（</w:t>
      </w:r>
      <w:r>
        <w:rPr>
          <w:sz w:val="24"/>
        </w:rPr>
        <w:t>5</w:t>
      </w:r>
      <w:r>
        <w:rPr>
          <w:rFonts w:hint="eastAsia"/>
          <w:sz w:val="24"/>
        </w:rPr>
        <w:t>）当承包人发生第</w:t>
      </w:r>
      <w:r>
        <w:rPr>
          <w:sz w:val="24"/>
        </w:rPr>
        <w:t>22.1.1</w:t>
      </w:r>
      <w:r>
        <w:rPr>
          <w:rFonts w:hint="eastAsia"/>
          <w:sz w:val="24"/>
        </w:rPr>
        <w:t>项约定的违约情况时，发包人有权向承包人课以违约金，具体约定如下：</w:t>
      </w:r>
    </w:p>
    <w:p>
      <w:pPr>
        <w:spacing w:line="460" w:lineRule="exact"/>
        <w:ind w:firstLine="480" w:firstLineChars="200"/>
        <w:rPr>
          <w:rFonts w:hAnsi="楷体"/>
          <w:sz w:val="24"/>
        </w:rPr>
      </w:pPr>
      <w:r>
        <w:rPr>
          <w:rFonts w:hAnsi="楷体"/>
          <w:sz w:val="24"/>
        </w:rPr>
        <w:t>A.</w:t>
      </w:r>
      <w:r>
        <w:rPr>
          <w:rFonts w:hint="eastAsia" w:hAnsi="楷体"/>
          <w:sz w:val="24"/>
        </w:rPr>
        <w:t>当承包人发生第</w:t>
      </w:r>
      <w:r>
        <w:rPr>
          <w:rFonts w:hAnsi="楷体"/>
          <w:sz w:val="24"/>
        </w:rPr>
        <w:t>22.1.1项（1）目情形</w:t>
      </w:r>
      <w:r>
        <w:rPr>
          <w:rFonts w:hint="eastAsia" w:hAnsi="楷体"/>
          <w:sz w:val="24"/>
        </w:rPr>
        <w:t>时，除责令立即纠正外，并课以</w:t>
      </w:r>
      <w:r>
        <w:rPr>
          <w:rFonts w:hAnsi="楷体"/>
          <w:sz w:val="24"/>
        </w:rPr>
        <w:t>10万元/</w:t>
      </w:r>
      <w:r>
        <w:rPr>
          <w:rFonts w:hint="eastAsia" w:hAnsi="楷体"/>
          <w:sz w:val="24"/>
        </w:rPr>
        <w:t>次的违约金，同时保留将承包人行为上报交通主管部门的权利；</w:t>
      </w:r>
    </w:p>
    <w:p>
      <w:pPr>
        <w:spacing w:line="460" w:lineRule="exact"/>
        <w:ind w:firstLine="480" w:firstLineChars="200"/>
        <w:rPr>
          <w:rFonts w:hAnsi="楷体"/>
          <w:sz w:val="24"/>
        </w:rPr>
      </w:pPr>
      <w:r>
        <w:rPr>
          <w:rFonts w:hAnsi="楷体"/>
          <w:sz w:val="24"/>
        </w:rPr>
        <w:t>B.</w:t>
      </w:r>
      <w:r>
        <w:rPr>
          <w:rFonts w:hint="eastAsia" w:hAnsi="楷体"/>
          <w:sz w:val="24"/>
        </w:rPr>
        <w:t>当承包人发生第</w:t>
      </w:r>
      <w:r>
        <w:rPr>
          <w:rFonts w:hAnsi="楷体"/>
          <w:sz w:val="24"/>
        </w:rPr>
        <w:t>22.1.1项（2）目情形</w:t>
      </w:r>
      <w:r>
        <w:rPr>
          <w:rFonts w:hint="eastAsia" w:hAnsi="楷体"/>
          <w:sz w:val="24"/>
        </w:rPr>
        <w:t>时，除责令立即纠正外，并课以</w:t>
      </w:r>
      <w:r>
        <w:rPr>
          <w:rFonts w:hAnsi="楷体"/>
          <w:sz w:val="24"/>
        </w:rPr>
        <w:t>5万元/</w:t>
      </w:r>
      <w:r>
        <w:rPr>
          <w:rFonts w:hint="eastAsia" w:hAnsi="楷体"/>
          <w:sz w:val="24"/>
        </w:rPr>
        <w:t>次的违约金；</w:t>
      </w:r>
    </w:p>
    <w:p>
      <w:pPr>
        <w:spacing w:line="460" w:lineRule="exact"/>
        <w:ind w:firstLine="480" w:firstLineChars="200"/>
        <w:rPr>
          <w:rFonts w:hAnsi="楷体"/>
          <w:sz w:val="24"/>
        </w:rPr>
      </w:pPr>
      <w:r>
        <w:rPr>
          <w:rFonts w:hAnsi="楷体"/>
          <w:sz w:val="24"/>
        </w:rPr>
        <w:t>C.</w:t>
      </w:r>
      <w:r>
        <w:rPr>
          <w:rFonts w:hint="eastAsia" w:hAnsi="楷体"/>
          <w:sz w:val="24"/>
        </w:rPr>
        <w:t>当承包人发生第</w:t>
      </w:r>
      <w:r>
        <w:rPr>
          <w:rFonts w:hAnsi="楷体"/>
          <w:sz w:val="24"/>
        </w:rPr>
        <w:t>22.1.1项（3）目情形</w:t>
      </w:r>
      <w:r>
        <w:rPr>
          <w:rFonts w:hint="eastAsia" w:hAnsi="楷体"/>
          <w:sz w:val="24"/>
        </w:rPr>
        <w:t>时，课以</w:t>
      </w:r>
      <w:r>
        <w:rPr>
          <w:rFonts w:hAnsi="楷体"/>
          <w:sz w:val="24"/>
        </w:rPr>
        <w:t xml:space="preserve"> 5万</w:t>
      </w:r>
      <w:r>
        <w:rPr>
          <w:rFonts w:hint="eastAsia" w:hAnsi="楷体"/>
          <w:sz w:val="24"/>
        </w:rPr>
        <w:t>元</w:t>
      </w:r>
      <w:r>
        <w:rPr>
          <w:rFonts w:hAnsi="楷体"/>
          <w:sz w:val="24"/>
        </w:rPr>
        <w:t>/次违约处罚；或违规使用不合格材料或工程设备，工程质量达不到标准要求或未在交工前存在较大质量缺陷或坍塌的，课以10万元/次违约处罚，情节严重的课以20万元/次的违约处罚；或在监理人指令限期内拒绝清除不合格工程的，课以10万元/次违约处罚。</w:t>
      </w:r>
    </w:p>
    <w:p>
      <w:pPr>
        <w:spacing w:line="460" w:lineRule="exact"/>
        <w:ind w:firstLine="480" w:firstLineChars="200"/>
        <w:rPr>
          <w:rFonts w:hAnsi="楷体"/>
          <w:sz w:val="24"/>
        </w:rPr>
      </w:pPr>
      <w:r>
        <w:rPr>
          <w:rFonts w:hAnsi="楷体"/>
          <w:sz w:val="24"/>
        </w:rPr>
        <w:t>D.</w:t>
      </w:r>
      <w:r>
        <w:rPr>
          <w:rFonts w:hint="eastAsia" w:hAnsi="楷体"/>
          <w:sz w:val="24"/>
        </w:rPr>
        <w:t>当承包人发生第</w:t>
      </w:r>
      <w:r>
        <w:rPr>
          <w:rFonts w:hAnsi="楷体"/>
          <w:sz w:val="24"/>
        </w:rPr>
        <w:t>22.1.1项（4）目情形</w:t>
      </w:r>
      <w:r>
        <w:rPr>
          <w:rFonts w:hint="eastAsia" w:hAnsi="楷体"/>
          <w:sz w:val="24"/>
        </w:rPr>
        <w:t>时，承包人未按已批准的月进度计划完成月计划任务，每延误一天课以</w:t>
      </w:r>
      <w:r>
        <w:rPr>
          <w:rFonts w:hAnsi="楷体"/>
          <w:sz w:val="24"/>
        </w:rPr>
        <w:t>1000元/天的违约金，</w:t>
      </w:r>
      <w:r>
        <w:rPr>
          <w:rFonts w:hint="eastAsia" w:hAnsi="楷体"/>
          <w:sz w:val="24"/>
        </w:rPr>
        <w:t>如已造成或预期造成合同工期延误的则按第</w:t>
      </w:r>
      <w:r>
        <w:rPr>
          <w:rFonts w:hAnsi="楷体"/>
          <w:sz w:val="24"/>
        </w:rPr>
        <w:t>11.5款规定处理。</w:t>
      </w:r>
    </w:p>
    <w:p>
      <w:pPr>
        <w:spacing w:line="460" w:lineRule="exact"/>
        <w:ind w:firstLine="480" w:firstLineChars="200"/>
        <w:rPr>
          <w:rFonts w:hAnsi="楷体"/>
          <w:sz w:val="24"/>
        </w:rPr>
      </w:pPr>
      <w:r>
        <w:rPr>
          <w:rFonts w:hAnsi="楷体"/>
          <w:sz w:val="24"/>
        </w:rPr>
        <w:t>E.</w:t>
      </w:r>
      <w:r>
        <w:rPr>
          <w:rFonts w:hint="eastAsia" w:hAnsi="楷体"/>
          <w:sz w:val="24"/>
        </w:rPr>
        <w:t>当承包人发生第</w:t>
      </w:r>
      <w:r>
        <w:rPr>
          <w:rFonts w:hAnsi="楷体"/>
          <w:sz w:val="24"/>
        </w:rPr>
        <w:t>22.1.1项（5）目情形</w:t>
      </w:r>
      <w:r>
        <w:rPr>
          <w:rFonts w:hint="eastAsia" w:hAnsi="楷体"/>
          <w:sz w:val="24"/>
        </w:rPr>
        <w:t>时，则按第</w:t>
      </w:r>
      <w:r>
        <w:rPr>
          <w:rFonts w:hAnsi="楷体"/>
          <w:sz w:val="24"/>
        </w:rPr>
        <w:t>19.2.4项规定处理；</w:t>
      </w:r>
    </w:p>
    <w:p>
      <w:pPr>
        <w:spacing w:line="460" w:lineRule="exact"/>
        <w:ind w:firstLine="480" w:firstLineChars="200"/>
        <w:rPr>
          <w:rFonts w:hAnsi="楷体"/>
          <w:sz w:val="24"/>
        </w:rPr>
      </w:pPr>
      <w:r>
        <w:rPr>
          <w:rFonts w:hAnsi="楷体"/>
          <w:sz w:val="24"/>
        </w:rPr>
        <w:t>F.</w:t>
      </w:r>
      <w:r>
        <w:rPr>
          <w:rFonts w:hint="eastAsia" w:hAnsi="楷体"/>
          <w:sz w:val="24"/>
        </w:rPr>
        <w:t>当承包人发生第</w:t>
      </w:r>
      <w:r>
        <w:rPr>
          <w:rFonts w:hAnsi="楷体"/>
          <w:sz w:val="24"/>
        </w:rPr>
        <w:t>22.1.1项（7）目情形</w:t>
      </w:r>
      <w:r>
        <w:rPr>
          <w:rFonts w:hint="eastAsia" w:hAnsi="楷体"/>
          <w:sz w:val="24"/>
        </w:rPr>
        <w:t>时，发包人有权按第</w:t>
      </w:r>
      <w:r>
        <w:rPr>
          <w:rFonts w:hAnsi="楷体"/>
          <w:sz w:val="24"/>
        </w:rPr>
        <w:t>11.5款规定的逾期交工违约金金额的二分之一乘以未按期开工天数处以违约金；</w:t>
      </w:r>
    </w:p>
    <w:p>
      <w:pPr>
        <w:spacing w:line="460" w:lineRule="exact"/>
        <w:ind w:firstLine="480" w:firstLineChars="200"/>
        <w:rPr>
          <w:rFonts w:hAnsi="楷体"/>
          <w:sz w:val="24"/>
        </w:rPr>
      </w:pPr>
      <w:r>
        <w:rPr>
          <w:rFonts w:hAnsi="楷体"/>
          <w:sz w:val="24"/>
        </w:rPr>
        <w:t>G.</w:t>
      </w:r>
      <w:r>
        <w:rPr>
          <w:rFonts w:hint="eastAsia" w:hAnsi="楷体"/>
          <w:sz w:val="24"/>
        </w:rPr>
        <w:t>当承包人发生第</w:t>
      </w:r>
      <w:r>
        <w:rPr>
          <w:rFonts w:hAnsi="楷体"/>
          <w:sz w:val="24"/>
        </w:rPr>
        <w:t>22.1.1项（8）目情形</w:t>
      </w:r>
      <w:r>
        <w:rPr>
          <w:rFonts w:hint="eastAsia" w:hAnsi="楷体"/>
          <w:sz w:val="24"/>
        </w:rPr>
        <w:t>时，承包人未按投标承诺或未按监理人要求及时配备合同约定的关键施工设备的，课以</w:t>
      </w:r>
      <w:r>
        <w:rPr>
          <w:rFonts w:hAnsi="楷体"/>
          <w:sz w:val="24"/>
        </w:rPr>
        <w:t>2000元/</w:t>
      </w:r>
      <w:r>
        <w:rPr>
          <w:rFonts w:hint="eastAsia" w:hAnsi="楷体"/>
          <w:sz w:val="24"/>
        </w:rPr>
        <w:t>次违约处罚，未按发包人和监理人要求增加施工设备的，课以</w:t>
      </w:r>
      <w:r>
        <w:rPr>
          <w:rFonts w:hAnsi="楷体"/>
          <w:sz w:val="24"/>
        </w:rPr>
        <w:t>5000元/</w:t>
      </w:r>
      <w:r>
        <w:rPr>
          <w:rFonts w:hint="eastAsia" w:hAnsi="楷体"/>
          <w:sz w:val="24"/>
        </w:rPr>
        <w:t>次违约处罚；承包人的机械、车（船）必须证（照）齐全，三无车辆不得进场，如有违反必须立即清退出场，并课以</w:t>
      </w:r>
      <w:r>
        <w:rPr>
          <w:rFonts w:hAnsi="楷体"/>
          <w:sz w:val="24"/>
        </w:rPr>
        <w:t>10000元/</w:t>
      </w:r>
      <w:r>
        <w:rPr>
          <w:rFonts w:hint="eastAsia" w:hAnsi="楷体"/>
          <w:sz w:val="24"/>
        </w:rPr>
        <w:t>次的违约处罚。</w:t>
      </w:r>
    </w:p>
    <w:p>
      <w:pPr>
        <w:spacing w:line="460" w:lineRule="exact"/>
        <w:ind w:firstLine="480" w:firstLineChars="200"/>
        <w:rPr>
          <w:rFonts w:hAnsi="楷体"/>
          <w:sz w:val="24"/>
        </w:rPr>
      </w:pPr>
      <w:r>
        <w:rPr>
          <w:rFonts w:hAnsi="楷体"/>
          <w:sz w:val="24"/>
        </w:rPr>
        <w:t>H.</w:t>
      </w:r>
      <w:r>
        <w:rPr>
          <w:rFonts w:hint="eastAsia" w:hAnsi="楷体"/>
          <w:sz w:val="24"/>
        </w:rPr>
        <w:t>当承包人发生第</w:t>
      </w:r>
      <w:r>
        <w:rPr>
          <w:rFonts w:hAnsi="楷体"/>
          <w:sz w:val="24"/>
        </w:rPr>
        <w:t>22.1.1项（9）目情形</w:t>
      </w:r>
      <w:r>
        <w:rPr>
          <w:rFonts w:hint="eastAsia" w:hAnsi="楷体"/>
          <w:sz w:val="24"/>
        </w:rPr>
        <w:t>时，发包人将责令整改；情节严重的，将停工整顿，并酌情扣除安全生产费；主要为：</w:t>
      </w:r>
    </w:p>
    <w:p>
      <w:pPr>
        <w:spacing w:line="460" w:lineRule="exact"/>
        <w:ind w:firstLine="480" w:firstLineChars="200"/>
        <w:rPr>
          <w:rFonts w:hAnsi="楷体"/>
          <w:sz w:val="24"/>
        </w:rPr>
      </w:pPr>
      <w:r>
        <w:rPr>
          <w:rFonts w:hAnsi="楷体"/>
          <w:sz w:val="24"/>
        </w:rPr>
        <w:t>1)</w:t>
      </w:r>
      <w:r>
        <w:rPr>
          <w:rFonts w:hint="eastAsia" w:hAnsi="楷体"/>
          <w:sz w:val="24"/>
        </w:rPr>
        <w:t>施工人员或现场管理人员未按规定佩戴个人安全防护用品或佩戴不正确的，课以</w:t>
      </w:r>
      <w:r>
        <w:rPr>
          <w:rFonts w:hAnsi="楷体"/>
          <w:sz w:val="24"/>
        </w:rPr>
        <w:t>200～500元/人次违约处罚；</w:t>
      </w:r>
    </w:p>
    <w:p>
      <w:pPr>
        <w:spacing w:line="460" w:lineRule="exact"/>
        <w:ind w:firstLine="480" w:firstLineChars="200"/>
        <w:rPr>
          <w:rFonts w:hAnsi="楷体"/>
          <w:sz w:val="24"/>
        </w:rPr>
      </w:pPr>
      <w:r>
        <w:rPr>
          <w:rFonts w:hAnsi="楷体"/>
          <w:sz w:val="24"/>
        </w:rPr>
        <w:t>2)</w:t>
      </w:r>
      <w:r>
        <w:rPr>
          <w:rFonts w:hint="eastAsia" w:hAnsi="楷体"/>
          <w:sz w:val="24"/>
        </w:rPr>
        <w:t>施工人员未经三级安全教育、安全技术交底、岗位风险告知，未签订劳动合同、安全生产责任书上岗的，课以</w:t>
      </w:r>
      <w:r>
        <w:rPr>
          <w:rFonts w:hAnsi="楷体"/>
          <w:sz w:val="24"/>
        </w:rPr>
        <w:t>200元/人次违约处罚；</w:t>
      </w:r>
    </w:p>
    <w:p>
      <w:pPr>
        <w:spacing w:line="460" w:lineRule="exact"/>
        <w:ind w:firstLine="480" w:firstLineChars="200"/>
        <w:rPr>
          <w:rFonts w:hAnsi="楷体"/>
          <w:sz w:val="24"/>
        </w:rPr>
      </w:pPr>
      <w:r>
        <w:rPr>
          <w:rFonts w:hAnsi="楷体"/>
          <w:sz w:val="24"/>
        </w:rPr>
        <w:t>3)</w:t>
      </w:r>
      <w:r>
        <w:rPr>
          <w:rFonts w:hint="eastAsia" w:hAnsi="楷体"/>
          <w:sz w:val="24"/>
        </w:rPr>
        <w:t>高空作业人员未按规定佩戴安全帽、安全带或安全帽佩戴不正确，安全带无可靠挂设点的，课以</w:t>
      </w:r>
      <w:r>
        <w:rPr>
          <w:rFonts w:hAnsi="楷体"/>
          <w:sz w:val="24"/>
        </w:rPr>
        <w:t>1000～3000元/人次违约处罚；</w:t>
      </w:r>
    </w:p>
    <w:p>
      <w:pPr>
        <w:spacing w:line="460" w:lineRule="exact"/>
        <w:ind w:firstLine="480" w:firstLineChars="200"/>
        <w:rPr>
          <w:rFonts w:hAnsi="楷体"/>
          <w:sz w:val="24"/>
        </w:rPr>
      </w:pPr>
      <w:r>
        <w:rPr>
          <w:rFonts w:hAnsi="楷体"/>
          <w:sz w:val="24"/>
        </w:rPr>
        <w:t>4)</w:t>
      </w:r>
      <w:r>
        <w:rPr>
          <w:rFonts w:hint="eastAsia" w:hAnsi="楷体"/>
          <w:sz w:val="24"/>
        </w:rPr>
        <w:t>边通车边施工路段未按安全专项施工方案设置安全设施或设置不符合要求的，课以</w:t>
      </w:r>
      <w:r>
        <w:rPr>
          <w:rFonts w:hAnsi="楷体"/>
          <w:sz w:val="24"/>
        </w:rPr>
        <w:t>10000～20000元/处的违约处罚；</w:t>
      </w:r>
    </w:p>
    <w:p>
      <w:pPr>
        <w:spacing w:line="460" w:lineRule="exact"/>
        <w:ind w:firstLine="480" w:firstLineChars="200"/>
        <w:rPr>
          <w:rFonts w:hAnsi="楷体"/>
          <w:sz w:val="24"/>
        </w:rPr>
      </w:pPr>
      <w:r>
        <w:rPr>
          <w:rFonts w:hAnsi="楷体"/>
          <w:sz w:val="24"/>
        </w:rPr>
        <w:t>5)高边坡施工无安全专项施工方案或未按安全专项施工方案组织施工或施工现场交通指挥人员缺失、项目部无专人现场监管的，未按规定在现场设置危险源告知牌的，课以20000元/处违约处罚；</w:t>
      </w:r>
    </w:p>
    <w:p>
      <w:pPr>
        <w:spacing w:line="460" w:lineRule="exact"/>
        <w:ind w:firstLine="480" w:firstLineChars="200"/>
        <w:rPr>
          <w:rFonts w:hAnsi="楷体"/>
          <w:sz w:val="24"/>
        </w:rPr>
      </w:pPr>
      <w:r>
        <w:rPr>
          <w:rFonts w:hAnsi="楷体"/>
          <w:sz w:val="24"/>
        </w:rPr>
        <w:t>6)特种作业人员无证上岗、特种机械设备未经检测投入使用的，课以3000元/人（机）违约处罚；</w:t>
      </w:r>
    </w:p>
    <w:p>
      <w:pPr>
        <w:spacing w:line="460" w:lineRule="exact"/>
        <w:ind w:firstLine="480" w:firstLineChars="200"/>
        <w:rPr>
          <w:rFonts w:hAnsi="楷体"/>
          <w:sz w:val="24"/>
        </w:rPr>
      </w:pPr>
      <w:r>
        <w:rPr>
          <w:rFonts w:hAnsi="楷体"/>
          <w:sz w:val="24"/>
        </w:rPr>
        <w:t>7)桥梁基坑、泥浆池未按规定进行围护或围护不牢固，墩柱、系梁、盖梁等高处作业无作业平台和上下通道或设置不牢固的，课以5000元/处违约处罚；</w:t>
      </w:r>
    </w:p>
    <w:p>
      <w:pPr>
        <w:spacing w:line="460" w:lineRule="exact"/>
        <w:ind w:firstLine="480" w:firstLineChars="200"/>
        <w:rPr>
          <w:rFonts w:hAnsi="楷体"/>
          <w:sz w:val="24"/>
        </w:rPr>
      </w:pPr>
      <w:r>
        <w:rPr>
          <w:rFonts w:hAnsi="楷体"/>
          <w:sz w:val="24"/>
        </w:rPr>
        <w:t>8)现浇梁支架、预制梁安装无安全安全专项施工方案或未按专项施工方案施工或未对施工人员进行方案交底，支架搭设完成后未组织相关人员验收投入使用，桥面临边、梁板空隙未设置防护措施，悬空作业吊篮未经验算等，课以10000元/项次违约处罚；</w:t>
      </w:r>
    </w:p>
    <w:p>
      <w:pPr>
        <w:spacing w:line="460" w:lineRule="exact"/>
        <w:ind w:firstLine="480" w:firstLineChars="200"/>
        <w:rPr>
          <w:rFonts w:hAnsi="楷体"/>
          <w:sz w:val="24"/>
        </w:rPr>
      </w:pPr>
      <w:r>
        <w:rPr>
          <w:rFonts w:hAnsi="楷体"/>
          <w:sz w:val="24"/>
        </w:rPr>
        <w:t>9)临时用电电缆线未采取架空或穿管埋地敷设、配电箱开关箱破损未及时更换或无支架或未黏贴电工信息或无电工日常检查记录或接线不规范，违反一机一闸一箱一漏规定或电气操作人员无证上岗或电工配备数量不足，课以5000元/项次违约处罚；</w:t>
      </w:r>
    </w:p>
    <w:p>
      <w:pPr>
        <w:spacing w:line="460" w:lineRule="exact"/>
        <w:ind w:firstLine="480" w:firstLineChars="200"/>
        <w:rPr>
          <w:rFonts w:hAnsi="楷体"/>
          <w:sz w:val="24"/>
        </w:rPr>
      </w:pPr>
      <w:r>
        <w:rPr>
          <w:rFonts w:hAnsi="楷体"/>
          <w:sz w:val="24"/>
        </w:rPr>
        <w:t>10)</w:t>
      </w:r>
      <w:r>
        <w:rPr>
          <w:rFonts w:hint="eastAsia" w:hAnsi="楷体"/>
          <w:sz w:val="24"/>
        </w:rPr>
        <w:t>氧气、乙炔使用或存储违反有关安全规定的，课以</w:t>
      </w:r>
      <w:r>
        <w:rPr>
          <w:rFonts w:hAnsi="楷体"/>
          <w:sz w:val="24"/>
        </w:rPr>
        <w:t>1000元/次违约处罚；</w:t>
      </w:r>
    </w:p>
    <w:p>
      <w:pPr>
        <w:spacing w:line="460" w:lineRule="exact"/>
        <w:ind w:firstLine="480" w:firstLineChars="200"/>
        <w:rPr>
          <w:rFonts w:hAnsi="楷体"/>
          <w:sz w:val="24"/>
        </w:rPr>
      </w:pPr>
      <w:r>
        <w:rPr>
          <w:rFonts w:hAnsi="楷体"/>
          <w:sz w:val="24"/>
        </w:rPr>
        <w:t>11)</w:t>
      </w:r>
      <w:r>
        <w:rPr>
          <w:rFonts w:hint="eastAsia" w:hAnsi="楷体"/>
          <w:sz w:val="24"/>
        </w:rPr>
        <w:t>违规采用挖掘机运送登高作业人员、高处作业和吊运物品或装载机装人高处作业和运送施工人员或起重设备运送登高作业人员或工程货运车辆违规运送人员，课以</w:t>
      </w:r>
      <w:r>
        <w:rPr>
          <w:rFonts w:hAnsi="楷体"/>
          <w:sz w:val="24"/>
        </w:rPr>
        <w:t>3000元/次的违约处罚；</w:t>
      </w:r>
    </w:p>
    <w:p>
      <w:pPr>
        <w:spacing w:line="460" w:lineRule="exact"/>
        <w:ind w:firstLine="480" w:firstLineChars="200"/>
        <w:rPr>
          <w:rFonts w:hAnsi="楷体"/>
          <w:sz w:val="24"/>
        </w:rPr>
      </w:pPr>
      <w:r>
        <w:rPr>
          <w:rFonts w:hAnsi="楷体"/>
          <w:sz w:val="24"/>
        </w:rPr>
        <w:t>12)</w:t>
      </w:r>
      <w:r>
        <w:rPr>
          <w:rFonts w:hint="eastAsia" w:hAnsi="楷体"/>
          <w:sz w:val="24"/>
        </w:rPr>
        <w:t>施工机械设备未落实进场验收登记或未落实日常维修保养，课以</w:t>
      </w:r>
      <w:r>
        <w:rPr>
          <w:rFonts w:hAnsi="楷体"/>
          <w:sz w:val="24"/>
        </w:rPr>
        <w:t>3000元/台次违约金；</w:t>
      </w:r>
    </w:p>
    <w:p>
      <w:pPr>
        <w:spacing w:line="460" w:lineRule="exact"/>
        <w:ind w:firstLine="480" w:firstLineChars="200"/>
        <w:rPr>
          <w:rFonts w:hAnsi="楷体"/>
          <w:sz w:val="24"/>
        </w:rPr>
      </w:pPr>
      <w:r>
        <w:rPr>
          <w:rFonts w:hAnsi="楷体"/>
          <w:sz w:val="24"/>
        </w:rPr>
        <w:t>13)</w:t>
      </w:r>
      <w:r>
        <w:rPr>
          <w:rFonts w:hint="eastAsia" w:hAnsi="楷体"/>
          <w:sz w:val="24"/>
        </w:rPr>
        <w:t>施工便道在急弯、陡坡、连续转弯等危险路段应进行硬化，设置警示标志，并根据需要设置防护设施；</w:t>
      </w:r>
    </w:p>
    <w:p>
      <w:pPr>
        <w:spacing w:line="460" w:lineRule="exact"/>
        <w:ind w:firstLine="480" w:firstLineChars="200"/>
        <w:rPr>
          <w:rFonts w:hAnsi="楷体"/>
          <w:sz w:val="24"/>
        </w:rPr>
      </w:pPr>
      <w:r>
        <w:rPr>
          <w:rFonts w:hAnsi="楷体"/>
          <w:sz w:val="24"/>
        </w:rPr>
        <w:t>14)</w:t>
      </w:r>
      <w:r>
        <w:rPr>
          <w:rFonts w:hint="eastAsia" w:hAnsi="楷体"/>
          <w:sz w:val="24"/>
        </w:rPr>
        <w:t>施工便道中易发生落石、滑坡等危险路段应根据需要设置防护设施，违反规定，课以</w:t>
      </w:r>
      <w:r>
        <w:rPr>
          <w:rFonts w:hAnsi="楷体"/>
          <w:sz w:val="24"/>
        </w:rPr>
        <w:t>2000元/处违约处罚。）</w:t>
      </w:r>
    </w:p>
    <w:p>
      <w:pPr>
        <w:spacing w:line="460" w:lineRule="exact"/>
        <w:ind w:firstLine="480" w:firstLineChars="200"/>
        <w:rPr>
          <w:rFonts w:hAnsi="楷体"/>
          <w:sz w:val="24"/>
        </w:rPr>
      </w:pPr>
      <w:r>
        <w:rPr>
          <w:rFonts w:hAnsi="楷体"/>
          <w:sz w:val="24"/>
        </w:rPr>
        <w:t>I.当承包人发生第22.1.1项（10）目情形时，如工程质量未达到交工验收的质量评定为合格、竣工验收的质量评定合格的要求的，课以2%合同价的违约金，且扣除全部质保金；</w:t>
      </w:r>
    </w:p>
    <w:p>
      <w:pPr>
        <w:spacing w:line="460" w:lineRule="exact"/>
        <w:ind w:firstLine="480" w:firstLineChars="200"/>
        <w:rPr>
          <w:rFonts w:hAnsi="楷体"/>
          <w:sz w:val="24"/>
        </w:rPr>
      </w:pPr>
      <w:r>
        <w:rPr>
          <w:rFonts w:hAnsi="楷体"/>
          <w:sz w:val="24"/>
        </w:rPr>
        <w:t>J.</w:t>
      </w:r>
      <w:r>
        <w:rPr>
          <w:rFonts w:hint="eastAsia" w:hAnsi="楷体"/>
          <w:sz w:val="24"/>
        </w:rPr>
        <w:t>当承包人发生第</w:t>
      </w:r>
      <w:r>
        <w:rPr>
          <w:rFonts w:hAnsi="楷体"/>
          <w:sz w:val="24"/>
        </w:rPr>
        <w:t>22.1.1项（11</w:t>
      </w:r>
      <w:r>
        <w:rPr>
          <w:rFonts w:hint="eastAsia" w:hAnsi="楷体"/>
          <w:sz w:val="24"/>
        </w:rPr>
        <w:t>）目情形时，</w:t>
      </w:r>
      <w:r>
        <w:rPr>
          <w:rFonts w:hAnsi="楷体"/>
          <w:sz w:val="24"/>
        </w:rPr>
        <w:t>监理人可以随时发出指</w:t>
      </w:r>
      <w:r>
        <w:rPr>
          <w:rFonts w:hint="eastAsia" w:hAnsi="楷体"/>
          <w:sz w:val="24"/>
        </w:rPr>
        <w:t>令</w:t>
      </w:r>
      <w:r>
        <w:rPr>
          <w:rFonts w:hAnsi="楷体"/>
          <w:sz w:val="24"/>
        </w:rPr>
        <w:t>，要求承包人</w:t>
      </w:r>
      <w:r>
        <w:rPr>
          <w:rFonts w:hint="eastAsia" w:hAnsi="楷体"/>
          <w:sz w:val="24"/>
        </w:rPr>
        <w:t>暂停该部位施工</w:t>
      </w:r>
      <w:r>
        <w:rPr>
          <w:rFonts w:hAnsi="楷体"/>
          <w:sz w:val="24"/>
        </w:rPr>
        <w:t>立即采取措施进行替换、补救或拆除重建，直至达到合同要求的质量标准，由此增加的费用和（或）工期延误由承包人承担</w:t>
      </w:r>
      <w:r>
        <w:rPr>
          <w:rFonts w:hint="eastAsia" w:hAnsi="楷体"/>
          <w:sz w:val="24"/>
        </w:rPr>
        <w:t>，并课以</w:t>
      </w:r>
      <w:r>
        <w:rPr>
          <w:rFonts w:hAnsi="楷体"/>
          <w:sz w:val="24"/>
        </w:rPr>
        <w:t>10000元/次违约处罚；同种质量问题累计发生3次（含3次）以上者（以监理指令、监理通知单或监理书面记录为准），课以20000元/次违约处罚；如承包人拒绝执行监理指令要求，监理人应及时报告交通主管部门，并课以50000元/次违约处罚。）</w:t>
      </w:r>
    </w:p>
    <w:p>
      <w:pPr>
        <w:spacing w:line="460" w:lineRule="exact"/>
        <w:ind w:firstLine="480" w:firstLineChars="200"/>
        <w:rPr>
          <w:rFonts w:hAnsi="楷体"/>
          <w:sz w:val="24"/>
        </w:rPr>
      </w:pPr>
      <w:r>
        <w:rPr>
          <w:rFonts w:hAnsi="楷体"/>
          <w:sz w:val="24"/>
        </w:rPr>
        <w:t>K.</w:t>
      </w:r>
      <w:r>
        <w:rPr>
          <w:rFonts w:hint="eastAsia" w:hAnsi="楷体"/>
          <w:sz w:val="24"/>
        </w:rPr>
        <w:t>当承包人发生第</w:t>
      </w:r>
      <w:r>
        <w:rPr>
          <w:rFonts w:hAnsi="楷体"/>
          <w:sz w:val="24"/>
        </w:rPr>
        <w:t>22.1.1项（12</w:t>
      </w:r>
      <w:r>
        <w:rPr>
          <w:rFonts w:hint="eastAsia" w:hAnsi="楷体"/>
          <w:sz w:val="24"/>
        </w:rPr>
        <w:t>）目情形时，则课以转移（挪用）资金等额的违约金；</w:t>
      </w:r>
    </w:p>
    <w:p>
      <w:pPr>
        <w:spacing w:line="460" w:lineRule="exact"/>
        <w:ind w:firstLine="480" w:firstLineChars="200"/>
        <w:rPr>
          <w:rFonts w:hAnsi="楷体"/>
          <w:sz w:val="24"/>
        </w:rPr>
      </w:pPr>
      <w:r>
        <w:rPr>
          <w:rFonts w:hAnsi="楷体"/>
          <w:sz w:val="24"/>
        </w:rPr>
        <w:t>L.</w:t>
      </w:r>
      <w:r>
        <w:rPr>
          <w:rFonts w:hint="eastAsia" w:hAnsi="楷体"/>
          <w:sz w:val="24"/>
        </w:rPr>
        <w:t>当承包人发生第</w:t>
      </w:r>
      <w:r>
        <w:rPr>
          <w:rFonts w:hAnsi="楷体"/>
          <w:sz w:val="24"/>
        </w:rPr>
        <w:t>22.1.1项（13</w:t>
      </w:r>
      <w:r>
        <w:rPr>
          <w:rFonts w:hint="eastAsia" w:hAnsi="楷体"/>
          <w:sz w:val="24"/>
        </w:rPr>
        <w:t>）目情形时，项目经理或项目总工或安全负责人未经发包人同意擅自离开工地，每天课以违约金</w:t>
      </w:r>
      <w:r>
        <w:rPr>
          <w:rFonts w:hAnsi="楷体"/>
          <w:sz w:val="24"/>
        </w:rPr>
        <w:t>3000元/人；若每月在工地天数不足20天(特殊情形经监理人批准报发包人同意例外)者,每不足一天课以违约金1000元/人；承包人未经发包人书面同意更换项目经理或总工</w:t>
      </w:r>
      <w:r>
        <w:rPr>
          <w:rFonts w:hint="eastAsia" w:hAnsi="楷体"/>
          <w:sz w:val="24"/>
        </w:rPr>
        <w:t>或安全负责人课以</w:t>
      </w:r>
      <w:r>
        <w:rPr>
          <w:rFonts w:hAnsi="楷体"/>
          <w:sz w:val="24"/>
        </w:rPr>
        <w:t>10万元/人次的违约金,更换其他主要人员课以5万元/人次的违约金；承包人经发包人书面同意更换项目经理或总工</w:t>
      </w:r>
      <w:r>
        <w:rPr>
          <w:rFonts w:hint="eastAsia" w:hAnsi="楷体"/>
          <w:sz w:val="24"/>
        </w:rPr>
        <w:t>或安全负责人课以</w:t>
      </w:r>
      <w:r>
        <w:rPr>
          <w:rFonts w:hAnsi="楷体"/>
          <w:sz w:val="24"/>
        </w:rPr>
        <w:t>5万元/人次的违约金;</w:t>
      </w:r>
    </w:p>
    <w:p>
      <w:pPr>
        <w:spacing w:line="460" w:lineRule="exact"/>
        <w:ind w:firstLine="480" w:firstLineChars="200"/>
        <w:rPr>
          <w:rFonts w:hAnsi="楷体"/>
          <w:sz w:val="24"/>
        </w:rPr>
      </w:pPr>
      <w:r>
        <w:rPr>
          <w:rFonts w:hAnsi="楷体"/>
          <w:sz w:val="24"/>
        </w:rPr>
        <w:t>M.承包人发生第22.1.1项（14</w:t>
      </w:r>
      <w:r>
        <w:rPr>
          <w:rFonts w:hint="eastAsia" w:hAnsi="楷体"/>
          <w:sz w:val="24"/>
        </w:rPr>
        <w:t>）目情形，在合同实施期间发现承包人在投标时提供了虚假材料的</w:t>
      </w:r>
      <w:r>
        <w:rPr>
          <w:rFonts w:hAnsi="楷体"/>
          <w:sz w:val="24"/>
        </w:rPr>
        <w:t>,课以不超过10</w:t>
      </w:r>
      <w:r>
        <w:rPr>
          <w:rFonts w:hint="eastAsia" w:hAnsi="楷体"/>
          <w:sz w:val="24"/>
        </w:rPr>
        <w:t>％签约合同价的违约金</w:t>
      </w:r>
      <w:r>
        <w:rPr>
          <w:rFonts w:hAnsi="楷体"/>
          <w:sz w:val="24"/>
        </w:rPr>
        <w:t>.</w:t>
      </w:r>
    </w:p>
    <w:p>
      <w:pPr>
        <w:spacing w:line="500" w:lineRule="exact"/>
        <w:ind w:firstLine="480" w:firstLineChars="200"/>
        <w:rPr>
          <w:rFonts w:hAnsi="楷体"/>
          <w:sz w:val="24"/>
        </w:rPr>
      </w:pPr>
      <w:r>
        <w:rPr>
          <w:rFonts w:hint="eastAsia"/>
          <w:sz w:val="24"/>
        </w:rPr>
        <w:t>上述违约金在履约担保中扣除或从工程进度支付款中扣除。</w:t>
      </w:r>
    </w:p>
    <w:p>
      <w:pPr>
        <w:pStyle w:val="2"/>
        <w:ind w:firstLine="240"/>
        <w:rPr>
          <w:rFonts w:hAnsi="楷体"/>
        </w:rPr>
      </w:pPr>
    </w:p>
    <w:p>
      <w:pPr>
        <w:pStyle w:val="2"/>
        <w:ind w:firstLine="240"/>
        <w:rPr>
          <w:rFonts w:hAnsi="楷体"/>
        </w:rPr>
      </w:pPr>
    </w:p>
    <w:p>
      <w:pPr>
        <w:pStyle w:val="2"/>
        <w:ind w:firstLine="240"/>
        <w:rPr>
          <w:rFonts w:hAnsi="楷体"/>
        </w:rPr>
      </w:pPr>
    </w:p>
    <w:p>
      <w:pPr>
        <w:pStyle w:val="2"/>
        <w:ind w:firstLine="240"/>
        <w:rPr>
          <w:rFonts w:hAnsi="楷体"/>
        </w:rPr>
      </w:pPr>
    </w:p>
    <w:p>
      <w:pPr>
        <w:pStyle w:val="2"/>
        <w:ind w:firstLine="240"/>
        <w:rPr>
          <w:rFonts w:hAnsi="楷体"/>
        </w:rPr>
      </w:pPr>
    </w:p>
    <w:p>
      <w:pPr>
        <w:pStyle w:val="2"/>
        <w:ind w:firstLine="240"/>
        <w:rPr>
          <w:rFonts w:hAnsi="楷体"/>
        </w:rPr>
      </w:pPr>
    </w:p>
    <w:p>
      <w:pPr>
        <w:pStyle w:val="2"/>
        <w:ind w:firstLine="240"/>
        <w:rPr>
          <w:rFonts w:hAnsi="楷体"/>
        </w:rPr>
      </w:pPr>
    </w:p>
    <w:p>
      <w:pPr>
        <w:spacing w:line="500" w:lineRule="exact"/>
        <w:rPr>
          <w:rFonts w:hAnsi="楷体"/>
          <w:sz w:val="24"/>
        </w:rPr>
      </w:pPr>
    </w:p>
    <w:p>
      <w:pPr>
        <w:pStyle w:val="18"/>
      </w:pPr>
    </w:p>
    <w:p>
      <w:pPr>
        <w:pStyle w:val="5"/>
        <w:spacing w:before="0"/>
        <w:jc w:val="center"/>
        <w:rPr>
          <w:b w:val="0"/>
        </w:rPr>
      </w:pPr>
      <w:bookmarkStart w:id="6216" w:name="_Toc21410"/>
      <w:bookmarkStart w:id="6217" w:name="_Toc12912"/>
      <w:bookmarkStart w:id="6218" w:name="_Toc4262"/>
      <w:bookmarkStart w:id="6219" w:name="_Toc9447"/>
      <w:bookmarkStart w:id="6220" w:name="_Toc5630"/>
      <w:bookmarkStart w:id="6221" w:name="_Toc32144"/>
      <w:bookmarkStart w:id="6222" w:name="_Toc26152"/>
      <w:bookmarkStart w:id="6223" w:name="_Toc8506"/>
      <w:bookmarkStart w:id="6224" w:name="_Toc20644"/>
      <w:bookmarkStart w:id="6225" w:name="_Toc28524"/>
      <w:bookmarkStart w:id="6226" w:name="_Toc8710"/>
      <w:bookmarkStart w:id="6227" w:name="_Toc11126"/>
      <w:bookmarkStart w:id="6228" w:name="_Toc28035"/>
      <w:bookmarkStart w:id="6229" w:name="_Toc15514"/>
      <w:bookmarkStart w:id="6230" w:name="_Toc11169"/>
      <w:bookmarkStart w:id="6231" w:name="_Toc2124"/>
      <w:bookmarkStart w:id="6232" w:name="_Toc3360"/>
      <w:bookmarkStart w:id="6233" w:name="_Toc12323"/>
    </w:p>
    <w:p>
      <w:pPr>
        <w:pStyle w:val="5"/>
        <w:spacing w:before="0"/>
        <w:rPr>
          <w:b w:val="0"/>
        </w:rPr>
      </w:pPr>
    </w:p>
    <w:p/>
    <w:p>
      <w:pPr>
        <w:pStyle w:val="18"/>
      </w:pPr>
    </w:p>
    <w:p>
      <w:pPr>
        <w:pStyle w:val="5"/>
        <w:spacing w:before="0"/>
        <w:ind w:firstLine="2772" w:firstLineChars="900"/>
        <w:rPr>
          <w:b w:val="0"/>
        </w:rPr>
      </w:pPr>
      <w:r>
        <w:rPr>
          <w:rFonts w:hint="eastAsia"/>
          <w:b w:val="0"/>
        </w:rPr>
        <w:t>第三节  合同附件格式</w:t>
      </w:r>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p>
    <w:p>
      <w:pPr>
        <w:pStyle w:val="6"/>
        <w:rPr>
          <w:rFonts w:ascii="黑体" w:eastAsia="黑体"/>
          <w:bCs w:val="0"/>
          <w:sz w:val="28"/>
          <w:szCs w:val="28"/>
        </w:rPr>
      </w:pPr>
      <w:bookmarkStart w:id="6234" w:name="_Toc12256"/>
      <w:bookmarkStart w:id="6235" w:name="_Toc21671"/>
      <w:bookmarkStart w:id="6236" w:name="_Toc288491667"/>
      <w:bookmarkStart w:id="6237" w:name="_Toc22332"/>
      <w:bookmarkStart w:id="6238" w:name="_Toc4448"/>
      <w:bookmarkStart w:id="6239" w:name="_Toc29348"/>
      <w:bookmarkStart w:id="6240" w:name="_Toc288546791"/>
      <w:bookmarkStart w:id="6241" w:name="_Toc29402"/>
      <w:bookmarkStart w:id="6242" w:name="_Toc31088"/>
      <w:bookmarkStart w:id="6243" w:name="_Toc287853491"/>
      <w:bookmarkStart w:id="6244" w:name="_Toc32741"/>
      <w:bookmarkStart w:id="6245" w:name="_Toc15807"/>
      <w:bookmarkStart w:id="6246" w:name="_Toc9544"/>
      <w:bookmarkStart w:id="6247" w:name="_Toc29437"/>
      <w:bookmarkStart w:id="6248" w:name="_Toc282779651"/>
      <w:bookmarkStart w:id="6249" w:name="_Toc282787606"/>
      <w:bookmarkStart w:id="6250" w:name="_Toc5072"/>
      <w:bookmarkStart w:id="6251" w:name="_Toc6569"/>
      <w:bookmarkStart w:id="6252" w:name="_Toc8757"/>
      <w:bookmarkStart w:id="6253" w:name="_Toc9083"/>
      <w:bookmarkStart w:id="6254" w:name="_Toc283794339"/>
      <w:bookmarkStart w:id="6255" w:name="_Toc282779142"/>
      <w:bookmarkStart w:id="6256" w:name="_Toc18957"/>
      <w:bookmarkStart w:id="6257" w:name="_Toc18604"/>
      <w:bookmarkStart w:id="6258" w:name="_Toc19019"/>
      <w:bookmarkStart w:id="6259" w:name="_Toc233429854"/>
      <w:bookmarkStart w:id="6260" w:name="_Toc233423337"/>
      <w:bookmarkStart w:id="6261" w:name="_Toc233290452"/>
      <w:bookmarkStart w:id="6262" w:name="_Toc233435993"/>
      <w:bookmarkStart w:id="6263" w:name="_Toc233214904"/>
      <w:bookmarkStart w:id="6264" w:name="_Toc152042551"/>
      <w:bookmarkStart w:id="6265" w:name="_Toc152045769"/>
      <w:bookmarkStart w:id="6266" w:name="_Toc179632787"/>
      <w:bookmarkStart w:id="6267" w:name="_Toc144974831"/>
      <w:r>
        <w:rPr>
          <w:rFonts w:hint="eastAsia" w:ascii="黑体" w:eastAsia="黑体"/>
          <w:bCs w:val="0"/>
          <w:sz w:val="28"/>
          <w:szCs w:val="28"/>
        </w:rPr>
        <w:t>附件一  合同协议书</w:t>
      </w:r>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p>
    <w:p>
      <w:pPr>
        <w:spacing w:line="400" w:lineRule="exact"/>
        <w:jc w:val="center"/>
        <w:rPr>
          <w:rFonts w:ascii="黑体" w:eastAsia="黑体"/>
          <w:sz w:val="28"/>
          <w:szCs w:val="28"/>
        </w:rPr>
      </w:pPr>
      <w:r>
        <w:rPr>
          <w:rFonts w:hint="eastAsia" w:ascii="黑体" w:eastAsia="黑体"/>
          <w:sz w:val="28"/>
          <w:szCs w:val="28"/>
        </w:rPr>
        <w:t>合同协议书</w:t>
      </w:r>
    </w:p>
    <w:p>
      <w:pPr>
        <w:spacing w:line="420" w:lineRule="exact"/>
        <w:ind w:firstLine="410" w:firstLineChars="171"/>
        <w:rPr>
          <w:sz w:val="24"/>
          <w:u w:val="single"/>
        </w:rPr>
      </w:pPr>
    </w:p>
    <w:p>
      <w:pPr>
        <w:spacing w:line="420" w:lineRule="exact"/>
        <w:ind w:firstLine="480" w:firstLineChars="200"/>
        <w:rPr>
          <w:rFonts w:ascii="楷体" w:hAnsi="楷体" w:cs="楷体"/>
          <w:sz w:val="24"/>
        </w:rPr>
      </w:pPr>
      <w:r>
        <w:rPr>
          <w:rFonts w:hint="eastAsia" w:ascii="楷体" w:hAnsi="楷体" w:cs="楷体"/>
          <w:sz w:val="24"/>
          <w:u w:val="single"/>
        </w:rPr>
        <w:t>（发包人名称）</w:t>
      </w:r>
      <w:r>
        <w:rPr>
          <w:rFonts w:hint="eastAsia" w:ascii="楷体" w:hAnsi="楷体" w:cs="楷体"/>
          <w:sz w:val="24"/>
        </w:rPr>
        <w:t>（</w:t>
      </w:r>
      <w:r>
        <w:rPr>
          <w:rFonts w:hint="eastAsia" w:ascii="楷体" w:hAnsi="楷体" w:cs="楷体"/>
          <w:kern w:val="0"/>
          <w:sz w:val="24"/>
        </w:rPr>
        <w:t>以下简称“发包人”）</w:t>
      </w:r>
      <w:r>
        <w:rPr>
          <w:rFonts w:hint="eastAsia" w:ascii="楷体" w:hAnsi="楷体" w:cs="楷体"/>
          <w:sz w:val="24"/>
        </w:rPr>
        <w:t>为实施</w:t>
      </w:r>
      <w:r>
        <w:rPr>
          <w:rFonts w:hint="eastAsia" w:ascii="楷体" w:hAnsi="楷体" w:cs="楷体"/>
          <w:sz w:val="24"/>
          <w:u w:val="single"/>
        </w:rPr>
        <w:t xml:space="preserve">   （项目名称）  </w:t>
      </w:r>
      <w:r>
        <w:rPr>
          <w:rFonts w:hint="eastAsia" w:ascii="楷体" w:hAnsi="楷体" w:cs="楷体"/>
          <w:sz w:val="24"/>
        </w:rPr>
        <w:t>，已接受</w:t>
      </w:r>
      <w:r>
        <w:rPr>
          <w:rFonts w:hint="eastAsia" w:ascii="楷体" w:hAnsi="楷体" w:cs="楷体"/>
          <w:sz w:val="24"/>
          <w:u w:val="single"/>
        </w:rPr>
        <w:t xml:space="preserve">   （承包人名称）   </w:t>
      </w:r>
      <w:r>
        <w:rPr>
          <w:rFonts w:hint="eastAsia" w:ascii="楷体" w:hAnsi="楷体" w:cs="楷体"/>
          <w:sz w:val="24"/>
        </w:rPr>
        <w:t>，</w:t>
      </w:r>
      <w:r>
        <w:rPr>
          <w:rFonts w:hint="eastAsia" w:ascii="楷体" w:hAnsi="楷体" w:cs="楷体"/>
          <w:kern w:val="0"/>
          <w:sz w:val="24"/>
        </w:rPr>
        <w:t>以下简称“承包人”）</w:t>
      </w:r>
      <w:r>
        <w:rPr>
          <w:rFonts w:hint="eastAsia" w:ascii="楷体" w:hAnsi="楷体" w:cs="楷体"/>
          <w:sz w:val="24"/>
        </w:rPr>
        <w:t>对该项目养护工程施工的投标。发包人和承包人共同达成如下协议。</w:t>
      </w:r>
    </w:p>
    <w:p>
      <w:pPr>
        <w:spacing w:line="420" w:lineRule="exact"/>
        <w:ind w:firstLine="480" w:firstLineChars="200"/>
        <w:rPr>
          <w:rFonts w:ascii="楷体" w:hAnsi="楷体" w:cs="楷体"/>
          <w:sz w:val="24"/>
        </w:rPr>
      </w:pPr>
      <w:r>
        <w:rPr>
          <w:rFonts w:hint="eastAsia" w:ascii="楷体" w:hAnsi="楷体" w:cs="楷体"/>
          <w:sz w:val="24"/>
        </w:rPr>
        <w:t>1．第标段由K＋至K＋计km路面、桥梁座，计长m以及其它……。</w:t>
      </w:r>
    </w:p>
    <w:p>
      <w:pPr>
        <w:spacing w:line="420" w:lineRule="exact"/>
        <w:ind w:firstLine="480" w:firstLineChars="200"/>
        <w:rPr>
          <w:rFonts w:ascii="楷体" w:hAnsi="楷体" w:cs="楷体"/>
          <w:sz w:val="24"/>
        </w:rPr>
      </w:pPr>
      <w:r>
        <w:rPr>
          <w:rFonts w:hint="eastAsia" w:ascii="楷体" w:hAnsi="楷体" w:cs="楷体"/>
          <w:sz w:val="24"/>
        </w:rPr>
        <w:t>2．下列文件应视为构成合同文件的组成部分：</w:t>
      </w:r>
    </w:p>
    <w:p>
      <w:pPr>
        <w:spacing w:line="420" w:lineRule="exact"/>
        <w:ind w:firstLine="820" w:firstLineChars="342"/>
        <w:rPr>
          <w:rFonts w:ascii="楷体" w:hAnsi="楷体" w:cs="楷体"/>
          <w:sz w:val="24"/>
        </w:rPr>
      </w:pPr>
      <w:r>
        <w:rPr>
          <w:rFonts w:hint="eastAsia" w:ascii="楷体" w:hAnsi="楷体" w:cs="楷体"/>
          <w:sz w:val="24"/>
        </w:rPr>
        <w:t>（1）本协议书及各种合同附件（含评标期间和合同谈判过程中的澄清文件和补充资料）；</w:t>
      </w:r>
    </w:p>
    <w:p>
      <w:pPr>
        <w:spacing w:line="420" w:lineRule="exact"/>
        <w:ind w:firstLine="820" w:firstLineChars="342"/>
        <w:rPr>
          <w:rFonts w:ascii="楷体" w:hAnsi="楷体" w:cs="楷体"/>
          <w:sz w:val="24"/>
        </w:rPr>
      </w:pPr>
      <w:r>
        <w:rPr>
          <w:rFonts w:hint="eastAsia" w:ascii="楷体" w:hAnsi="楷体" w:cs="楷体"/>
          <w:sz w:val="24"/>
        </w:rPr>
        <w:t>（2）中标通知书；</w:t>
      </w:r>
    </w:p>
    <w:p>
      <w:pPr>
        <w:spacing w:line="420" w:lineRule="exact"/>
        <w:ind w:firstLine="820" w:firstLineChars="342"/>
        <w:rPr>
          <w:rFonts w:ascii="楷体" w:hAnsi="楷体" w:cs="楷体"/>
          <w:sz w:val="24"/>
        </w:rPr>
      </w:pPr>
      <w:r>
        <w:rPr>
          <w:rFonts w:hint="eastAsia" w:ascii="楷体" w:hAnsi="楷体" w:cs="楷体"/>
          <w:sz w:val="24"/>
        </w:rPr>
        <w:t>（3）投标函及投标函附录；</w:t>
      </w:r>
    </w:p>
    <w:p>
      <w:pPr>
        <w:spacing w:line="420" w:lineRule="exact"/>
        <w:ind w:firstLine="820" w:firstLineChars="342"/>
        <w:rPr>
          <w:rFonts w:ascii="楷体" w:hAnsi="楷体" w:cs="楷体"/>
          <w:sz w:val="24"/>
        </w:rPr>
      </w:pPr>
      <w:r>
        <w:rPr>
          <w:rFonts w:hint="eastAsia" w:ascii="楷体" w:hAnsi="楷体" w:cs="楷体"/>
          <w:sz w:val="24"/>
        </w:rPr>
        <w:t>（4）项目专用合同条款；</w:t>
      </w:r>
    </w:p>
    <w:p>
      <w:pPr>
        <w:spacing w:line="420" w:lineRule="exact"/>
        <w:ind w:firstLine="820" w:firstLineChars="342"/>
        <w:rPr>
          <w:rFonts w:ascii="楷体" w:hAnsi="楷体" w:cs="楷体"/>
          <w:sz w:val="24"/>
        </w:rPr>
      </w:pPr>
      <w:r>
        <w:rPr>
          <w:rFonts w:hint="eastAsia" w:ascii="楷体" w:hAnsi="楷体" w:cs="楷体"/>
          <w:sz w:val="24"/>
        </w:rPr>
        <w:t>（5）通用合同条款；</w:t>
      </w:r>
    </w:p>
    <w:p>
      <w:pPr>
        <w:spacing w:line="420" w:lineRule="exact"/>
        <w:ind w:firstLine="820" w:firstLineChars="342"/>
        <w:rPr>
          <w:rFonts w:ascii="楷体" w:hAnsi="楷体" w:cs="楷体"/>
          <w:sz w:val="24"/>
        </w:rPr>
      </w:pPr>
      <w:r>
        <w:rPr>
          <w:rFonts w:hint="eastAsia" w:ascii="楷体" w:hAnsi="楷体" w:cs="楷体"/>
          <w:sz w:val="24"/>
        </w:rPr>
        <w:t>（6）技术规范；</w:t>
      </w:r>
    </w:p>
    <w:p>
      <w:pPr>
        <w:spacing w:line="420" w:lineRule="exact"/>
        <w:ind w:firstLine="820" w:firstLineChars="342"/>
        <w:rPr>
          <w:rFonts w:ascii="楷体" w:hAnsi="楷体" w:cs="楷体"/>
          <w:sz w:val="24"/>
        </w:rPr>
      </w:pPr>
      <w:r>
        <w:rPr>
          <w:rFonts w:hint="eastAsia" w:ascii="楷体" w:hAnsi="楷体" w:cs="楷体"/>
          <w:sz w:val="24"/>
        </w:rPr>
        <w:t>（7）图纸；</w:t>
      </w:r>
    </w:p>
    <w:p>
      <w:pPr>
        <w:spacing w:line="420" w:lineRule="exact"/>
        <w:ind w:firstLine="820" w:firstLineChars="342"/>
        <w:rPr>
          <w:rFonts w:ascii="楷体" w:hAnsi="楷体" w:cs="楷体"/>
          <w:sz w:val="24"/>
        </w:rPr>
      </w:pPr>
      <w:r>
        <w:rPr>
          <w:rFonts w:hint="eastAsia" w:ascii="楷体" w:hAnsi="楷体" w:cs="楷体"/>
          <w:sz w:val="24"/>
        </w:rPr>
        <w:t>（8）已标价工程量清单；</w:t>
      </w:r>
    </w:p>
    <w:p>
      <w:pPr>
        <w:spacing w:line="420" w:lineRule="exact"/>
        <w:ind w:firstLine="820" w:firstLineChars="342"/>
        <w:rPr>
          <w:rFonts w:ascii="楷体" w:hAnsi="楷体" w:cs="楷体"/>
          <w:sz w:val="24"/>
        </w:rPr>
      </w:pPr>
      <w:r>
        <w:rPr>
          <w:rFonts w:hint="eastAsia" w:ascii="楷体" w:hAnsi="楷体" w:cs="楷体"/>
          <w:sz w:val="24"/>
        </w:rPr>
        <w:t>（9）承包人有关人员、设备投入的承诺及投标文件中的养护工程作业方案；</w:t>
      </w:r>
    </w:p>
    <w:p>
      <w:pPr>
        <w:spacing w:line="420" w:lineRule="exact"/>
        <w:ind w:firstLine="820" w:firstLineChars="342"/>
        <w:rPr>
          <w:rFonts w:ascii="楷体" w:hAnsi="楷体" w:cs="楷体"/>
          <w:sz w:val="24"/>
        </w:rPr>
      </w:pPr>
      <w:r>
        <w:rPr>
          <w:rFonts w:hint="eastAsia" w:ascii="楷体" w:hAnsi="楷体" w:cs="楷体"/>
          <w:sz w:val="24"/>
        </w:rPr>
        <w:t>（10）其它合同文件。</w:t>
      </w:r>
    </w:p>
    <w:p>
      <w:pPr>
        <w:spacing w:line="420" w:lineRule="exact"/>
        <w:ind w:firstLine="480" w:firstLineChars="200"/>
        <w:rPr>
          <w:rFonts w:ascii="楷体" w:hAnsi="楷体" w:cs="楷体"/>
          <w:sz w:val="24"/>
        </w:rPr>
      </w:pPr>
      <w:r>
        <w:rPr>
          <w:rFonts w:hint="eastAsia" w:ascii="楷体" w:hAnsi="楷体" w:cs="楷体"/>
          <w:sz w:val="24"/>
        </w:rPr>
        <w:t>3．上述文件互相补充和解释，如有不明确或不一致之处，以合同约定次序在先者为准。</w:t>
      </w:r>
    </w:p>
    <w:p>
      <w:pPr>
        <w:spacing w:line="420" w:lineRule="exact"/>
        <w:ind w:left="199" w:leftChars="95" w:firstLine="480" w:firstLineChars="200"/>
        <w:jc w:val="left"/>
        <w:rPr>
          <w:rFonts w:ascii="楷体" w:hAnsi="楷体" w:cs="楷体"/>
          <w:sz w:val="24"/>
        </w:rPr>
      </w:pPr>
      <w:r>
        <w:rPr>
          <w:rFonts w:hint="eastAsia" w:ascii="楷体" w:hAnsi="楷体" w:cs="楷体"/>
          <w:sz w:val="24"/>
        </w:rPr>
        <w:t>4．根据工程量清单所列的预计数量和单价总额价计算的签约合同价：人民币（大写）元（¥）。其中第100章按各路线的投标报价比例分摊。</w:t>
      </w:r>
    </w:p>
    <w:p>
      <w:pPr>
        <w:spacing w:line="420" w:lineRule="exact"/>
        <w:ind w:firstLine="480" w:firstLineChars="200"/>
        <w:rPr>
          <w:rFonts w:ascii="楷体" w:hAnsi="楷体" w:cs="楷体"/>
          <w:sz w:val="24"/>
        </w:rPr>
      </w:pPr>
      <w:r>
        <w:rPr>
          <w:rFonts w:hint="eastAsia" w:ascii="楷体" w:hAnsi="楷体" w:cs="楷体"/>
          <w:sz w:val="24"/>
        </w:rPr>
        <w:t>5．承包人项目经理：；承包人项目总工：。</w:t>
      </w:r>
    </w:p>
    <w:p>
      <w:pPr>
        <w:spacing w:line="420" w:lineRule="exact"/>
        <w:ind w:firstLine="480" w:firstLineChars="200"/>
        <w:rPr>
          <w:rFonts w:ascii="楷体" w:hAnsi="楷体" w:cs="楷体"/>
          <w:sz w:val="24"/>
        </w:rPr>
      </w:pPr>
      <w:r>
        <w:rPr>
          <w:rFonts w:hint="eastAsia" w:ascii="楷体" w:hAnsi="楷体" w:cs="楷体"/>
          <w:sz w:val="24"/>
        </w:rPr>
        <w:t>6．本合同养护工程质量符合标准。</w:t>
      </w:r>
    </w:p>
    <w:p>
      <w:pPr>
        <w:spacing w:line="420" w:lineRule="exact"/>
        <w:ind w:firstLine="480" w:firstLineChars="200"/>
        <w:rPr>
          <w:rFonts w:ascii="楷体" w:hAnsi="楷体" w:cs="楷体"/>
          <w:sz w:val="24"/>
        </w:rPr>
      </w:pPr>
      <w:r>
        <w:rPr>
          <w:rFonts w:hint="eastAsia" w:ascii="楷体" w:hAnsi="楷体" w:cs="楷体"/>
          <w:sz w:val="24"/>
        </w:rPr>
        <w:t>7．为本合同养护工程实施和完成的报酬，发包人承诺按合同已标价工程量清单子目单价及实际数量，以计价规范作为工程计量支付依据的约定条件向承包人支付工程价款。</w:t>
      </w:r>
    </w:p>
    <w:p>
      <w:pPr>
        <w:spacing w:line="420" w:lineRule="exact"/>
        <w:ind w:firstLine="480" w:firstLineChars="200"/>
        <w:rPr>
          <w:rFonts w:ascii="楷体" w:hAnsi="楷体" w:cs="楷体"/>
          <w:sz w:val="24"/>
        </w:rPr>
      </w:pPr>
      <w:r>
        <w:rPr>
          <w:rFonts w:hint="eastAsia" w:ascii="楷体" w:hAnsi="楷体" w:cs="楷体"/>
          <w:sz w:val="24"/>
        </w:rPr>
        <w:t>8．承包人承诺按合同约定承担本养护工程的实施、完成及缺陷修复。</w:t>
      </w:r>
    </w:p>
    <w:p>
      <w:pPr>
        <w:spacing w:line="420" w:lineRule="exact"/>
        <w:ind w:firstLine="480" w:firstLineChars="200"/>
        <w:rPr>
          <w:rFonts w:ascii="楷体" w:hAnsi="楷体" w:cs="楷体"/>
          <w:sz w:val="24"/>
        </w:rPr>
      </w:pPr>
      <w:bookmarkStart w:id="6268" w:name="_Toc288546792"/>
      <w:bookmarkStart w:id="6269" w:name="_Toc287853492"/>
      <w:bookmarkStart w:id="6270" w:name="_Toc283794340"/>
      <w:bookmarkStart w:id="6271" w:name="_Toc288491668"/>
      <w:bookmarkStart w:id="6272" w:name="_Toc282779143"/>
      <w:bookmarkStart w:id="6273" w:name="_Toc282787607"/>
      <w:bookmarkStart w:id="6274" w:name="_Toc282779652"/>
      <w:r>
        <w:rPr>
          <w:rFonts w:hint="eastAsia" w:ascii="楷体" w:hAnsi="楷体" w:cs="楷体"/>
          <w:sz w:val="24"/>
        </w:rPr>
        <w:t>9．承包人按照监理人指示进驻，承包期为日历天</w:t>
      </w:r>
      <w:r>
        <w:rPr>
          <w:rFonts w:hint="eastAsia" w:ascii="楷体" w:hAnsi="楷体" w:cs="楷体"/>
          <w:sz w:val="24"/>
          <w:lang w:eastAsia="zh-CN"/>
        </w:rPr>
        <w:t>（或</w:t>
      </w:r>
      <w:r>
        <w:rPr>
          <w:rFonts w:hint="eastAsia" w:ascii="楷体" w:hAnsi="楷体" w:cs="楷体"/>
          <w:sz w:val="24"/>
          <w:lang w:val="en-US" w:eastAsia="zh-CN"/>
        </w:rPr>
        <w:t xml:space="preserve"> </w:t>
      </w:r>
      <w:r>
        <w:rPr>
          <w:rFonts w:hint="eastAsia" w:ascii="楷体" w:hAnsi="楷体" w:cs="楷体"/>
          <w:sz w:val="24"/>
          <w:lang w:eastAsia="zh-CN"/>
        </w:rPr>
        <w:t>个月）</w:t>
      </w:r>
      <w:r>
        <w:rPr>
          <w:rFonts w:hint="eastAsia" w:ascii="楷体" w:hAnsi="楷体" w:cs="楷体"/>
          <w:sz w:val="24"/>
        </w:rPr>
        <w:t>。</w:t>
      </w:r>
    </w:p>
    <w:p>
      <w:pPr>
        <w:spacing w:line="420" w:lineRule="exact"/>
        <w:ind w:firstLine="480" w:firstLineChars="200"/>
        <w:rPr>
          <w:rFonts w:ascii="楷体" w:hAnsi="楷体" w:cs="楷体"/>
          <w:sz w:val="24"/>
        </w:rPr>
      </w:pPr>
      <w:r>
        <w:rPr>
          <w:rFonts w:hint="eastAsia" w:ascii="楷体" w:hAnsi="楷体" w:cs="楷体"/>
          <w:sz w:val="24"/>
        </w:rPr>
        <w:t>10．本协议书在承包人提供履约担保后，由双方法定代表人或其委托代理人签署并加盖单位章后生效。全部养护工程完工后经交工验收合格、缺陷责任期满发缺陷责任终止证书后失效。</w:t>
      </w:r>
    </w:p>
    <w:p>
      <w:pPr>
        <w:spacing w:line="420" w:lineRule="exact"/>
        <w:ind w:firstLine="480" w:firstLineChars="200"/>
        <w:rPr>
          <w:rFonts w:ascii="楷体" w:hAnsi="楷体" w:cs="楷体"/>
          <w:sz w:val="24"/>
        </w:rPr>
      </w:pPr>
      <w:r>
        <w:rPr>
          <w:rFonts w:hint="eastAsia" w:ascii="楷体" w:hAnsi="楷体" w:cs="楷体"/>
          <w:sz w:val="24"/>
        </w:rPr>
        <w:t>11．本协议书正本二份、副本份，合同双方各执正本一份，副本份，当正本与副本的内容不一致时，以正本为准。</w:t>
      </w:r>
    </w:p>
    <w:p>
      <w:pPr>
        <w:spacing w:line="420" w:lineRule="exact"/>
        <w:ind w:firstLine="480" w:firstLineChars="200"/>
        <w:rPr>
          <w:rFonts w:ascii="楷体" w:hAnsi="楷体" w:cs="楷体"/>
          <w:sz w:val="24"/>
        </w:rPr>
      </w:pPr>
      <w:r>
        <w:rPr>
          <w:rFonts w:hint="eastAsia" w:ascii="楷体" w:hAnsi="楷体" w:cs="楷体"/>
          <w:sz w:val="24"/>
        </w:rPr>
        <w:t>12．合同未尽事宜，双方另行签订补充协议。补充协议是合同的组成部分。</w:t>
      </w:r>
    </w:p>
    <w:p>
      <w:pPr>
        <w:spacing w:line="440" w:lineRule="exact"/>
        <w:ind w:firstLine="410" w:firstLineChars="171"/>
        <w:rPr>
          <w:rFonts w:ascii="楷体" w:hAnsi="楷体" w:cs="楷体"/>
          <w:sz w:val="24"/>
        </w:rPr>
      </w:pPr>
    </w:p>
    <w:p>
      <w:pPr>
        <w:spacing w:line="440" w:lineRule="exact"/>
        <w:ind w:firstLine="410" w:firstLineChars="171"/>
        <w:rPr>
          <w:rFonts w:ascii="楷体" w:hAnsi="楷体" w:cs="楷体"/>
          <w:sz w:val="24"/>
        </w:rPr>
      </w:pPr>
    </w:p>
    <w:p>
      <w:pPr>
        <w:spacing w:line="440" w:lineRule="exact"/>
        <w:rPr>
          <w:rFonts w:ascii="楷体" w:hAnsi="楷体" w:cs="楷体"/>
          <w:sz w:val="24"/>
        </w:rPr>
      </w:pPr>
      <w:r>
        <w:rPr>
          <w:rFonts w:hint="eastAsia" w:ascii="楷体" w:hAnsi="楷体" w:cs="楷体"/>
          <w:sz w:val="24"/>
        </w:rPr>
        <w:t>发包人：（盖单位章）   承包人：（盖单位章）</w:t>
      </w:r>
    </w:p>
    <w:p>
      <w:pPr>
        <w:spacing w:line="440" w:lineRule="exact"/>
        <w:rPr>
          <w:rFonts w:ascii="楷体" w:hAnsi="楷体" w:cs="楷体"/>
          <w:sz w:val="24"/>
        </w:rPr>
      </w:pPr>
      <w:r>
        <w:rPr>
          <w:rFonts w:hint="eastAsia" w:ascii="楷体" w:hAnsi="楷体" w:cs="楷体"/>
          <w:sz w:val="24"/>
        </w:rPr>
        <w:t>法定代表人或其委托代理人：（签字）  法定代表人或其委托代理人：（签字）</w:t>
      </w:r>
    </w:p>
    <w:p>
      <w:pPr>
        <w:spacing w:line="440" w:lineRule="exact"/>
        <w:ind w:firstLine="840" w:firstLineChars="350"/>
        <w:rPr>
          <w:rFonts w:ascii="楷体" w:hAnsi="楷体" w:cs="楷体"/>
          <w:sz w:val="24"/>
        </w:rPr>
      </w:pPr>
      <w:r>
        <w:rPr>
          <w:rFonts w:hint="eastAsia" w:ascii="楷体" w:hAnsi="楷体" w:cs="楷体"/>
          <w:sz w:val="24"/>
        </w:rPr>
        <w:t>年月  日             年月 日</w:t>
      </w:r>
    </w:p>
    <w:p>
      <w:pPr>
        <w:pStyle w:val="27"/>
        <w:outlineLvl w:val="9"/>
        <w:rPr>
          <w:b/>
          <w:bCs/>
          <w:sz w:val="28"/>
          <w:szCs w:val="28"/>
        </w:rPr>
      </w:pPr>
    </w:p>
    <w:p>
      <w:pPr>
        <w:pStyle w:val="27"/>
        <w:outlineLvl w:val="9"/>
        <w:rPr>
          <w:b/>
          <w:bCs/>
          <w:sz w:val="28"/>
          <w:szCs w:val="28"/>
        </w:rPr>
      </w:pPr>
    </w:p>
    <w:bookmarkEnd w:id="6259"/>
    <w:bookmarkEnd w:id="6260"/>
    <w:bookmarkEnd w:id="6261"/>
    <w:bookmarkEnd w:id="6262"/>
    <w:bookmarkEnd w:id="6263"/>
    <w:bookmarkEnd w:id="6268"/>
    <w:bookmarkEnd w:id="6269"/>
    <w:bookmarkEnd w:id="6270"/>
    <w:bookmarkEnd w:id="6271"/>
    <w:bookmarkEnd w:id="6272"/>
    <w:bookmarkEnd w:id="6273"/>
    <w:bookmarkEnd w:id="6274"/>
    <w:p>
      <w:pPr>
        <w:pStyle w:val="6"/>
        <w:spacing w:before="0" w:after="0" w:line="360" w:lineRule="auto"/>
        <w:rPr>
          <w:rFonts w:ascii="黑体" w:eastAsia="黑体"/>
          <w:bCs w:val="0"/>
          <w:sz w:val="28"/>
          <w:szCs w:val="28"/>
        </w:rPr>
      </w:pPr>
      <w:bookmarkStart w:id="6275" w:name="_Toc4417"/>
      <w:bookmarkStart w:id="6276" w:name="_Toc30377"/>
      <w:bookmarkStart w:id="6277" w:name="_Toc4766"/>
      <w:bookmarkStart w:id="6278" w:name="_Toc29512"/>
      <w:bookmarkStart w:id="6279" w:name="_Toc16785"/>
      <w:bookmarkStart w:id="6280" w:name="_Toc5755"/>
      <w:bookmarkStart w:id="6281" w:name="_Toc8607"/>
      <w:bookmarkStart w:id="6282" w:name="_Toc11756"/>
      <w:bookmarkStart w:id="6283" w:name="_Toc17533"/>
      <w:bookmarkStart w:id="6284" w:name="_Toc15467"/>
      <w:bookmarkStart w:id="6285" w:name="_Toc10058"/>
      <w:bookmarkStart w:id="6286" w:name="_Toc11537"/>
      <w:bookmarkStart w:id="6287" w:name="_Toc29722"/>
      <w:bookmarkStart w:id="6288" w:name="_Toc32463"/>
      <w:bookmarkStart w:id="6289" w:name="_Toc31598"/>
      <w:bookmarkStart w:id="6290" w:name="_Toc3843"/>
      <w:bookmarkStart w:id="6291" w:name="_Toc21828"/>
      <w:bookmarkStart w:id="6292" w:name="_Toc30400"/>
    </w:p>
    <w:p>
      <w:pPr>
        <w:pStyle w:val="6"/>
        <w:spacing w:before="0" w:after="0" w:line="360" w:lineRule="auto"/>
        <w:rPr>
          <w:rFonts w:ascii="黑体" w:eastAsia="黑体"/>
          <w:bCs w:val="0"/>
          <w:sz w:val="28"/>
          <w:szCs w:val="28"/>
        </w:rPr>
      </w:pPr>
    </w:p>
    <w:p>
      <w:pPr>
        <w:pStyle w:val="6"/>
        <w:spacing w:before="0" w:after="0" w:line="360" w:lineRule="auto"/>
        <w:rPr>
          <w:rFonts w:ascii="黑体" w:eastAsia="黑体"/>
          <w:bCs w:val="0"/>
          <w:sz w:val="28"/>
          <w:szCs w:val="28"/>
        </w:rPr>
      </w:pPr>
    </w:p>
    <w:p>
      <w:pPr>
        <w:pStyle w:val="6"/>
        <w:spacing w:before="0" w:after="0" w:line="360" w:lineRule="auto"/>
        <w:rPr>
          <w:rFonts w:ascii="黑体" w:eastAsia="黑体"/>
          <w:bCs w:val="0"/>
          <w:sz w:val="28"/>
          <w:szCs w:val="28"/>
        </w:rPr>
      </w:pPr>
    </w:p>
    <w:p>
      <w:pPr>
        <w:pStyle w:val="6"/>
        <w:spacing w:before="0" w:after="0" w:line="360" w:lineRule="auto"/>
        <w:rPr>
          <w:rFonts w:ascii="黑体" w:eastAsia="黑体"/>
          <w:bCs w:val="0"/>
          <w:sz w:val="28"/>
          <w:szCs w:val="28"/>
        </w:rPr>
      </w:pPr>
    </w:p>
    <w:p/>
    <w:p>
      <w:pPr>
        <w:pStyle w:val="2"/>
        <w:ind w:firstLine="240"/>
      </w:pPr>
    </w:p>
    <w:p>
      <w:pPr>
        <w:pStyle w:val="2"/>
        <w:ind w:firstLine="240"/>
      </w:pPr>
    </w:p>
    <w:p>
      <w:pPr>
        <w:pStyle w:val="6"/>
        <w:spacing w:before="0" w:after="0" w:line="360" w:lineRule="auto"/>
        <w:rPr>
          <w:rFonts w:ascii="黑体" w:eastAsia="黑体"/>
          <w:bCs w:val="0"/>
          <w:sz w:val="28"/>
          <w:szCs w:val="28"/>
        </w:rPr>
      </w:pPr>
    </w:p>
    <w:p>
      <w:pPr>
        <w:rPr>
          <w:rFonts w:ascii="黑体" w:eastAsia="黑体"/>
          <w:sz w:val="28"/>
          <w:szCs w:val="28"/>
        </w:rPr>
      </w:pPr>
    </w:p>
    <w:p>
      <w:pPr>
        <w:pStyle w:val="2"/>
        <w:ind w:firstLine="240"/>
      </w:pPr>
    </w:p>
    <w:p/>
    <w:p>
      <w:pPr>
        <w:pStyle w:val="6"/>
        <w:spacing w:before="0" w:after="0" w:line="360" w:lineRule="auto"/>
        <w:rPr>
          <w:rFonts w:ascii="黑体" w:eastAsia="黑体"/>
          <w:bCs w:val="0"/>
          <w:sz w:val="28"/>
          <w:szCs w:val="28"/>
        </w:rPr>
      </w:pPr>
    </w:p>
    <w:p>
      <w:pPr>
        <w:spacing w:line="360" w:lineRule="auto"/>
      </w:pPr>
    </w:p>
    <w:p>
      <w:pPr>
        <w:spacing w:line="360" w:lineRule="auto"/>
        <w:rPr>
          <w:caps/>
          <w:sz w:val="20"/>
          <w:szCs w:val="20"/>
        </w:rPr>
      </w:pPr>
    </w:p>
    <w:p>
      <w:pPr>
        <w:pStyle w:val="18"/>
        <w:spacing w:before="0" w:after="0" w:line="360" w:lineRule="auto"/>
        <w:rPr>
          <w:rFonts w:ascii="黑体" w:eastAsia="黑体"/>
          <w:bCs w:val="0"/>
          <w:sz w:val="28"/>
          <w:szCs w:val="28"/>
        </w:rPr>
      </w:pPr>
    </w:p>
    <w:p>
      <w:pPr>
        <w:rPr>
          <w:rFonts w:ascii="黑体" w:eastAsia="黑体"/>
          <w:sz w:val="28"/>
          <w:szCs w:val="28"/>
        </w:rPr>
      </w:pPr>
      <w:r>
        <w:rPr>
          <w:rFonts w:hint="eastAsia" w:ascii="黑体" w:eastAsia="黑体"/>
          <w:sz w:val="28"/>
          <w:szCs w:val="28"/>
        </w:rPr>
        <w:br w:type="page"/>
      </w:r>
    </w:p>
    <w:p>
      <w:pPr>
        <w:pStyle w:val="6"/>
        <w:spacing w:before="0" w:after="0" w:line="360" w:lineRule="auto"/>
        <w:rPr>
          <w:rFonts w:ascii="黑体" w:eastAsia="黑体"/>
          <w:bCs w:val="0"/>
          <w:sz w:val="28"/>
          <w:szCs w:val="28"/>
        </w:rPr>
      </w:pPr>
      <w:r>
        <w:rPr>
          <w:rFonts w:hint="eastAsia" w:ascii="黑体" w:eastAsia="黑体"/>
          <w:bCs w:val="0"/>
          <w:sz w:val="28"/>
          <w:szCs w:val="28"/>
        </w:rPr>
        <w:t>附件二  廉政合同</w:t>
      </w:r>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p>
    <w:p>
      <w:pPr>
        <w:jc w:val="center"/>
        <w:rPr>
          <w:rFonts w:ascii="黑体" w:eastAsia="黑体"/>
          <w:sz w:val="28"/>
          <w:szCs w:val="28"/>
        </w:rPr>
      </w:pPr>
      <w:r>
        <w:rPr>
          <w:rFonts w:hint="eastAsia" w:ascii="黑体" w:eastAsia="黑体"/>
          <w:sz w:val="28"/>
          <w:szCs w:val="28"/>
        </w:rPr>
        <w:t>廉 政 合 同</w:t>
      </w:r>
    </w:p>
    <w:p/>
    <w:p>
      <w:pPr>
        <w:spacing w:line="420" w:lineRule="exact"/>
        <w:ind w:firstLine="480" w:firstLineChars="200"/>
        <w:rPr>
          <w:rFonts w:ascii="楷体" w:hAnsi="楷体" w:cs="楷体"/>
          <w:sz w:val="24"/>
        </w:rPr>
      </w:pPr>
      <w:r>
        <w:rPr>
          <w:rFonts w:hint="eastAsia" w:ascii="楷体" w:hAnsi="楷体" w:cs="楷体"/>
          <w:sz w:val="24"/>
        </w:rPr>
        <w:t>根据《关于在交通基础设施建设中加强廉政建设的若干意见》以及有关工程建设、廉政建设的规定，为做好工程建设中的党风廉政建设，保证工程建设高效优质，保证建设资金的安全和有效使用以及投资效益，（项目名称）的项目法人（项目法人名称，</w:t>
      </w:r>
      <w:r>
        <w:rPr>
          <w:rFonts w:hint="eastAsia" w:ascii="楷体" w:hAnsi="楷体" w:cs="楷体"/>
          <w:kern w:val="0"/>
          <w:sz w:val="24"/>
        </w:rPr>
        <w:t>以下简称“发包人”）</w:t>
      </w:r>
      <w:r>
        <w:rPr>
          <w:rFonts w:hint="eastAsia" w:ascii="楷体" w:hAnsi="楷体" w:cs="楷体"/>
          <w:sz w:val="24"/>
        </w:rPr>
        <w:t>与该项目的公路养护施工单位（施工单位名称，</w:t>
      </w:r>
      <w:r>
        <w:rPr>
          <w:rFonts w:hint="eastAsia" w:ascii="楷体" w:hAnsi="楷体" w:cs="楷体"/>
          <w:kern w:val="0"/>
          <w:sz w:val="24"/>
        </w:rPr>
        <w:t>以下简称“承包人”）</w:t>
      </w:r>
      <w:r>
        <w:rPr>
          <w:rFonts w:hint="eastAsia" w:ascii="楷体" w:hAnsi="楷体" w:cs="楷体"/>
          <w:sz w:val="24"/>
        </w:rPr>
        <w:t>，特订立如下合同。</w:t>
      </w:r>
    </w:p>
    <w:p>
      <w:pPr>
        <w:spacing w:line="420" w:lineRule="exact"/>
        <w:ind w:firstLine="480" w:firstLineChars="200"/>
        <w:rPr>
          <w:rFonts w:ascii="楷体" w:hAnsi="楷体" w:cs="楷体"/>
          <w:sz w:val="24"/>
        </w:rPr>
      </w:pPr>
      <w:r>
        <w:rPr>
          <w:rFonts w:hint="eastAsia" w:ascii="楷体" w:hAnsi="楷体" w:cs="楷体"/>
          <w:sz w:val="24"/>
        </w:rPr>
        <w:t>1．发包人和承包人双方的权利和义务</w:t>
      </w:r>
    </w:p>
    <w:p>
      <w:pPr>
        <w:spacing w:line="420" w:lineRule="exact"/>
        <w:ind w:firstLine="480" w:firstLineChars="200"/>
        <w:rPr>
          <w:rFonts w:ascii="楷体" w:hAnsi="楷体" w:cs="楷体"/>
          <w:sz w:val="24"/>
        </w:rPr>
      </w:pPr>
      <w:r>
        <w:rPr>
          <w:rFonts w:hint="eastAsia" w:ascii="楷体" w:hAnsi="楷体" w:cs="楷体"/>
          <w:sz w:val="24"/>
        </w:rPr>
        <w:t>（1）严格遵守党的政策规定和国家有关法律及交通运输部和浙江省交通运输厅的有关规定。</w:t>
      </w:r>
    </w:p>
    <w:p>
      <w:pPr>
        <w:spacing w:line="420" w:lineRule="exact"/>
        <w:ind w:firstLine="480" w:firstLineChars="200"/>
        <w:rPr>
          <w:rFonts w:ascii="楷体" w:hAnsi="楷体" w:cs="楷体"/>
          <w:sz w:val="24"/>
        </w:rPr>
      </w:pPr>
      <w:r>
        <w:rPr>
          <w:rFonts w:hint="eastAsia" w:ascii="楷体" w:hAnsi="楷体" w:cs="楷体"/>
          <w:sz w:val="24"/>
        </w:rPr>
        <w:t>（2）严格执行（项目名称）养护工程合同文件，自觉按合同办事。</w:t>
      </w:r>
    </w:p>
    <w:p>
      <w:pPr>
        <w:spacing w:line="420" w:lineRule="exact"/>
        <w:ind w:firstLine="480" w:firstLineChars="200"/>
        <w:rPr>
          <w:rFonts w:ascii="楷体" w:hAnsi="楷体" w:cs="楷体"/>
          <w:sz w:val="24"/>
        </w:rPr>
      </w:pPr>
      <w:r>
        <w:rPr>
          <w:rFonts w:hint="eastAsia" w:ascii="楷体" w:hAnsi="楷体" w:cs="楷体"/>
          <w:sz w:val="24"/>
        </w:rPr>
        <w:t>（3）双方的业务活动坚持公开、公正、诚信、透明的原则（法律认定的商业秘密和合同文件另有规定除外），不得损害国家和集体利益，不得违反工程建设管理规章制度。</w:t>
      </w:r>
    </w:p>
    <w:p>
      <w:pPr>
        <w:spacing w:line="420" w:lineRule="exact"/>
        <w:ind w:firstLine="480" w:firstLineChars="200"/>
        <w:rPr>
          <w:rFonts w:ascii="楷体" w:hAnsi="楷体" w:cs="楷体"/>
          <w:sz w:val="24"/>
        </w:rPr>
      </w:pPr>
      <w:r>
        <w:rPr>
          <w:rFonts w:hint="eastAsia" w:ascii="楷体" w:hAnsi="楷体" w:cs="楷体"/>
          <w:sz w:val="24"/>
        </w:rPr>
        <w:t>（4）建立健全廉政制度，开展廉政教育，设立廉政告示牌，公布举报电话，监督并认真查处违法违纪行为。</w:t>
      </w:r>
    </w:p>
    <w:p>
      <w:pPr>
        <w:spacing w:line="420" w:lineRule="exact"/>
        <w:ind w:firstLine="480" w:firstLineChars="200"/>
        <w:rPr>
          <w:rFonts w:ascii="楷体" w:hAnsi="楷体" w:cs="楷体"/>
          <w:sz w:val="24"/>
        </w:rPr>
      </w:pPr>
      <w:r>
        <w:rPr>
          <w:rFonts w:hint="eastAsia" w:ascii="楷体" w:hAnsi="楷体" w:cs="楷体"/>
          <w:sz w:val="24"/>
        </w:rPr>
        <w:t>（5）发现对方在业务活动中有违反廉政规定的行为，有及时提醒对方纠正的权利和义务。</w:t>
      </w:r>
    </w:p>
    <w:p>
      <w:pPr>
        <w:spacing w:line="420" w:lineRule="exact"/>
        <w:ind w:firstLine="480" w:firstLineChars="200"/>
        <w:rPr>
          <w:rFonts w:ascii="楷体" w:hAnsi="楷体" w:cs="楷体"/>
          <w:sz w:val="24"/>
        </w:rPr>
      </w:pPr>
      <w:r>
        <w:rPr>
          <w:rFonts w:hint="eastAsia" w:ascii="楷体" w:hAnsi="楷体" w:cs="楷体"/>
          <w:sz w:val="24"/>
        </w:rPr>
        <w:t>（6）发现对方严重违反本合同义务条款的行为，有向其上级有关部门举报、建议给予处理并要求告知处理结果的权利。</w:t>
      </w:r>
    </w:p>
    <w:p>
      <w:pPr>
        <w:spacing w:line="420" w:lineRule="exact"/>
        <w:ind w:firstLine="480" w:firstLineChars="200"/>
        <w:rPr>
          <w:rFonts w:ascii="楷体" w:hAnsi="楷体" w:cs="楷体"/>
          <w:sz w:val="24"/>
        </w:rPr>
      </w:pPr>
      <w:r>
        <w:rPr>
          <w:rFonts w:hint="eastAsia" w:ascii="楷体" w:hAnsi="楷体" w:cs="楷体"/>
          <w:sz w:val="24"/>
        </w:rPr>
        <w:t>2．发包人的义务</w:t>
      </w:r>
    </w:p>
    <w:p>
      <w:pPr>
        <w:spacing w:line="420" w:lineRule="exact"/>
        <w:ind w:firstLine="480" w:firstLineChars="200"/>
        <w:rPr>
          <w:rFonts w:ascii="楷体" w:hAnsi="楷体" w:cs="楷体"/>
          <w:sz w:val="24"/>
        </w:rPr>
      </w:pPr>
      <w:r>
        <w:rPr>
          <w:rFonts w:hint="eastAsia" w:ascii="楷体" w:hAnsi="楷体" w:cs="楷体"/>
          <w:sz w:val="24"/>
        </w:rPr>
        <w:t>（1）发包人及其工作人员不得索要或接受乙方的礼金，有价证券和贵重物品，不得让承包人报销任何应由发包人或发包人工作人员个人支付的费用等。</w:t>
      </w:r>
    </w:p>
    <w:p>
      <w:pPr>
        <w:spacing w:line="420" w:lineRule="exact"/>
        <w:ind w:firstLine="480" w:firstLineChars="200"/>
        <w:rPr>
          <w:rFonts w:ascii="楷体" w:hAnsi="楷体" w:cs="楷体"/>
          <w:sz w:val="24"/>
        </w:rPr>
      </w:pPr>
      <w:r>
        <w:rPr>
          <w:rFonts w:hint="eastAsia" w:ascii="楷体" w:hAnsi="楷体" w:cs="楷体"/>
          <w:sz w:val="24"/>
        </w:rPr>
        <w:t>（2）发包人工作人员不得参加承包人安排的超标准宴请和娱乐活动；不得接受承包人提供的通讯工具、交通工具和高档办公用品等。</w:t>
      </w:r>
    </w:p>
    <w:p>
      <w:pPr>
        <w:spacing w:line="420" w:lineRule="exact"/>
        <w:ind w:firstLine="480" w:firstLineChars="200"/>
        <w:rPr>
          <w:rFonts w:ascii="楷体" w:hAnsi="楷体" w:cs="楷体"/>
          <w:sz w:val="24"/>
        </w:rPr>
      </w:pPr>
      <w:r>
        <w:rPr>
          <w:rFonts w:hint="eastAsia" w:ascii="楷体" w:hAnsi="楷体" w:cs="楷体"/>
          <w:sz w:val="24"/>
        </w:rPr>
        <w:t>（3）发包人及其工作人员不得要求或者接受承包人为其住房装修、婚丧嫁娶活动、配偶子女的工作安排以及出国处境、旅游等提供方便等。</w:t>
      </w:r>
    </w:p>
    <w:p>
      <w:pPr>
        <w:spacing w:line="420" w:lineRule="exact"/>
        <w:ind w:firstLine="480" w:firstLineChars="200"/>
        <w:rPr>
          <w:rFonts w:ascii="楷体" w:hAnsi="楷体" w:cs="楷体"/>
          <w:sz w:val="24"/>
        </w:rPr>
      </w:pPr>
      <w:r>
        <w:rPr>
          <w:rFonts w:hint="eastAsia" w:ascii="楷体" w:hAnsi="楷体" w:cs="楷体"/>
          <w:sz w:val="24"/>
        </w:rPr>
        <w:t>（4）发包人工作人员的配偶、子女不得从事与发包人工程有关的材料设备供应、工程分包、劳务等经济活动等。</w:t>
      </w:r>
    </w:p>
    <w:p>
      <w:pPr>
        <w:spacing w:line="420" w:lineRule="exact"/>
        <w:ind w:firstLine="480" w:firstLineChars="200"/>
        <w:rPr>
          <w:rFonts w:ascii="楷体" w:hAnsi="楷体" w:cs="楷体"/>
          <w:sz w:val="24"/>
        </w:rPr>
      </w:pPr>
      <w:r>
        <w:rPr>
          <w:rFonts w:hint="eastAsia" w:ascii="楷体" w:hAnsi="楷体" w:cs="楷体"/>
          <w:sz w:val="24"/>
        </w:rPr>
        <w:t>（5）发包人及其工作人员不得以任何理由向承包人推荐分包单位，不得要求承包人购买合同规定外的材料和设备。</w:t>
      </w:r>
    </w:p>
    <w:p>
      <w:pPr>
        <w:spacing w:line="420" w:lineRule="exact"/>
        <w:ind w:firstLine="480" w:firstLineChars="200"/>
        <w:rPr>
          <w:rFonts w:ascii="楷体" w:hAnsi="楷体" w:cs="楷体"/>
          <w:sz w:val="24"/>
        </w:rPr>
      </w:pPr>
      <w:r>
        <w:rPr>
          <w:rFonts w:hint="eastAsia" w:ascii="楷体" w:hAnsi="楷体" w:cs="楷体"/>
          <w:sz w:val="24"/>
        </w:rPr>
        <w:t>3．承包人义务</w:t>
      </w:r>
    </w:p>
    <w:p>
      <w:pPr>
        <w:spacing w:line="420" w:lineRule="exact"/>
        <w:ind w:firstLine="480" w:firstLineChars="200"/>
        <w:rPr>
          <w:rFonts w:ascii="楷体" w:hAnsi="楷体" w:cs="楷体"/>
          <w:sz w:val="24"/>
        </w:rPr>
      </w:pPr>
      <w:r>
        <w:rPr>
          <w:rFonts w:hint="eastAsia" w:ascii="楷体" w:hAnsi="楷体" w:cs="楷体"/>
          <w:sz w:val="24"/>
        </w:rPr>
        <w:t>（1）承包人不得以任何理由向发包人及其工作人员行贿或馈赠礼金、有价证券、贵重礼品。</w:t>
      </w:r>
    </w:p>
    <w:p>
      <w:pPr>
        <w:spacing w:line="420" w:lineRule="exact"/>
        <w:ind w:firstLine="480" w:firstLineChars="200"/>
        <w:rPr>
          <w:rFonts w:ascii="楷体" w:hAnsi="楷体" w:cs="楷体"/>
          <w:sz w:val="24"/>
        </w:rPr>
      </w:pPr>
      <w:r>
        <w:rPr>
          <w:rFonts w:hint="eastAsia" w:ascii="楷体" w:hAnsi="楷体" w:cs="楷体"/>
          <w:sz w:val="24"/>
        </w:rPr>
        <w:t>（2）承包人不得以任何名义为发包人及其工作人员报销由发包人单位或个人支付的任何费用。</w:t>
      </w:r>
    </w:p>
    <w:p>
      <w:pPr>
        <w:spacing w:line="420" w:lineRule="exact"/>
        <w:ind w:firstLine="480" w:firstLineChars="200"/>
        <w:rPr>
          <w:rFonts w:ascii="楷体" w:hAnsi="楷体" w:cs="楷体"/>
          <w:sz w:val="24"/>
        </w:rPr>
      </w:pPr>
      <w:r>
        <w:rPr>
          <w:rFonts w:hint="eastAsia" w:ascii="楷体" w:hAnsi="楷体" w:cs="楷体"/>
          <w:sz w:val="24"/>
        </w:rPr>
        <w:t>（3）承包人不得以任何理由安排发包人工作人员参加超标准宴请及娱乐活动。</w:t>
      </w:r>
    </w:p>
    <w:p>
      <w:pPr>
        <w:spacing w:line="420" w:lineRule="exact"/>
        <w:ind w:firstLine="480" w:firstLineChars="200"/>
        <w:rPr>
          <w:rFonts w:ascii="楷体" w:hAnsi="楷体" w:cs="楷体"/>
          <w:sz w:val="24"/>
        </w:rPr>
      </w:pPr>
      <w:r>
        <w:rPr>
          <w:rFonts w:hint="eastAsia" w:ascii="楷体" w:hAnsi="楷体" w:cs="楷体"/>
          <w:sz w:val="24"/>
        </w:rPr>
        <w:t>（4）承包人不得为发包人单位和个人购置或提供通讯工具、交通工具和高档办公用品等。</w:t>
      </w:r>
    </w:p>
    <w:p>
      <w:pPr>
        <w:spacing w:line="420" w:lineRule="exact"/>
        <w:ind w:firstLine="480" w:firstLineChars="200"/>
        <w:rPr>
          <w:rFonts w:ascii="楷体" w:hAnsi="楷体" w:cs="楷体"/>
          <w:sz w:val="24"/>
        </w:rPr>
      </w:pPr>
      <w:r>
        <w:rPr>
          <w:rFonts w:hint="eastAsia" w:ascii="楷体" w:hAnsi="楷体" w:cs="楷体"/>
          <w:sz w:val="24"/>
        </w:rPr>
        <w:t>4．违约责任</w:t>
      </w:r>
    </w:p>
    <w:p>
      <w:pPr>
        <w:spacing w:line="420" w:lineRule="exact"/>
        <w:ind w:firstLine="480" w:firstLineChars="200"/>
        <w:rPr>
          <w:rFonts w:ascii="楷体" w:hAnsi="楷体" w:cs="楷体"/>
          <w:sz w:val="24"/>
        </w:rPr>
      </w:pPr>
      <w:r>
        <w:rPr>
          <w:rFonts w:hint="eastAsia" w:ascii="楷体" w:hAnsi="楷体" w:cs="楷体"/>
          <w:sz w:val="24"/>
        </w:rPr>
        <w:t>（1）发包人及其工作人员违反本合同第1、2条，按管理权限，依据有关规定给予党纪、政纪或组织处理；涉嫌犯罪的，移交司法机关追究刑事责任；给承包人单位造成经济损失的，应予以赔偿。</w:t>
      </w:r>
    </w:p>
    <w:p>
      <w:pPr>
        <w:spacing w:line="420" w:lineRule="exact"/>
        <w:ind w:firstLine="480" w:firstLineChars="200"/>
        <w:rPr>
          <w:rFonts w:ascii="楷体" w:hAnsi="楷体" w:cs="楷体"/>
          <w:sz w:val="24"/>
        </w:rPr>
      </w:pPr>
      <w:r>
        <w:rPr>
          <w:rFonts w:hint="eastAsia" w:ascii="楷体" w:hAnsi="楷体" w:cs="楷体"/>
          <w:sz w:val="24"/>
        </w:rPr>
        <w:t>（2）承包人及其工作人员违反本合同第1、3条，按管理权限，依据有关规定，给予党纪、政纪或组织处理；给发包人单位造成经济损失的，应予以赔偿;情节严重的，发包人建议交通工程建设主管部门给予承包人一至三年内不得进入其主管的交通工程建设市场的处罚。</w:t>
      </w:r>
    </w:p>
    <w:p>
      <w:pPr>
        <w:spacing w:line="420" w:lineRule="exact"/>
        <w:ind w:firstLine="480" w:firstLineChars="200"/>
        <w:rPr>
          <w:rFonts w:ascii="楷体" w:hAnsi="楷体" w:cs="楷体"/>
          <w:sz w:val="24"/>
        </w:rPr>
      </w:pPr>
      <w:r>
        <w:rPr>
          <w:rFonts w:hint="eastAsia" w:ascii="楷体" w:hAnsi="楷体" w:cs="楷体"/>
          <w:sz w:val="24"/>
        </w:rPr>
        <w:t>5．双方约定：本合同由双方上级单位的纪检监察机关负责监督执行。由发包人或发包人上级单位的纪检监察机关约请承包人或承包人上级单位纪检监察机关对本合同履行情况进行检查；提出在本合同规定范围内的裁定意见。</w:t>
      </w:r>
    </w:p>
    <w:p>
      <w:pPr>
        <w:spacing w:line="420" w:lineRule="exact"/>
        <w:ind w:firstLine="480" w:firstLineChars="200"/>
        <w:rPr>
          <w:rFonts w:ascii="楷体" w:hAnsi="楷体" w:cs="楷体"/>
          <w:sz w:val="24"/>
        </w:rPr>
      </w:pPr>
      <w:r>
        <w:rPr>
          <w:rFonts w:hint="eastAsia" w:ascii="楷体" w:hAnsi="楷体" w:cs="楷体"/>
          <w:sz w:val="24"/>
        </w:rPr>
        <w:t>6．本合同有效期为发包人和承包人签署之日起至该工程项目竣工验收后止。</w:t>
      </w:r>
    </w:p>
    <w:p>
      <w:pPr>
        <w:spacing w:line="420" w:lineRule="exact"/>
        <w:ind w:firstLine="480" w:firstLineChars="200"/>
        <w:rPr>
          <w:rFonts w:ascii="楷体" w:hAnsi="楷体" w:cs="楷体"/>
          <w:sz w:val="24"/>
        </w:rPr>
      </w:pPr>
      <w:r>
        <w:rPr>
          <w:rFonts w:hint="eastAsia" w:ascii="楷体" w:hAnsi="楷体" w:cs="楷体"/>
          <w:sz w:val="24"/>
        </w:rPr>
        <w:t>7．本合同作为（项目名称）公路养护工程施工合同的附件，与工程施工合同具有同等的法律效力，经合同双方签署立即生效。</w:t>
      </w:r>
    </w:p>
    <w:p>
      <w:pPr>
        <w:spacing w:line="420" w:lineRule="exact"/>
        <w:ind w:firstLine="480" w:firstLineChars="200"/>
        <w:rPr>
          <w:rFonts w:ascii="楷体" w:hAnsi="楷体" w:cs="楷体"/>
          <w:sz w:val="24"/>
        </w:rPr>
      </w:pPr>
      <w:r>
        <w:rPr>
          <w:rFonts w:hint="eastAsia" w:ascii="楷体" w:hAnsi="楷体" w:cs="楷体"/>
          <w:sz w:val="24"/>
        </w:rPr>
        <w:t>8．本合同一式四份，由发包人和承包人各执一份，送交发包人和承包人的监督单位各一份。</w:t>
      </w:r>
    </w:p>
    <w:p>
      <w:pPr>
        <w:spacing w:line="420" w:lineRule="exact"/>
        <w:ind w:firstLine="480" w:firstLineChars="200"/>
        <w:rPr>
          <w:rFonts w:ascii="楷体" w:hAnsi="楷体" w:cs="楷体"/>
          <w:sz w:val="24"/>
        </w:rPr>
      </w:pPr>
    </w:p>
    <w:p>
      <w:pPr>
        <w:spacing w:line="440" w:lineRule="exact"/>
        <w:rPr>
          <w:rFonts w:ascii="楷体" w:hAnsi="楷体" w:cs="楷体"/>
          <w:sz w:val="24"/>
        </w:rPr>
      </w:pPr>
      <w:r>
        <w:rPr>
          <w:rFonts w:hint="eastAsia" w:ascii="楷体" w:hAnsi="楷体" w:cs="楷体"/>
          <w:sz w:val="24"/>
        </w:rPr>
        <w:t>发包人：（盖单位章）   承包人：（盖单位章）</w:t>
      </w:r>
    </w:p>
    <w:p>
      <w:pPr>
        <w:spacing w:line="440" w:lineRule="exact"/>
        <w:rPr>
          <w:rFonts w:ascii="楷体" w:hAnsi="楷体" w:cs="楷体"/>
          <w:sz w:val="24"/>
        </w:rPr>
      </w:pPr>
      <w:r>
        <w:rPr>
          <w:rFonts w:hint="eastAsia" w:ascii="楷体" w:hAnsi="楷体" w:cs="楷体"/>
          <w:sz w:val="24"/>
        </w:rPr>
        <w:t>法定代表人或其委托代理人：（签字）  法定代表人或其委托代理人：（签字）</w:t>
      </w:r>
    </w:p>
    <w:p>
      <w:pPr>
        <w:spacing w:line="420" w:lineRule="exact"/>
        <w:ind w:firstLine="480" w:firstLineChars="200"/>
        <w:rPr>
          <w:rFonts w:ascii="楷体" w:hAnsi="楷体" w:cs="楷体"/>
          <w:sz w:val="24"/>
        </w:rPr>
      </w:pPr>
      <w:r>
        <w:rPr>
          <w:rFonts w:hint="eastAsia" w:ascii="楷体" w:hAnsi="楷体" w:cs="楷体"/>
          <w:sz w:val="24"/>
        </w:rPr>
        <w:t>年月  日          年月 日</w:t>
      </w:r>
    </w:p>
    <w:p>
      <w:pPr>
        <w:spacing w:line="420" w:lineRule="exact"/>
        <w:ind w:firstLine="480" w:firstLineChars="200"/>
        <w:rPr>
          <w:rFonts w:ascii="楷体" w:hAnsi="楷体" w:cs="楷体"/>
          <w:sz w:val="24"/>
        </w:rPr>
      </w:pPr>
    </w:p>
    <w:p>
      <w:pPr>
        <w:rPr>
          <w:b/>
          <w:bCs/>
          <w:sz w:val="28"/>
          <w:szCs w:val="28"/>
        </w:rPr>
      </w:pPr>
      <w:r>
        <w:rPr>
          <w:rFonts w:hint="eastAsia" w:ascii="楷体" w:hAnsi="楷体" w:cs="楷体"/>
          <w:sz w:val="24"/>
        </w:rPr>
        <w:t>发包人监督单位：</w:t>
      </w:r>
      <w:r>
        <w:rPr>
          <w:rFonts w:hint="eastAsia" w:ascii="楷体" w:hAnsi="楷体" w:cs="楷体"/>
          <w:sz w:val="24"/>
          <w:u w:val="single"/>
        </w:rPr>
        <w:t>（全称）（盖单位章）</w:t>
      </w:r>
      <w:r>
        <w:rPr>
          <w:rFonts w:hint="eastAsia" w:ascii="楷体" w:hAnsi="楷体" w:cs="楷体"/>
          <w:sz w:val="24"/>
        </w:rPr>
        <w:t xml:space="preserve">     承包人监督单位：</w:t>
      </w:r>
      <w:r>
        <w:rPr>
          <w:rFonts w:hint="eastAsia" w:ascii="楷体" w:hAnsi="楷体" w:cs="楷体"/>
          <w:sz w:val="24"/>
          <w:u w:val="single"/>
        </w:rPr>
        <w:t>（全称）（盖单位章）</w:t>
      </w:r>
      <w:bookmarkStart w:id="6293" w:name="_Toc288491669"/>
      <w:bookmarkStart w:id="6294" w:name="_Toc233423338"/>
      <w:bookmarkStart w:id="6295" w:name="_Toc283794341"/>
      <w:bookmarkStart w:id="6296" w:name="_Toc233429855"/>
      <w:bookmarkStart w:id="6297" w:name="_Toc282779653"/>
      <w:bookmarkStart w:id="6298" w:name="_Toc233435994"/>
      <w:bookmarkStart w:id="6299" w:name="_Toc233214905"/>
      <w:bookmarkStart w:id="6300" w:name="_Toc282779144"/>
      <w:bookmarkStart w:id="6301" w:name="_Toc287853493"/>
      <w:bookmarkStart w:id="6302" w:name="_Toc282787608"/>
      <w:bookmarkStart w:id="6303" w:name="_Toc288546793"/>
      <w:bookmarkStart w:id="6304" w:name="_Toc233290453"/>
    </w:p>
    <w:p>
      <w:pPr>
        <w:rPr>
          <w:b/>
          <w:bCs/>
          <w:sz w:val="28"/>
          <w:szCs w:val="28"/>
        </w:rPr>
      </w:pPr>
    </w:p>
    <w:p>
      <w:pPr>
        <w:rPr>
          <w:b/>
          <w:bCs/>
          <w:sz w:val="28"/>
          <w:szCs w:val="28"/>
        </w:rPr>
      </w:pPr>
    </w:p>
    <w:p>
      <w:pPr>
        <w:pStyle w:val="6"/>
        <w:spacing w:before="0" w:after="0" w:line="360" w:lineRule="auto"/>
        <w:rPr>
          <w:rFonts w:ascii="黑体" w:eastAsia="黑体"/>
          <w:bCs w:val="0"/>
          <w:sz w:val="28"/>
          <w:szCs w:val="28"/>
        </w:rPr>
      </w:pPr>
      <w:bookmarkStart w:id="6305" w:name="_Toc1144"/>
      <w:bookmarkStart w:id="6306" w:name="_Toc29500"/>
      <w:bookmarkStart w:id="6307" w:name="_Toc9893"/>
      <w:bookmarkStart w:id="6308" w:name="_Toc22622"/>
      <w:bookmarkStart w:id="6309" w:name="_Toc14755"/>
      <w:bookmarkStart w:id="6310" w:name="_Toc28006"/>
      <w:bookmarkStart w:id="6311" w:name="_Toc27495"/>
      <w:bookmarkStart w:id="6312" w:name="_Toc14777"/>
      <w:bookmarkStart w:id="6313" w:name="_Toc15493"/>
      <w:bookmarkStart w:id="6314" w:name="_Toc13857"/>
      <w:bookmarkStart w:id="6315" w:name="_Toc16773"/>
      <w:bookmarkStart w:id="6316" w:name="_Toc25114"/>
      <w:bookmarkStart w:id="6317" w:name="_Toc8049"/>
      <w:bookmarkStart w:id="6318" w:name="_Toc18153"/>
      <w:bookmarkStart w:id="6319" w:name="_Toc13803"/>
      <w:bookmarkStart w:id="6320" w:name="_Toc6660"/>
      <w:bookmarkStart w:id="6321" w:name="_Toc25075"/>
      <w:bookmarkStart w:id="6322" w:name="_Toc19315"/>
      <w:r>
        <w:rPr>
          <w:rFonts w:hint="eastAsia" w:ascii="黑体" w:eastAsia="黑体"/>
          <w:bCs w:val="0"/>
          <w:sz w:val="28"/>
          <w:szCs w:val="28"/>
        </w:rPr>
        <w:t>附件三  安全生产合同</w:t>
      </w:r>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p>
    <w:p>
      <w:pPr>
        <w:jc w:val="center"/>
        <w:rPr>
          <w:rFonts w:ascii="黑体" w:eastAsia="黑体"/>
          <w:sz w:val="28"/>
          <w:szCs w:val="28"/>
        </w:rPr>
      </w:pPr>
      <w:r>
        <w:rPr>
          <w:rFonts w:hint="eastAsia" w:ascii="黑体" w:eastAsia="黑体"/>
          <w:sz w:val="28"/>
          <w:szCs w:val="28"/>
        </w:rPr>
        <w:t>安全生产合同</w:t>
      </w:r>
    </w:p>
    <w:p>
      <w:pPr>
        <w:spacing w:line="420" w:lineRule="exact"/>
        <w:ind w:firstLine="480" w:firstLineChars="200"/>
        <w:rPr>
          <w:rFonts w:ascii="楷体" w:hAnsi="楷体" w:cs="楷体"/>
          <w:kern w:val="0"/>
          <w:sz w:val="24"/>
        </w:rPr>
      </w:pPr>
      <w:r>
        <w:rPr>
          <w:rFonts w:hint="eastAsia" w:ascii="楷体" w:hAnsi="楷体" w:cs="楷体"/>
          <w:kern w:val="0"/>
          <w:sz w:val="24"/>
        </w:rPr>
        <w:t>为在（项目名称）公路养护施工合同的实施过程中创造安全、高效的施工环境，切实搞好本项目的安全</w:t>
      </w:r>
      <w:r>
        <w:fldChar w:fldCharType="begin"/>
      </w:r>
      <w:r>
        <w:instrText xml:space="preserve"> HYPERLINK "http://lwcool.com/lw/showcls.asp?id=162&amp;parent=0" </w:instrText>
      </w:r>
      <w:r>
        <w:fldChar w:fldCharType="separate"/>
      </w:r>
      <w:r>
        <w:rPr>
          <w:rFonts w:hint="eastAsia" w:ascii="楷体" w:hAnsi="楷体" w:cs="楷体"/>
          <w:kern w:val="0"/>
          <w:sz w:val="24"/>
        </w:rPr>
        <w:t>管理</w:t>
      </w:r>
      <w:r>
        <w:rPr>
          <w:rFonts w:hint="eastAsia" w:ascii="楷体" w:hAnsi="楷体" w:cs="楷体"/>
          <w:kern w:val="0"/>
          <w:sz w:val="24"/>
        </w:rPr>
        <w:fldChar w:fldCharType="end"/>
      </w:r>
      <w:r>
        <w:rPr>
          <w:rFonts w:hint="eastAsia" w:ascii="楷体" w:hAnsi="楷体" w:cs="楷体"/>
          <w:kern w:val="0"/>
          <w:sz w:val="24"/>
        </w:rPr>
        <w:t>工作，本项目发包人（发包人名称，以下简称“发包人”）与承包人（承包人名称，以下简称“乙方”）特此签订安全生产合同：</w:t>
      </w:r>
    </w:p>
    <w:p>
      <w:pPr>
        <w:spacing w:line="420" w:lineRule="exact"/>
        <w:ind w:firstLine="480" w:firstLineChars="200"/>
        <w:rPr>
          <w:rFonts w:ascii="楷体" w:hAnsi="楷体" w:cs="楷体"/>
          <w:kern w:val="0"/>
          <w:sz w:val="24"/>
        </w:rPr>
      </w:pPr>
      <w:r>
        <w:rPr>
          <w:rFonts w:hint="eastAsia" w:ascii="楷体" w:hAnsi="楷体" w:cs="楷体"/>
          <w:kern w:val="0"/>
          <w:sz w:val="24"/>
        </w:rPr>
        <w:t>1．发包人职责</w:t>
      </w:r>
    </w:p>
    <w:p>
      <w:pPr>
        <w:widowControl/>
        <w:shd w:val="clear" w:color="auto" w:fill="FFFFFF"/>
        <w:spacing w:line="420" w:lineRule="exact"/>
        <w:ind w:firstLine="480" w:firstLineChars="200"/>
        <w:jc w:val="left"/>
        <w:rPr>
          <w:rFonts w:ascii="楷体" w:hAnsi="楷体" w:cs="楷体"/>
          <w:kern w:val="0"/>
          <w:sz w:val="24"/>
        </w:rPr>
      </w:pPr>
      <w:r>
        <w:rPr>
          <w:rFonts w:hint="eastAsia" w:ascii="楷体" w:hAnsi="楷体" w:cs="楷体"/>
          <w:kern w:val="0"/>
          <w:sz w:val="24"/>
        </w:rPr>
        <w:t>（1）严格遵守国家有关安全生产的</w:t>
      </w:r>
      <w:r>
        <w:fldChar w:fldCharType="begin"/>
      </w:r>
      <w:r>
        <w:instrText xml:space="preserve"> HYPERLINK "http://lwcool.com/lw/showcls.asp?id=4&amp;parent=0" </w:instrText>
      </w:r>
      <w:r>
        <w:fldChar w:fldCharType="separate"/>
      </w:r>
      <w:r>
        <w:rPr>
          <w:rFonts w:hint="eastAsia" w:ascii="楷体" w:hAnsi="楷体" w:cs="楷体"/>
          <w:kern w:val="0"/>
          <w:sz w:val="24"/>
          <w:u w:val="single"/>
        </w:rPr>
        <w:t>法律</w:t>
      </w:r>
      <w:r>
        <w:rPr>
          <w:rFonts w:hint="eastAsia" w:ascii="楷体" w:hAnsi="楷体" w:cs="楷体"/>
          <w:kern w:val="0"/>
          <w:sz w:val="24"/>
          <w:u w:val="single"/>
        </w:rPr>
        <w:fldChar w:fldCharType="end"/>
      </w:r>
      <w:r>
        <w:rPr>
          <w:rFonts w:hint="eastAsia" w:ascii="楷体" w:hAnsi="楷体" w:cs="楷体"/>
          <w:kern w:val="0"/>
          <w:sz w:val="24"/>
        </w:rPr>
        <w:t>法规，认真执行工程承包合同中的有关安全要求。</w:t>
      </w:r>
    </w:p>
    <w:p>
      <w:pPr>
        <w:widowControl/>
        <w:shd w:val="clear" w:color="auto" w:fill="FFFFFF"/>
        <w:spacing w:line="420" w:lineRule="exact"/>
        <w:ind w:firstLine="480" w:firstLineChars="200"/>
        <w:jc w:val="left"/>
        <w:rPr>
          <w:rFonts w:ascii="楷体" w:hAnsi="楷体" w:cs="楷体"/>
          <w:kern w:val="0"/>
          <w:sz w:val="24"/>
        </w:rPr>
      </w:pPr>
      <w:r>
        <w:rPr>
          <w:rFonts w:hint="eastAsia" w:ascii="楷体" w:hAnsi="楷体" w:cs="楷体"/>
          <w:kern w:val="0"/>
          <w:sz w:val="24"/>
        </w:rPr>
        <w:t>（2）按照“安全第一、预防为主”和坚持“管生产必须管安全”的原则进行安全生产</w:t>
      </w:r>
      <w:r>
        <w:fldChar w:fldCharType="begin"/>
      </w:r>
      <w:r>
        <w:instrText xml:space="preserve"> HYPERLINK "http://lwcool.com/lw/showcls.asp?id=162&amp;parent=0" </w:instrText>
      </w:r>
      <w:r>
        <w:fldChar w:fldCharType="separate"/>
      </w:r>
      <w:r>
        <w:rPr>
          <w:rFonts w:hint="eastAsia" w:ascii="楷体" w:hAnsi="楷体" w:cs="楷体"/>
          <w:kern w:val="0"/>
          <w:sz w:val="24"/>
        </w:rPr>
        <w:t>管理</w:t>
      </w:r>
      <w:r>
        <w:rPr>
          <w:rFonts w:hint="eastAsia" w:ascii="楷体" w:hAnsi="楷体" w:cs="楷体"/>
          <w:kern w:val="0"/>
          <w:sz w:val="24"/>
        </w:rPr>
        <w:fldChar w:fldCharType="end"/>
      </w:r>
      <w:r>
        <w:rPr>
          <w:rFonts w:hint="eastAsia" w:ascii="楷体" w:hAnsi="楷体" w:cs="楷体"/>
          <w:kern w:val="0"/>
          <w:sz w:val="24"/>
        </w:rPr>
        <w:t>，做到生产与安全工作同时</w:t>
      </w:r>
      <w:r>
        <w:fldChar w:fldCharType="begin"/>
      </w:r>
      <w:r>
        <w:instrText xml:space="preserve"> HYPERLINK "http://lwcool.com/gw/showcls.asp?id=3&amp;parent=0" </w:instrText>
      </w:r>
      <w:r>
        <w:fldChar w:fldCharType="separate"/>
      </w:r>
      <w:r>
        <w:rPr>
          <w:rFonts w:hint="eastAsia" w:ascii="楷体" w:hAnsi="楷体" w:cs="楷体"/>
          <w:kern w:val="0"/>
          <w:sz w:val="24"/>
        </w:rPr>
        <w:t>计划</w:t>
      </w:r>
      <w:r>
        <w:rPr>
          <w:rFonts w:hint="eastAsia" w:ascii="楷体" w:hAnsi="楷体" w:cs="楷体"/>
          <w:kern w:val="0"/>
          <w:sz w:val="24"/>
        </w:rPr>
        <w:fldChar w:fldCharType="end"/>
      </w:r>
      <w:r>
        <w:rPr>
          <w:rFonts w:hint="eastAsia" w:ascii="楷体" w:hAnsi="楷体" w:cs="楷体"/>
          <w:kern w:val="0"/>
          <w:sz w:val="24"/>
        </w:rPr>
        <w:t>、布置、检查、</w:t>
      </w:r>
      <w:r>
        <w:fldChar w:fldCharType="begin"/>
      </w:r>
      <w:r>
        <w:instrText xml:space="preserve"> HYPERLINK "http://lwcool.com/gw/showcls.asp?parent=0&amp;id=4" </w:instrText>
      </w:r>
      <w:r>
        <w:fldChar w:fldCharType="separate"/>
      </w:r>
      <w:r>
        <w:rPr>
          <w:rFonts w:hint="eastAsia" w:ascii="楷体" w:hAnsi="楷体" w:cs="楷体"/>
          <w:kern w:val="0"/>
          <w:sz w:val="24"/>
        </w:rPr>
        <w:t>总结</w:t>
      </w:r>
      <w:r>
        <w:rPr>
          <w:rFonts w:hint="eastAsia" w:ascii="楷体" w:hAnsi="楷体" w:cs="楷体"/>
          <w:kern w:val="0"/>
          <w:sz w:val="24"/>
        </w:rPr>
        <w:fldChar w:fldCharType="end"/>
      </w:r>
      <w:r>
        <w:rPr>
          <w:rFonts w:hint="eastAsia" w:ascii="楷体" w:hAnsi="楷体" w:cs="楷体"/>
          <w:kern w:val="0"/>
          <w:sz w:val="24"/>
        </w:rPr>
        <w:t>和评比。</w:t>
      </w:r>
    </w:p>
    <w:p>
      <w:pPr>
        <w:widowControl/>
        <w:shd w:val="clear" w:color="auto" w:fill="FFFFFF"/>
        <w:spacing w:line="420" w:lineRule="exact"/>
        <w:ind w:firstLine="480" w:firstLineChars="200"/>
        <w:jc w:val="left"/>
        <w:rPr>
          <w:rFonts w:ascii="楷体" w:hAnsi="楷体" w:cs="楷体"/>
          <w:kern w:val="0"/>
          <w:sz w:val="24"/>
        </w:rPr>
      </w:pPr>
      <w:r>
        <w:rPr>
          <w:rFonts w:hint="eastAsia" w:ascii="楷体" w:hAnsi="楷体" w:cs="楷体"/>
          <w:kern w:val="0"/>
          <w:sz w:val="24"/>
        </w:rPr>
        <w:t>（3）重要的安全设施必须坚持与主体工程“三同时”的原则，即：同时设计、审批，同时施工，同时验收，投入使用。</w:t>
      </w:r>
    </w:p>
    <w:p>
      <w:pPr>
        <w:widowControl/>
        <w:shd w:val="clear" w:color="auto" w:fill="FFFFFF"/>
        <w:spacing w:line="420" w:lineRule="exact"/>
        <w:ind w:firstLine="480" w:firstLineChars="200"/>
        <w:jc w:val="left"/>
        <w:rPr>
          <w:rFonts w:ascii="楷体" w:hAnsi="楷体" w:cs="楷体"/>
          <w:kern w:val="0"/>
          <w:sz w:val="24"/>
        </w:rPr>
      </w:pPr>
      <w:r>
        <w:rPr>
          <w:rFonts w:hint="eastAsia" w:ascii="楷体" w:hAnsi="楷体" w:cs="楷体"/>
          <w:kern w:val="0"/>
          <w:sz w:val="24"/>
        </w:rPr>
        <w:t>（4）定期召开安全生产调度会，及时伟达中央及地方有关安全生产的精神。</w:t>
      </w:r>
    </w:p>
    <w:p>
      <w:pPr>
        <w:widowControl/>
        <w:shd w:val="clear" w:color="auto" w:fill="FFFFFF"/>
        <w:spacing w:line="420" w:lineRule="exact"/>
        <w:ind w:firstLine="480" w:firstLineChars="200"/>
        <w:jc w:val="left"/>
        <w:rPr>
          <w:rFonts w:ascii="楷体" w:hAnsi="楷体" w:cs="楷体"/>
          <w:kern w:val="0"/>
          <w:sz w:val="24"/>
        </w:rPr>
      </w:pPr>
      <w:r>
        <w:rPr>
          <w:rFonts w:hint="eastAsia" w:ascii="楷体" w:hAnsi="楷体" w:cs="楷体"/>
          <w:kern w:val="0"/>
          <w:sz w:val="24"/>
        </w:rPr>
        <w:t>（5）组织对承包人施工现场进行安全生产检查，监督承包人及时处理发现的各种安全隐患。</w:t>
      </w:r>
    </w:p>
    <w:p>
      <w:pPr>
        <w:spacing w:line="420" w:lineRule="exact"/>
        <w:ind w:firstLine="480" w:firstLineChars="200"/>
        <w:rPr>
          <w:rFonts w:ascii="楷体" w:hAnsi="楷体" w:cs="楷体"/>
          <w:kern w:val="0"/>
          <w:sz w:val="24"/>
        </w:rPr>
      </w:pPr>
      <w:r>
        <w:rPr>
          <w:rFonts w:hint="eastAsia" w:ascii="楷体" w:hAnsi="楷体" w:cs="楷体"/>
          <w:kern w:val="0"/>
          <w:sz w:val="24"/>
        </w:rPr>
        <w:t>2．承包人职责</w:t>
      </w:r>
    </w:p>
    <w:p>
      <w:pPr>
        <w:widowControl/>
        <w:shd w:val="clear" w:color="auto" w:fill="FFFFFF"/>
        <w:spacing w:line="420" w:lineRule="exact"/>
        <w:ind w:firstLine="480" w:firstLineChars="200"/>
        <w:jc w:val="left"/>
        <w:rPr>
          <w:rFonts w:ascii="楷体" w:hAnsi="楷体" w:cs="楷体"/>
          <w:kern w:val="0"/>
          <w:sz w:val="24"/>
        </w:rPr>
      </w:pPr>
      <w:r>
        <w:rPr>
          <w:rFonts w:hint="eastAsia" w:ascii="楷体" w:hAnsi="楷体" w:cs="楷体"/>
          <w:kern w:val="0"/>
          <w:sz w:val="24"/>
        </w:rPr>
        <w:t>（1）严格遵守《中华人民共和国安全生产法》、《建设工程安全生产管理条例》等国家有关安全生产的的</w:t>
      </w:r>
      <w:r>
        <w:rPr>
          <w:rFonts w:hint="eastAsia"/>
        </w:rPr>
        <w:fldChar w:fldCharType="begin"/>
      </w:r>
      <w:r>
        <w:instrText xml:space="preserve"> HYPERLINK "http://lwcool.com/lw/showcls.asp?id=4&amp;parent=0" </w:instrText>
      </w:r>
      <w:r>
        <w:rPr>
          <w:rFonts w:hint="eastAsia"/>
        </w:rPr>
        <w:fldChar w:fldCharType="separate"/>
      </w:r>
      <w:r>
        <w:rPr>
          <w:rFonts w:hint="eastAsia" w:ascii="楷体" w:hAnsi="楷体" w:cs="楷体"/>
          <w:kern w:val="0"/>
          <w:sz w:val="24"/>
        </w:rPr>
        <w:t>法律</w:t>
      </w:r>
      <w:r>
        <w:rPr>
          <w:rFonts w:hint="eastAsia" w:ascii="楷体" w:hAnsi="楷体" w:cs="楷体"/>
          <w:kern w:val="0"/>
          <w:sz w:val="24"/>
        </w:rPr>
        <w:fldChar w:fldCharType="end"/>
      </w:r>
      <w:r>
        <w:rPr>
          <w:rFonts w:hint="eastAsia" w:ascii="楷体" w:hAnsi="楷体" w:cs="楷体"/>
          <w:kern w:val="0"/>
          <w:sz w:val="24"/>
        </w:rPr>
        <w:t>法规、《公路水运工程安全生产监督管理办法》、《公路工程施工安全技术规程》和《公路筑养路机械操作规程》等有关安全生产的规定。认真执行工程承包合同中的有关安全要求。</w:t>
      </w:r>
    </w:p>
    <w:p>
      <w:pPr>
        <w:widowControl/>
        <w:shd w:val="clear" w:color="auto" w:fill="FFFFFF"/>
        <w:spacing w:line="420" w:lineRule="exact"/>
        <w:ind w:firstLine="480" w:firstLineChars="200"/>
        <w:jc w:val="left"/>
        <w:rPr>
          <w:rFonts w:ascii="楷体" w:hAnsi="楷体" w:cs="楷体"/>
          <w:kern w:val="0"/>
          <w:sz w:val="24"/>
        </w:rPr>
      </w:pPr>
      <w:r>
        <w:rPr>
          <w:rFonts w:hint="eastAsia" w:ascii="楷体" w:hAnsi="楷体" w:cs="楷体"/>
          <w:kern w:val="0"/>
          <w:sz w:val="24"/>
        </w:rPr>
        <w:t>（2）坚持“安全第一、预防为主”和“管生产必须管安全”的原则，加强安全生产宣传教育，增强全员安全生产意识，建立健全各项安全生产的</w:t>
      </w:r>
      <w:r>
        <w:fldChar w:fldCharType="begin"/>
      </w:r>
      <w:r>
        <w:instrText xml:space="preserve"> HYPERLINK "http://lwcool.com/lw/showcls.asp?id=162&amp;parent=0" </w:instrText>
      </w:r>
      <w:r>
        <w:fldChar w:fldCharType="separate"/>
      </w:r>
      <w:r>
        <w:rPr>
          <w:rFonts w:hint="eastAsia" w:ascii="楷体" w:hAnsi="楷体" w:cs="楷体"/>
          <w:kern w:val="0"/>
          <w:sz w:val="24"/>
        </w:rPr>
        <w:t>管理</w:t>
      </w:r>
      <w:r>
        <w:rPr>
          <w:rFonts w:hint="eastAsia" w:ascii="楷体" w:hAnsi="楷体" w:cs="楷体"/>
          <w:kern w:val="0"/>
          <w:sz w:val="24"/>
        </w:rPr>
        <w:fldChar w:fldCharType="end"/>
      </w:r>
      <w:r>
        <w:rPr>
          <w:rFonts w:hint="eastAsia" w:ascii="楷体" w:hAnsi="楷体" w:cs="楷体"/>
          <w:kern w:val="0"/>
          <w:sz w:val="24"/>
        </w:rPr>
        <w:t>机构和安全生产</w:t>
      </w:r>
      <w:r>
        <w:fldChar w:fldCharType="begin"/>
      </w:r>
      <w:r>
        <w:instrText xml:space="preserve"> HYPERLINK "http://lwcool.com/lw/showcls.asp?id=162&amp;parent=0" </w:instrText>
      </w:r>
      <w:r>
        <w:fldChar w:fldCharType="separate"/>
      </w:r>
      <w:r>
        <w:rPr>
          <w:rFonts w:hint="eastAsia" w:ascii="楷体" w:hAnsi="楷体" w:cs="楷体"/>
          <w:kern w:val="0"/>
          <w:sz w:val="24"/>
        </w:rPr>
        <w:t>管理</w:t>
      </w:r>
      <w:r>
        <w:rPr>
          <w:rFonts w:hint="eastAsia" w:ascii="楷体" w:hAnsi="楷体" w:cs="楷体"/>
          <w:kern w:val="0"/>
          <w:sz w:val="24"/>
        </w:rPr>
        <w:fldChar w:fldCharType="end"/>
      </w:r>
      <w:r>
        <w:rPr>
          <w:rFonts w:hint="eastAsia" w:ascii="楷体" w:hAnsi="楷体" w:cs="楷体"/>
          <w:kern w:val="0"/>
          <w:sz w:val="24"/>
        </w:rPr>
        <w:t>制度，配备专职及兼职安全检查人员，有组织有领导地开展安全生产活动。各级领导、工程技术人员、生产</w:t>
      </w:r>
      <w:r>
        <w:fldChar w:fldCharType="begin"/>
      </w:r>
      <w:r>
        <w:instrText xml:space="preserve"> HYPERLINK "http://lwcool.com/lw/showcls.asp?id=162&amp;parent=0" </w:instrText>
      </w:r>
      <w:r>
        <w:fldChar w:fldCharType="separate"/>
      </w:r>
      <w:r>
        <w:rPr>
          <w:rFonts w:hint="eastAsia" w:ascii="楷体" w:hAnsi="楷体" w:cs="楷体"/>
          <w:kern w:val="0"/>
          <w:sz w:val="24"/>
        </w:rPr>
        <w:t>管理</w:t>
      </w:r>
      <w:r>
        <w:rPr>
          <w:rFonts w:hint="eastAsia" w:ascii="楷体" w:hAnsi="楷体" w:cs="楷体"/>
          <w:kern w:val="0"/>
          <w:sz w:val="24"/>
        </w:rPr>
        <w:fldChar w:fldCharType="end"/>
      </w:r>
      <w:r>
        <w:rPr>
          <w:rFonts w:hint="eastAsia" w:ascii="楷体" w:hAnsi="楷体" w:cs="楷体"/>
          <w:kern w:val="0"/>
          <w:sz w:val="24"/>
        </w:rPr>
        <w:t>人员和具体操作人员，必须熟悉和遵守本合同的各项规定，做到生产与安全工作同时</w:t>
      </w:r>
      <w:r>
        <w:fldChar w:fldCharType="begin"/>
      </w:r>
      <w:r>
        <w:instrText xml:space="preserve"> HYPERLINK "http://lwcool.com/gw/showcls.asp?id=3&amp;parent=0" </w:instrText>
      </w:r>
      <w:r>
        <w:fldChar w:fldCharType="separate"/>
      </w:r>
      <w:r>
        <w:rPr>
          <w:rFonts w:hint="eastAsia" w:ascii="楷体" w:hAnsi="楷体" w:cs="楷体"/>
          <w:kern w:val="0"/>
          <w:sz w:val="24"/>
        </w:rPr>
        <w:t>计划</w:t>
      </w:r>
      <w:r>
        <w:rPr>
          <w:rFonts w:hint="eastAsia" w:ascii="楷体" w:hAnsi="楷体" w:cs="楷体"/>
          <w:kern w:val="0"/>
          <w:sz w:val="24"/>
        </w:rPr>
        <w:fldChar w:fldCharType="end"/>
      </w:r>
      <w:r>
        <w:rPr>
          <w:rFonts w:hint="eastAsia" w:ascii="楷体" w:hAnsi="楷体" w:cs="楷体"/>
          <w:kern w:val="0"/>
          <w:sz w:val="24"/>
        </w:rPr>
        <w:t>、布置、检查、</w:t>
      </w:r>
      <w:r>
        <w:fldChar w:fldCharType="begin"/>
      </w:r>
      <w:r>
        <w:instrText xml:space="preserve"> HYPERLINK "http://lwcool.com/gw/showcls.asp?parent=0&amp;id=4" </w:instrText>
      </w:r>
      <w:r>
        <w:fldChar w:fldCharType="separate"/>
      </w:r>
      <w:r>
        <w:rPr>
          <w:rFonts w:hint="eastAsia" w:ascii="楷体" w:hAnsi="楷体" w:cs="楷体"/>
          <w:kern w:val="0"/>
          <w:sz w:val="24"/>
        </w:rPr>
        <w:t>总结</w:t>
      </w:r>
      <w:r>
        <w:rPr>
          <w:rFonts w:hint="eastAsia" w:ascii="楷体" w:hAnsi="楷体" w:cs="楷体"/>
          <w:kern w:val="0"/>
          <w:sz w:val="24"/>
        </w:rPr>
        <w:fldChar w:fldCharType="end"/>
      </w:r>
      <w:r>
        <w:rPr>
          <w:rFonts w:hint="eastAsia" w:ascii="楷体" w:hAnsi="楷体" w:cs="楷体"/>
          <w:kern w:val="0"/>
          <w:sz w:val="24"/>
        </w:rPr>
        <w:t>和评比。</w:t>
      </w:r>
    </w:p>
    <w:p>
      <w:pPr>
        <w:widowControl/>
        <w:shd w:val="clear" w:color="auto" w:fill="FFFFFF"/>
        <w:spacing w:line="420" w:lineRule="exact"/>
        <w:ind w:firstLine="480" w:firstLineChars="200"/>
        <w:jc w:val="left"/>
        <w:rPr>
          <w:rFonts w:ascii="楷体" w:hAnsi="楷体" w:cs="楷体"/>
          <w:kern w:val="0"/>
          <w:sz w:val="24"/>
        </w:rPr>
      </w:pPr>
      <w:r>
        <w:rPr>
          <w:rFonts w:hint="eastAsia" w:ascii="楷体" w:hAnsi="楷体" w:cs="楷体"/>
          <w:kern w:val="0"/>
          <w:sz w:val="24"/>
        </w:rPr>
        <w:t>（3）建立健全安全生产责任制。从派往项目实施的项目经理到生产工人（包括临时雇请的民工）的安全生产</w:t>
      </w:r>
      <w:r>
        <w:fldChar w:fldCharType="begin"/>
      </w:r>
      <w:r>
        <w:instrText xml:space="preserve"> HYPERLINK "http://lwcool.com/lw/showcls.asp?id=162&amp;parent=0" </w:instrText>
      </w:r>
      <w:r>
        <w:fldChar w:fldCharType="separate"/>
      </w:r>
      <w:r>
        <w:rPr>
          <w:rFonts w:hint="eastAsia" w:ascii="楷体" w:hAnsi="楷体" w:cs="楷体"/>
          <w:kern w:val="0"/>
          <w:sz w:val="24"/>
        </w:rPr>
        <w:t>管理</w:t>
      </w:r>
      <w:r>
        <w:rPr>
          <w:rFonts w:hint="eastAsia" w:ascii="楷体" w:hAnsi="楷体" w:cs="楷体"/>
          <w:kern w:val="0"/>
          <w:sz w:val="24"/>
        </w:rPr>
        <w:fldChar w:fldCharType="end"/>
      </w:r>
      <w:r>
        <w:rPr>
          <w:rFonts w:hint="eastAsia" w:ascii="楷体" w:hAnsi="楷体" w:cs="楷体"/>
          <w:kern w:val="0"/>
          <w:sz w:val="24"/>
        </w:rPr>
        <w:t>系统必须做到纵向到底，一环不漏；各职能部门、人员的安全生产责任制做到横向到边，人人有责。项目经理是安全生产的第一责任人。现场设置的安全机构，应按《公路水运工程安全生产监督管理办法》规定的最低数量和资质条件配备专职安全生产管理人员，专职负责所有员工的安全和治安保卫工作及预防事故的发生。安全机构人员有权按有关规定发布指令，并采取保护性措施防止事故发生。</w:t>
      </w:r>
    </w:p>
    <w:p>
      <w:pPr>
        <w:widowControl/>
        <w:shd w:val="clear" w:color="auto" w:fill="FFFFFF"/>
        <w:spacing w:line="420" w:lineRule="exact"/>
        <w:ind w:firstLine="480" w:firstLineChars="200"/>
        <w:jc w:val="left"/>
        <w:rPr>
          <w:rFonts w:ascii="楷体" w:hAnsi="楷体" w:cs="楷体"/>
          <w:kern w:val="0"/>
          <w:sz w:val="24"/>
        </w:rPr>
      </w:pPr>
      <w:r>
        <w:rPr>
          <w:rFonts w:hint="eastAsia" w:ascii="楷体" w:hAnsi="楷体" w:cs="楷体"/>
          <w:kern w:val="0"/>
          <w:sz w:val="24"/>
        </w:rPr>
        <w:t>（4）承包人在任何时候都应采取各种合理的预防措施，防止其员工发生任何违法、违禁、暴力或妨碍治安的行为。</w:t>
      </w:r>
    </w:p>
    <w:p>
      <w:pPr>
        <w:widowControl/>
        <w:shd w:val="clear" w:color="auto" w:fill="FFFFFF"/>
        <w:spacing w:line="420" w:lineRule="exact"/>
        <w:ind w:firstLine="480" w:firstLineChars="200"/>
        <w:jc w:val="left"/>
        <w:rPr>
          <w:rFonts w:ascii="楷体" w:hAnsi="楷体" w:cs="楷体"/>
          <w:kern w:val="0"/>
          <w:sz w:val="24"/>
        </w:rPr>
      </w:pPr>
      <w:r>
        <w:rPr>
          <w:rFonts w:hint="eastAsia" w:ascii="楷体" w:hAnsi="楷体" w:cs="楷体"/>
          <w:kern w:val="0"/>
          <w:sz w:val="24"/>
        </w:rPr>
        <w:t>（5）承包人必须具有劳动安全</w:t>
      </w:r>
      <w:r>
        <w:fldChar w:fldCharType="begin"/>
      </w:r>
      <w:r>
        <w:instrText xml:space="preserve"> HYPERLINK "http://lwcool.com/lw/showcls.asp?id=162&amp;parent=0" </w:instrText>
      </w:r>
      <w:r>
        <w:fldChar w:fldCharType="separate"/>
      </w:r>
      <w:r>
        <w:rPr>
          <w:rFonts w:hint="eastAsia" w:ascii="楷体" w:hAnsi="楷体" w:cs="楷体"/>
          <w:kern w:val="0"/>
          <w:sz w:val="24"/>
        </w:rPr>
        <w:t>管理</w:t>
      </w:r>
      <w:r>
        <w:rPr>
          <w:rFonts w:hint="eastAsia" w:ascii="楷体" w:hAnsi="楷体" w:cs="楷体"/>
          <w:kern w:val="0"/>
          <w:sz w:val="24"/>
        </w:rPr>
        <w:fldChar w:fldCharType="end"/>
      </w:r>
      <w:r>
        <w:rPr>
          <w:rFonts w:hint="eastAsia" w:ascii="楷体" w:hAnsi="楷体" w:cs="楷体"/>
          <w:kern w:val="0"/>
          <w:sz w:val="24"/>
        </w:rPr>
        <w:t>部门颁发的安全生产考核合格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w:t>
      </w:r>
      <w:r>
        <w:fldChar w:fldCharType="begin"/>
      </w:r>
      <w:r>
        <w:instrText xml:space="preserve"> HYPERLINK "http://lwcool.com/lw/showcls.asp?id=162&amp;parent=0" </w:instrText>
      </w:r>
      <w:r>
        <w:fldChar w:fldCharType="separate"/>
      </w:r>
      <w:r>
        <w:rPr>
          <w:rFonts w:hint="eastAsia" w:ascii="楷体" w:hAnsi="楷体" w:cs="楷体"/>
          <w:kern w:val="0"/>
          <w:sz w:val="24"/>
        </w:rPr>
        <w:t>管理</w:t>
      </w:r>
      <w:r>
        <w:rPr>
          <w:rFonts w:hint="eastAsia" w:ascii="楷体" w:hAnsi="楷体" w:cs="楷体"/>
          <w:kern w:val="0"/>
          <w:sz w:val="24"/>
        </w:rPr>
        <w:fldChar w:fldCharType="end"/>
      </w:r>
      <w:r>
        <w:rPr>
          <w:rFonts w:hint="eastAsia" w:ascii="楷体" w:hAnsi="楷体" w:cs="楷体"/>
          <w:kern w:val="0"/>
          <w:sz w:val="24"/>
        </w:rPr>
        <w:t>责任。</w:t>
      </w:r>
    </w:p>
    <w:p>
      <w:pPr>
        <w:widowControl/>
        <w:shd w:val="clear" w:color="auto" w:fill="FFFFFF"/>
        <w:spacing w:line="420" w:lineRule="exact"/>
        <w:ind w:firstLine="480" w:firstLineChars="200"/>
        <w:jc w:val="left"/>
        <w:rPr>
          <w:rFonts w:ascii="楷体" w:hAnsi="楷体" w:cs="楷体"/>
          <w:kern w:val="0"/>
          <w:sz w:val="24"/>
        </w:rPr>
      </w:pPr>
      <w:r>
        <w:rPr>
          <w:rFonts w:hint="eastAsia" w:ascii="楷体" w:hAnsi="楷体" w:cs="楷体"/>
          <w:kern w:val="0"/>
          <w:sz w:val="24"/>
        </w:rPr>
        <w:t>（6）对于易燃易爆的材料除应专门妥善保管之外，还应配备有足够的消防设施，所有施工人员都应该熟悉消防设备的性能和使用方法；承包人不得将任何种类的爆炸物给予、易货或以其它方式转让给任何其他人，或允许、容忍上述同样行为。</w:t>
      </w:r>
    </w:p>
    <w:p>
      <w:pPr>
        <w:widowControl/>
        <w:shd w:val="clear" w:color="auto" w:fill="FFFFFF"/>
        <w:spacing w:line="420" w:lineRule="exact"/>
        <w:ind w:firstLine="480" w:firstLineChars="200"/>
        <w:jc w:val="left"/>
        <w:rPr>
          <w:rFonts w:ascii="楷体" w:hAnsi="楷体" w:cs="楷体"/>
          <w:kern w:val="0"/>
          <w:sz w:val="24"/>
        </w:rPr>
      </w:pPr>
      <w:r>
        <w:rPr>
          <w:rFonts w:hint="eastAsia" w:ascii="楷体" w:hAnsi="楷体" w:cs="楷体"/>
          <w:kern w:val="0"/>
          <w:sz w:val="24"/>
        </w:rPr>
        <w:t>（7）操作人员上岗，必须按规定穿戴防护用品。施工负责人和安全检查员应随时检查劳动防护用品的穿戴情况，不按规定穿戴防护用品的人员不得上岗。</w:t>
      </w:r>
    </w:p>
    <w:p>
      <w:pPr>
        <w:widowControl/>
        <w:shd w:val="clear" w:color="auto" w:fill="FFFFFF"/>
        <w:spacing w:line="420" w:lineRule="exact"/>
        <w:ind w:firstLine="480" w:firstLineChars="200"/>
        <w:jc w:val="left"/>
        <w:rPr>
          <w:rFonts w:ascii="楷体" w:hAnsi="楷体" w:cs="楷体"/>
          <w:kern w:val="0"/>
          <w:sz w:val="24"/>
        </w:rPr>
      </w:pPr>
      <w:r>
        <w:rPr>
          <w:rFonts w:hint="eastAsia" w:ascii="楷体" w:hAnsi="楷体" w:cs="楷体"/>
          <w:kern w:val="0"/>
          <w:sz w:val="24"/>
        </w:rPr>
        <w:t>（8）所有施工机具设备和高空作业的设备均应定期检查，并有安全生产负责人的签字记录，保证其经常处于完好状态；不合格的机具、设备和劳动保护用品严禁使用。</w:t>
      </w:r>
    </w:p>
    <w:p>
      <w:pPr>
        <w:widowControl/>
        <w:shd w:val="clear" w:color="auto" w:fill="FFFFFF"/>
        <w:spacing w:line="420" w:lineRule="exact"/>
        <w:ind w:firstLine="480" w:firstLineChars="200"/>
        <w:jc w:val="left"/>
        <w:rPr>
          <w:rFonts w:ascii="楷体" w:hAnsi="楷体" w:cs="楷体"/>
          <w:kern w:val="0"/>
          <w:sz w:val="24"/>
        </w:rPr>
      </w:pPr>
      <w:r>
        <w:rPr>
          <w:rFonts w:hint="eastAsia" w:ascii="楷体" w:hAnsi="楷体" w:cs="楷体"/>
          <w:kern w:val="0"/>
          <w:sz w:val="24"/>
        </w:rPr>
        <w:t>（9）施工中采用新技术、新工艺、新设备、新材料时，必须制定相应的安全技术措施，施工现场必须具有相关的安全标志牌。</w:t>
      </w:r>
    </w:p>
    <w:p>
      <w:pPr>
        <w:widowControl/>
        <w:shd w:val="clear" w:color="auto" w:fill="FFFFFF"/>
        <w:spacing w:line="420" w:lineRule="exact"/>
        <w:ind w:firstLine="480" w:firstLineChars="200"/>
        <w:jc w:val="left"/>
        <w:rPr>
          <w:rFonts w:ascii="楷体" w:hAnsi="楷体" w:cs="楷体"/>
          <w:kern w:val="0"/>
          <w:sz w:val="24"/>
        </w:rPr>
      </w:pPr>
      <w:r>
        <w:rPr>
          <w:rFonts w:hint="eastAsia" w:ascii="楷体" w:hAnsi="楷体" w:cs="楷体"/>
          <w:kern w:val="0"/>
          <w:sz w:val="24"/>
        </w:rPr>
        <w:t>（10）承包人必须按照本工程项目特点，组织制定本工程实施中的生产安全事故应急救援预案；如果发生安全事故，应按照《国务院关于特大安全事故行政责任追究的规定》以及其它有关规定，及时上报有关部门，并坚持“四不放过”的原则，严肃处理相关责任人。</w:t>
      </w:r>
    </w:p>
    <w:p>
      <w:pPr>
        <w:widowControl/>
        <w:shd w:val="clear" w:color="auto" w:fill="FFFFFF"/>
        <w:spacing w:line="420" w:lineRule="exact"/>
        <w:ind w:firstLine="480" w:firstLineChars="200"/>
        <w:jc w:val="left"/>
        <w:rPr>
          <w:rFonts w:ascii="楷体" w:hAnsi="楷体" w:cs="楷体"/>
          <w:kern w:val="0"/>
          <w:sz w:val="24"/>
        </w:rPr>
      </w:pPr>
      <w:r>
        <w:rPr>
          <w:rFonts w:hint="eastAsia" w:ascii="楷体" w:hAnsi="楷体" w:cs="楷体"/>
          <w:kern w:val="0"/>
          <w:sz w:val="24"/>
        </w:rPr>
        <w:t>（11）安全生产费用按照</w:t>
      </w:r>
      <w:r>
        <w:rPr>
          <w:rFonts w:hint="eastAsia" w:ascii="楷体" w:hAnsi="楷体" w:cs="楷体"/>
          <w:sz w:val="24"/>
        </w:rPr>
        <w:t>浙交（2021）12号关于印发《浙江省交通建设工程安全生产费用管理办法》的相关要求</w:t>
      </w:r>
      <w:r>
        <w:rPr>
          <w:rFonts w:hint="eastAsia" w:ascii="楷体" w:hAnsi="楷体" w:cs="楷体"/>
          <w:kern w:val="0"/>
          <w:sz w:val="24"/>
        </w:rPr>
        <w:t>使用和管理。</w:t>
      </w:r>
    </w:p>
    <w:p>
      <w:pPr>
        <w:spacing w:line="420" w:lineRule="exact"/>
        <w:ind w:firstLine="480" w:firstLineChars="200"/>
        <w:rPr>
          <w:rFonts w:ascii="楷体" w:hAnsi="楷体" w:cs="楷体"/>
          <w:kern w:val="0"/>
          <w:sz w:val="24"/>
        </w:rPr>
      </w:pPr>
      <w:r>
        <w:rPr>
          <w:rFonts w:hint="eastAsia" w:ascii="楷体" w:hAnsi="楷体" w:cs="楷体"/>
          <w:kern w:val="0"/>
          <w:sz w:val="24"/>
        </w:rPr>
        <w:t>3．违约责任</w:t>
      </w:r>
    </w:p>
    <w:p>
      <w:pPr>
        <w:widowControl/>
        <w:shd w:val="clear" w:color="auto" w:fill="FFFFFF"/>
        <w:spacing w:line="420" w:lineRule="exact"/>
        <w:ind w:firstLine="480" w:firstLineChars="200"/>
        <w:jc w:val="left"/>
        <w:rPr>
          <w:rFonts w:ascii="楷体" w:hAnsi="楷体" w:cs="楷体"/>
          <w:kern w:val="0"/>
          <w:sz w:val="24"/>
        </w:rPr>
      </w:pPr>
      <w:r>
        <w:rPr>
          <w:rFonts w:hint="eastAsia" w:ascii="楷体" w:hAnsi="楷体" w:cs="楷体"/>
          <w:kern w:val="0"/>
          <w:sz w:val="24"/>
        </w:rPr>
        <w:t>如因发包人或承包人违约造成安全事故，将依法追究责任。</w:t>
      </w:r>
    </w:p>
    <w:p>
      <w:pPr>
        <w:widowControl/>
        <w:shd w:val="clear" w:color="auto" w:fill="FFFFFF"/>
        <w:spacing w:line="420" w:lineRule="exact"/>
        <w:ind w:firstLine="480" w:firstLineChars="200"/>
        <w:jc w:val="left"/>
        <w:rPr>
          <w:rFonts w:ascii="楷体" w:hAnsi="楷体" w:cs="楷体"/>
          <w:kern w:val="0"/>
          <w:sz w:val="24"/>
        </w:rPr>
      </w:pPr>
      <w:r>
        <w:rPr>
          <w:rFonts w:hint="eastAsia" w:ascii="楷体" w:hAnsi="楷体" w:cs="楷体"/>
          <w:kern w:val="0"/>
          <w:sz w:val="24"/>
        </w:rPr>
        <w:t>4．本合同由双方法定代表人或其授权的代理人签署并加盖单位章后生效，全部工程竣工验收后失效。</w:t>
      </w:r>
    </w:p>
    <w:p>
      <w:pPr>
        <w:spacing w:line="420" w:lineRule="exact"/>
        <w:ind w:firstLine="480" w:firstLineChars="200"/>
        <w:rPr>
          <w:rFonts w:ascii="楷体" w:hAnsi="楷体" w:cs="楷体"/>
          <w:sz w:val="24"/>
        </w:rPr>
      </w:pPr>
      <w:bookmarkStart w:id="6323" w:name="_Toc240015933"/>
      <w:bookmarkStart w:id="6324" w:name="_Toc287853494"/>
      <w:bookmarkStart w:id="6325" w:name="_Toc282779145"/>
      <w:bookmarkStart w:id="6326" w:name="_Toc288546794"/>
      <w:bookmarkStart w:id="6327" w:name="_Toc233214908"/>
      <w:bookmarkStart w:id="6328" w:name="_Toc233435997"/>
      <w:bookmarkStart w:id="6329" w:name="_Toc282787609"/>
      <w:bookmarkStart w:id="6330" w:name="_Toc288491670"/>
      <w:bookmarkStart w:id="6331" w:name="_Toc233290456"/>
      <w:bookmarkStart w:id="6332" w:name="_Toc233423341"/>
      <w:bookmarkStart w:id="6333" w:name="_Toc233429858"/>
      <w:bookmarkStart w:id="6334" w:name="_Toc282779654"/>
      <w:bookmarkStart w:id="6335" w:name="_Toc283794342"/>
      <w:r>
        <w:rPr>
          <w:rFonts w:hint="eastAsia" w:ascii="楷体" w:hAnsi="楷体" w:cs="楷体"/>
          <w:kern w:val="0"/>
          <w:sz w:val="24"/>
        </w:rPr>
        <w:t>5．本合同正本一式二份，副本份，合同双方各执正本一份，副本份。</w:t>
      </w:r>
      <w:r>
        <w:rPr>
          <w:rFonts w:hint="eastAsia" w:ascii="楷体" w:hAnsi="楷体" w:cs="楷体"/>
          <w:sz w:val="24"/>
        </w:rPr>
        <w:t>当正本与副本的内容不一致时，以正本为准。</w:t>
      </w:r>
    </w:p>
    <w:p>
      <w:pPr>
        <w:spacing w:line="180" w:lineRule="exact"/>
        <w:rPr>
          <w:rFonts w:ascii="楷体" w:hAnsi="楷体" w:cs="楷体"/>
          <w:szCs w:val="21"/>
        </w:rPr>
      </w:pPr>
    </w:p>
    <w:p>
      <w:pPr>
        <w:spacing w:line="440" w:lineRule="exact"/>
        <w:rPr>
          <w:rFonts w:ascii="楷体" w:hAnsi="楷体" w:cs="楷体"/>
          <w:sz w:val="24"/>
        </w:rPr>
      </w:pPr>
      <w:r>
        <w:rPr>
          <w:rFonts w:hint="eastAsia" w:ascii="楷体" w:hAnsi="楷体" w:cs="楷体"/>
          <w:sz w:val="24"/>
        </w:rPr>
        <w:t>发包人：（盖单位章）   承包人：（盖单位章）</w:t>
      </w:r>
    </w:p>
    <w:p>
      <w:pPr>
        <w:spacing w:line="440" w:lineRule="exact"/>
        <w:rPr>
          <w:rFonts w:ascii="楷体" w:hAnsi="楷体" w:cs="楷体"/>
          <w:sz w:val="24"/>
        </w:rPr>
      </w:pPr>
      <w:r>
        <w:rPr>
          <w:rFonts w:hint="eastAsia" w:ascii="楷体" w:hAnsi="楷体" w:cs="楷体"/>
          <w:sz w:val="24"/>
        </w:rPr>
        <w:t>法定代表人或其委托代理人：（签字）  法定代表人或其委托代理人：（签字）</w:t>
      </w:r>
    </w:p>
    <w:p>
      <w:pPr>
        <w:widowControl/>
        <w:shd w:val="clear" w:color="auto" w:fill="FFFFFF"/>
        <w:spacing w:line="400" w:lineRule="exact"/>
        <w:ind w:firstLine="480" w:firstLineChars="200"/>
        <w:jc w:val="left"/>
        <w:rPr>
          <w:rFonts w:ascii="楷体" w:hAnsi="楷体" w:cs="楷体"/>
          <w:sz w:val="24"/>
        </w:rPr>
      </w:pPr>
      <w:r>
        <w:rPr>
          <w:rFonts w:hint="eastAsia" w:ascii="楷体" w:hAnsi="楷体" w:cs="楷体"/>
          <w:sz w:val="24"/>
        </w:rPr>
        <w:t>年月  日             年月 日</w:t>
      </w:r>
    </w:p>
    <w:p>
      <w:pPr>
        <w:pStyle w:val="6"/>
        <w:spacing w:after="0"/>
        <w:rPr>
          <w:rFonts w:ascii="黑体" w:eastAsia="黑体"/>
          <w:bCs w:val="0"/>
          <w:sz w:val="28"/>
          <w:szCs w:val="28"/>
        </w:rPr>
      </w:pPr>
      <w:bookmarkStart w:id="6336" w:name="_Toc30112"/>
      <w:bookmarkStart w:id="6337" w:name="_Toc240381420"/>
      <w:bookmarkStart w:id="6338" w:name="_Toc4082"/>
      <w:bookmarkStart w:id="6339" w:name="_Toc25123"/>
      <w:bookmarkStart w:id="6340" w:name="_Toc4701"/>
      <w:bookmarkStart w:id="6341" w:name="_Toc5886"/>
      <w:bookmarkStart w:id="6342" w:name="_Toc24258"/>
      <w:bookmarkStart w:id="6343" w:name="_Toc19071"/>
      <w:bookmarkStart w:id="6344" w:name="_Toc32749"/>
      <w:bookmarkStart w:id="6345" w:name="_Toc27850"/>
      <w:bookmarkStart w:id="6346" w:name="_Toc19847"/>
      <w:bookmarkStart w:id="6347" w:name="_Toc24482"/>
      <w:bookmarkStart w:id="6348" w:name="_Toc26468"/>
      <w:bookmarkStart w:id="6349" w:name="_Toc240217872"/>
      <w:bookmarkStart w:id="6350" w:name="_Toc18864"/>
      <w:bookmarkStart w:id="6351" w:name="_Toc14636"/>
      <w:bookmarkStart w:id="6352" w:name="_Toc5084"/>
      <w:bookmarkStart w:id="6353" w:name="_Toc23884"/>
      <w:bookmarkStart w:id="6354" w:name="_Toc449651269"/>
      <w:bookmarkStart w:id="6355" w:name="_Toc24136"/>
      <w:bookmarkStart w:id="6356" w:name="_Toc20204"/>
      <w:bookmarkStart w:id="6357" w:name="_Toc1765"/>
      <w:bookmarkStart w:id="6358" w:name="_Toc461367022"/>
      <w:bookmarkStart w:id="6359" w:name="_Toc21540"/>
      <w:bookmarkStart w:id="6360" w:name="_Toc13210"/>
      <w:bookmarkStart w:id="6361" w:name="_Toc10915"/>
      <w:bookmarkStart w:id="6362" w:name="_Toc2725"/>
      <w:bookmarkStart w:id="6363" w:name="_Toc807"/>
      <w:bookmarkStart w:id="6364" w:name="_Toc25715"/>
      <w:bookmarkStart w:id="6365" w:name="_Toc31984"/>
      <w:bookmarkStart w:id="6366" w:name="_Toc12861"/>
      <w:bookmarkStart w:id="6367" w:name="_Toc13386"/>
      <w:bookmarkStart w:id="6368" w:name="_Toc10535"/>
      <w:bookmarkStart w:id="6369" w:name="_Toc19374"/>
      <w:bookmarkStart w:id="6370" w:name="_Toc14870"/>
      <w:bookmarkStart w:id="6371" w:name="_Toc28876"/>
      <w:bookmarkStart w:id="6372" w:name="_Toc31973"/>
      <w:bookmarkStart w:id="6373" w:name="_Toc2104"/>
      <w:bookmarkStart w:id="6374" w:name="_Toc26910"/>
      <w:bookmarkStart w:id="6375" w:name="_Toc5544"/>
      <w:bookmarkStart w:id="6376" w:name="_Toc25951"/>
      <w:r>
        <w:rPr>
          <w:rFonts w:hint="eastAsia" w:ascii="黑体" w:eastAsia="黑体"/>
          <w:bCs w:val="0"/>
          <w:sz w:val="28"/>
          <w:szCs w:val="28"/>
        </w:rPr>
        <w:t>附件四   其他主要管理人员和技术人员最低要求</w:t>
      </w:r>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p>
    <w:p>
      <w:pPr>
        <w:pStyle w:val="48"/>
      </w:pPr>
    </w:p>
    <w:tbl>
      <w:tblPr>
        <w:tblStyle w:val="20"/>
        <w:tblW w:w="909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357"/>
        <w:gridCol w:w="1617"/>
        <w:gridCol w:w="51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19" w:hRule="atLeast"/>
        </w:trPr>
        <w:tc>
          <w:tcPr>
            <w:tcW w:w="2357" w:type="dxa"/>
            <w:vAlign w:val="center"/>
          </w:tcPr>
          <w:p>
            <w:pPr>
              <w:jc w:val="center"/>
              <w:rPr>
                <w:rFonts w:ascii="宋体" w:hAnsi="宋体"/>
                <w:b/>
                <w:bCs/>
                <w:szCs w:val="21"/>
              </w:rPr>
            </w:pPr>
            <w:r>
              <w:rPr>
                <w:rFonts w:hint="eastAsia" w:ascii="宋体" w:hAnsi="宋体"/>
                <w:b/>
                <w:bCs/>
                <w:szCs w:val="21"/>
              </w:rPr>
              <w:t>人 员</w:t>
            </w:r>
          </w:p>
        </w:tc>
        <w:tc>
          <w:tcPr>
            <w:tcW w:w="1617" w:type="dxa"/>
            <w:vAlign w:val="center"/>
          </w:tcPr>
          <w:p>
            <w:pPr>
              <w:jc w:val="center"/>
              <w:rPr>
                <w:rFonts w:ascii="宋体" w:hAnsi="宋体"/>
                <w:b/>
                <w:bCs/>
                <w:szCs w:val="21"/>
              </w:rPr>
            </w:pPr>
            <w:r>
              <w:rPr>
                <w:rFonts w:hint="eastAsia" w:ascii="宋体" w:hAnsi="宋体"/>
                <w:b/>
                <w:bCs/>
                <w:szCs w:val="21"/>
              </w:rPr>
              <w:t>数 量</w:t>
            </w:r>
          </w:p>
        </w:tc>
        <w:tc>
          <w:tcPr>
            <w:tcW w:w="5124" w:type="dxa"/>
            <w:vAlign w:val="center"/>
          </w:tcPr>
          <w:p>
            <w:pPr>
              <w:jc w:val="center"/>
              <w:rPr>
                <w:rFonts w:ascii="宋体" w:hAnsi="宋体"/>
                <w:b/>
                <w:bCs/>
                <w:szCs w:val="21"/>
              </w:rPr>
            </w:pPr>
            <w:r>
              <w:rPr>
                <w:rFonts w:hint="eastAsia" w:ascii="宋体" w:hAnsi="宋体"/>
                <w:b/>
                <w:bCs/>
                <w:szCs w:val="21"/>
              </w:rPr>
              <w:t>资 格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2" w:hRule="atLeast"/>
        </w:trPr>
        <w:tc>
          <w:tcPr>
            <w:tcW w:w="2357" w:type="dxa"/>
            <w:vAlign w:val="center"/>
          </w:tcPr>
          <w:p>
            <w:pPr>
              <w:jc w:val="center"/>
              <w:rPr>
                <w:rFonts w:ascii="楷体" w:hAnsi="楷体" w:eastAsia="楷体" w:cs="楷体"/>
                <w:szCs w:val="21"/>
              </w:rPr>
            </w:pPr>
            <w:r>
              <w:rPr>
                <w:rFonts w:hint="eastAsia" w:ascii="楷体" w:hAnsi="楷体" w:cs="楷体"/>
                <w:szCs w:val="21"/>
              </w:rPr>
              <w:t>路面工程师</w:t>
            </w:r>
          </w:p>
        </w:tc>
        <w:tc>
          <w:tcPr>
            <w:tcW w:w="1617" w:type="dxa"/>
            <w:vAlign w:val="center"/>
          </w:tcPr>
          <w:p>
            <w:pPr>
              <w:jc w:val="center"/>
              <w:rPr>
                <w:rFonts w:ascii="楷体" w:hAnsi="楷体" w:eastAsia="楷体" w:cs="楷体"/>
                <w:szCs w:val="21"/>
              </w:rPr>
            </w:pPr>
            <w:r>
              <w:rPr>
                <w:rFonts w:hint="eastAsia" w:ascii="楷体" w:hAnsi="楷体" w:cs="楷体"/>
                <w:szCs w:val="21"/>
                <w:highlight w:val="yellow"/>
              </w:rPr>
              <w:t>1</w:t>
            </w:r>
          </w:p>
        </w:tc>
        <w:tc>
          <w:tcPr>
            <w:tcW w:w="5124" w:type="dxa"/>
            <w:vAlign w:val="center"/>
          </w:tcPr>
          <w:p>
            <w:pPr>
              <w:rPr>
                <w:rFonts w:ascii="楷体" w:hAnsi="楷体" w:eastAsia="楷体" w:cs="楷体"/>
                <w:szCs w:val="21"/>
              </w:rPr>
            </w:pPr>
            <w:r>
              <w:rPr>
                <w:rFonts w:hint="eastAsia" w:ascii="楷体" w:hAnsi="楷体" w:eastAsia="楷体" w:cs="楷体"/>
                <w:szCs w:val="21"/>
              </w:rPr>
              <w:t>公路养护工程施工经验5年以上，担任过路面工程专业负责人，具有公路工程相关专业工程师及以上技术职称。年龄60周岁以下。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2" w:hRule="atLeast"/>
        </w:trPr>
        <w:tc>
          <w:tcPr>
            <w:tcW w:w="2357" w:type="dxa"/>
            <w:vAlign w:val="center"/>
          </w:tcPr>
          <w:p>
            <w:pPr>
              <w:jc w:val="center"/>
              <w:rPr>
                <w:rFonts w:ascii="楷体" w:hAnsi="楷体" w:eastAsia="楷体" w:cs="楷体"/>
                <w:szCs w:val="21"/>
              </w:rPr>
            </w:pPr>
            <w:r>
              <w:rPr>
                <w:rFonts w:hint="eastAsia" w:ascii="楷体" w:hAnsi="楷体" w:cs="楷体"/>
                <w:szCs w:val="21"/>
              </w:rPr>
              <w:t>质检工程师</w:t>
            </w:r>
          </w:p>
        </w:tc>
        <w:tc>
          <w:tcPr>
            <w:tcW w:w="1617" w:type="dxa"/>
            <w:vAlign w:val="center"/>
          </w:tcPr>
          <w:p>
            <w:pPr>
              <w:jc w:val="center"/>
              <w:rPr>
                <w:rFonts w:ascii="楷体" w:hAnsi="楷体" w:eastAsia="楷体" w:cs="楷体"/>
                <w:szCs w:val="21"/>
              </w:rPr>
            </w:pPr>
            <w:r>
              <w:rPr>
                <w:rFonts w:hint="eastAsia" w:ascii="楷体" w:hAnsi="楷体" w:cs="楷体"/>
                <w:szCs w:val="21"/>
              </w:rPr>
              <w:t>1</w:t>
            </w:r>
          </w:p>
        </w:tc>
        <w:tc>
          <w:tcPr>
            <w:tcW w:w="5124" w:type="dxa"/>
            <w:vAlign w:val="center"/>
          </w:tcPr>
          <w:p>
            <w:pPr>
              <w:rPr>
                <w:rFonts w:ascii="楷体" w:hAnsi="楷体" w:eastAsia="楷体" w:cs="楷体"/>
                <w:szCs w:val="21"/>
              </w:rPr>
            </w:pPr>
            <w:r>
              <w:rPr>
                <w:rFonts w:hint="eastAsia" w:ascii="楷体" w:hAnsi="楷体" w:eastAsia="楷体" w:cs="楷体"/>
                <w:szCs w:val="21"/>
              </w:rPr>
              <w:t>公路养护工程质量检验工作经验3年以上，具有公路工程相关专业工程师及以上技术职称。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5" w:hRule="atLeast"/>
        </w:trPr>
        <w:tc>
          <w:tcPr>
            <w:tcW w:w="2357" w:type="dxa"/>
            <w:vAlign w:val="center"/>
          </w:tcPr>
          <w:p>
            <w:pPr>
              <w:jc w:val="center"/>
              <w:rPr>
                <w:rFonts w:ascii="楷体" w:hAnsi="楷体" w:eastAsia="楷体" w:cs="楷体"/>
                <w:szCs w:val="21"/>
              </w:rPr>
            </w:pPr>
            <w:r>
              <w:rPr>
                <w:rFonts w:hint="eastAsia" w:ascii="楷体" w:hAnsi="楷体" w:cs="楷体"/>
                <w:szCs w:val="21"/>
              </w:rPr>
              <w:t>测量员</w:t>
            </w:r>
          </w:p>
        </w:tc>
        <w:tc>
          <w:tcPr>
            <w:tcW w:w="1617" w:type="dxa"/>
            <w:vAlign w:val="center"/>
          </w:tcPr>
          <w:p>
            <w:pPr>
              <w:jc w:val="center"/>
              <w:rPr>
                <w:rFonts w:ascii="楷体" w:hAnsi="楷体" w:eastAsia="楷体" w:cs="楷体"/>
                <w:szCs w:val="21"/>
              </w:rPr>
            </w:pPr>
            <w:r>
              <w:rPr>
                <w:rFonts w:hint="eastAsia" w:ascii="楷体" w:hAnsi="楷体" w:cs="楷体"/>
                <w:szCs w:val="21"/>
                <w:highlight w:val="yellow"/>
              </w:rPr>
              <w:t>1</w:t>
            </w:r>
          </w:p>
        </w:tc>
        <w:tc>
          <w:tcPr>
            <w:tcW w:w="5124" w:type="dxa"/>
            <w:vAlign w:val="center"/>
          </w:tcPr>
          <w:p>
            <w:pPr>
              <w:rPr>
                <w:rFonts w:ascii="楷体" w:hAnsi="楷体" w:eastAsia="楷体" w:cs="楷体"/>
                <w:szCs w:val="21"/>
              </w:rPr>
            </w:pPr>
            <w:r>
              <w:rPr>
                <w:rFonts w:hint="eastAsia" w:ascii="楷体" w:hAnsi="楷体" w:eastAsia="楷体" w:cs="楷体"/>
                <w:szCs w:val="21"/>
              </w:rPr>
              <w:t>公路养护工程测量工作5年及以上，具有相关专业助理工程师及以上技术职称，年龄60周岁以下。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69" w:hRule="atLeast"/>
        </w:trPr>
        <w:tc>
          <w:tcPr>
            <w:tcW w:w="2357" w:type="dxa"/>
            <w:vAlign w:val="center"/>
          </w:tcPr>
          <w:p>
            <w:pPr>
              <w:jc w:val="center"/>
              <w:rPr>
                <w:rFonts w:ascii="楷体" w:hAnsi="楷体" w:eastAsia="楷体" w:cs="楷体"/>
                <w:szCs w:val="21"/>
              </w:rPr>
            </w:pPr>
            <w:r>
              <w:rPr>
                <w:rFonts w:hint="eastAsia" w:ascii="楷体" w:hAnsi="楷体" w:cs="楷体"/>
                <w:szCs w:val="21"/>
              </w:rPr>
              <w:t>安全员</w:t>
            </w:r>
          </w:p>
        </w:tc>
        <w:tc>
          <w:tcPr>
            <w:tcW w:w="1617" w:type="dxa"/>
            <w:vAlign w:val="center"/>
          </w:tcPr>
          <w:p>
            <w:pPr>
              <w:jc w:val="center"/>
              <w:rPr>
                <w:rFonts w:ascii="楷体" w:hAnsi="楷体" w:eastAsia="楷体" w:cs="楷体"/>
                <w:szCs w:val="21"/>
              </w:rPr>
            </w:pPr>
            <w:r>
              <w:rPr>
                <w:rFonts w:hint="eastAsia" w:ascii="楷体" w:hAnsi="楷体" w:cs="楷体"/>
                <w:szCs w:val="21"/>
              </w:rPr>
              <w:t>1</w:t>
            </w:r>
          </w:p>
        </w:tc>
        <w:tc>
          <w:tcPr>
            <w:tcW w:w="5124" w:type="dxa"/>
            <w:vAlign w:val="center"/>
          </w:tcPr>
          <w:p>
            <w:pPr>
              <w:rPr>
                <w:rFonts w:ascii="楷体" w:hAnsi="楷体" w:eastAsia="楷体" w:cs="楷体"/>
                <w:szCs w:val="21"/>
              </w:rPr>
            </w:pPr>
            <w:r>
              <w:rPr>
                <w:rFonts w:hint="eastAsia" w:ascii="楷体" w:hAnsi="楷体" w:eastAsia="楷体" w:cs="楷体"/>
                <w:szCs w:val="21"/>
              </w:rPr>
              <w:t>具有在有效期内的公路水运施工企业安全生产考核合格证书（C类）。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69" w:hRule="atLeast"/>
        </w:trPr>
        <w:tc>
          <w:tcPr>
            <w:tcW w:w="2357" w:type="dxa"/>
            <w:vAlign w:val="center"/>
          </w:tcPr>
          <w:p>
            <w:pPr>
              <w:jc w:val="center"/>
              <w:rPr>
                <w:rFonts w:ascii="宋体" w:hAnsi="宋体"/>
                <w:sz w:val="18"/>
                <w:szCs w:val="18"/>
              </w:rPr>
            </w:pPr>
          </w:p>
        </w:tc>
        <w:tc>
          <w:tcPr>
            <w:tcW w:w="1617" w:type="dxa"/>
            <w:vAlign w:val="center"/>
          </w:tcPr>
          <w:p>
            <w:pPr>
              <w:jc w:val="center"/>
              <w:rPr>
                <w:rFonts w:ascii="宋体" w:hAnsi="宋体"/>
                <w:sz w:val="18"/>
                <w:szCs w:val="18"/>
              </w:rPr>
            </w:pPr>
          </w:p>
        </w:tc>
        <w:tc>
          <w:tcPr>
            <w:tcW w:w="5124" w:type="dxa"/>
            <w:vAlign w:val="center"/>
          </w:tcPr>
          <w:p>
            <w:pPr>
              <w:spacing w:line="240" w:lineRule="exact"/>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69" w:hRule="atLeast"/>
        </w:trPr>
        <w:tc>
          <w:tcPr>
            <w:tcW w:w="2357" w:type="dxa"/>
            <w:vAlign w:val="center"/>
          </w:tcPr>
          <w:p>
            <w:pPr>
              <w:jc w:val="center"/>
              <w:rPr>
                <w:rFonts w:ascii="宋体" w:hAnsi="宋体"/>
                <w:sz w:val="18"/>
                <w:szCs w:val="18"/>
              </w:rPr>
            </w:pPr>
          </w:p>
        </w:tc>
        <w:tc>
          <w:tcPr>
            <w:tcW w:w="1617" w:type="dxa"/>
            <w:vAlign w:val="center"/>
          </w:tcPr>
          <w:p>
            <w:pPr>
              <w:jc w:val="center"/>
              <w:rPr>
                <w:rFonts w:ascii="宋体" w:hAnsi="宋体"/>
                <w:sz w:val="18"/>
                <w:szCs w:val="18"/>
              </w:rPr>
            </w:pPr>
          </w:p>
        </w:tc>
        <w:tc>
          <w:tcPr>
            <w:tcW w:w="5124" w:type="dxa"/>
            <w:vAlign w:val="center"/>
          </w:tcPr>
          <w:p>
            <w:pPr>
              <w:rPr>
                <w:rFonts w:ascii="宋体" w:hAnsi="宋体"/>
                <w:sz w:val="18"/>
                <w:szCs w:val="18"/>
              </w:rPr>
            </w:pPr>
          </w:p>
        </w:tc>
      </w:tr>
    </w:tbl>
    <w:p>
      <w:pPr>
        <w:pStyle w:val="48"/>
        <w:rPr>
          <w:rFonts w:ascii="宋体" w:hAnsi="宋体"/>
          <w:b/>
          <w:bCs/>
          <w:kern w:val="44"/>
          <w:sz w:val="28"/>
          <w:szCs w:val="28"/>
        </w:rPr>
      </w:pPr>
      <w:bookmarkStart w:id="6377" w:name="_Toc240330692"/>
      <w:bookmarkStart w:id="6378" w:name="_Toc240217873"/>
    </w:p>
    <w:p>
      <w:pPr>
        <w:pStyle w:val="48"/>
        <w:spacing w:line="400" w:lineRule="exact"/>
        <w:ind w:firstLine="420" w:firstLineChars="200"/>
        <w:rPr>
          <w:rFonts w:ascii="宋体" w:hAnsi="宋体"/>
          <w:szCs w:val="21"/>
        </w:rPr>
      </w:pPr>
      <w:r>
        <w:rPr>
          <w:rFonts w:hint="eastAsia" w:ascii="宋体" w:hAnsi="宋体"/>
          <w:szCs w:val="21"/>
        </w:rPr>
        <w:t>招标人将在发出中标通知书之前要求中标人按照本表的最低要求填报派驻本标段的其他主要管理人员和技术人员，在经招标人审批后作为派驻本标段的项目管理机构主要人员且不允许更换。</w:t>
      </w:r>
      <w:bookmarkEnd w:id="6377"/>
      <w:bookmarkEnd w:id="6378"/>
    </w:p>
    <w:p>
      <w:pPr>
        <w:pStyle w:val="48"/>
        <w:spacing w:line="400" w:lineRule="exact"/>
        <w:ind w:firstLine="482" w:firstLineChars="200"/>
        <w:rPr>
          <w:rFonts w:ascii="宋体" w:hAnsi="宋体"/>
          <w:b/>
          <w:szCs w:val="21"/>
        </w:rPr>
      </w:pPr>
      <w:r>
        <w:rPr>
          <w:rFonts w:ascii="宋体" w:hAnsi="宋体"/>
          <w:b/>
          <w:sz w:val="24"/>
        </w:rPr>
        <w:br w:type="page"/>
      </w:r>
    </w:p>
    <w:p>
      <w:pPr>
        <w:pStyle w:val="6"/>
        <w:spacing w:before="0" w:after="0" w:line="360" w:lineRule="auto"/>
      </w:pPr>
      <w:bookmarkStart w:id="6379" w:name="_Toc3393"/>
      <w:bookmarkStart w:id="6380" w:name="_Toc7762"/>
      <w:bookmarkStart w:id="6381" w:name="_Toc32185"/>
      <w:bookmarkStart w:id="6382" w:name="_Toc11598"/>
      <w:bookmarkStart w:id="6383" w:name="_Toc23515"/>
      <w:r>
        <w:rPr>
          <w:rFonts w:hint="eastAsia" w:ascii="黑体" w:eastAsia="黑体"/>
          <w:bCs w:val="0"/>
          <w:sz w:val="28"/>
          <w:szCs w:val="28"/>
        </w:rPr>
        <w:t>附件五  主要机械设备和试验检测设备最低要求</w:t>
      </w:r>
      <w:bookmarkEnd w:id="632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9"/>
      <w:bookmarkEnd w:id="6380"/>
      <w:bookmarkEnd w:id="6381"/>
      <w:bookmarkEnd w:id="6382"/>
      <w:bookmarkEnd w:id="6383"/>
    </w:p>
    <w:p>
      <w:pPr>
        <w:pStyle w:val="27"/>
        <w:spacing w:line="340" w:lineRule="exact"/>
        <w:outlineLvl w:val="9"/>
      </w:pPr>
    </w:p>
    <w:tbl>
      <w:tblPr>
        <w:tblStyle w:val="20"/>
        <w:tblW w:w="9238" w:type="dxa"/>
        <w:tblInd w:w="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4"/>
        <w:gridCol w:w="4317"/>
        <w:gridCol w:w="824"/>
        <w:gridCol w:w="2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724" w:type="dxa"/>
          </w:tcPr>
          <w:p>
            <w:pPr>
              <w:spacing w:line="500" w:lineRule="exact"/>
              <w:jc w:val="center"/>
              <w:rPr>
                <w:b/>
              </w:rPr>
            </w:pPr>
            <w:r>
              <w:rPr>
                <w:rFonts w:hint="eastAsia"/>
                <w:b/>
              </w:rPr>
              <w:t>设备名称</w:t>
            </w:r>
          </w:p>
        </w:tc>
        <w:tc>
          <w:tcPr>
            <w:tcW w:w="4317" w:type="dxa"/>
          </w:tcPr>
          <w:p>
            <w:pPr>
              <w:spacing w:line="500" w:lineRule="exact"/>
              <w:jc w:val="center"/>
              <w:rPr>
                <w:b/>
              </w:rPr>
            </w:pPr>
            <w:r>
              <w:rPr>
                <w:rFonts w:hint="eastAsia"/>
                <w:b/>
              </w:rPr>
              <w:t>规格、功能及容量</w:t>
            </w:r>
          </w:p>
        </w:tc>
        <w:tc>
          <w:tcPr>
            <w:tcW w:w="824" w:type="dxa"/>
          </w:tcPr>
          <w:p>
            <w:pPr>
              <w:spacing w:line="500" w:lineRule="exact"/>
              <w:jc w:val="center"/>
              <w:rPr>
                <w:b/>
              </w:rPr>
            </w:pPr>
            <w:r>
              <w:rPr>
                <w:rFonts w:hint="eastAsia"/>
                <w:b/>
              </w:rPr>
              <w:t>单位</w:t>
            </w:r>
          </w:p>
        </w:tc>
        <w:tc>
          <w:tcPr>
            <w:tcW w:w="2373" w:type="dxa"/>
          </w:tcPr>
          <w:p>
            <w:pPr>
              <w:spacing w:line="500" w:lineRule="exact"/>
              <w:jc w:val="center"/>
              <w:rPr>
                <w:b/>
              </w:rPr>
            </w:pPr>
            <w:r>
              <w:rPr>
                <w:rFonts w:hint="eastAsia"/>
                <w:b/>
              </w:rPr>
              <w:t>最低数量要求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24" w:type="dxa"/>
            <w:vAlign w:val="center"/>
          </w:tcPr>
          <w:p>
            <w:pPr>
              <w:rPr>
                <w:rFonts w:ascii="宋体" w:hAnsi="宋体"/>
                <w:sz w:val="18"/>
              </w:rPr>
            </w:pPr>
            <w:r>
              <w:rPr>
                <w:rFonts w:hint="eastAsia"/>
                <w:szCs w:val="21"/>
              </w:rPr>
              <w:t>沥青拌和楼</w:t>
            </w:r>
          </w:p>
        </w:tc>
        <w:tc>
          <w:tcPr>
            <w:tcW w:w="4317" w:type="dxa"/>
            <w:vAlign w:val="center"/>
          </w:tcPr>
          <w:p>
            <w:pPr>
              <w:rPr>
                <w:rFonts w:ascii="宋体" w:hAnsi="宋体"/>
                <w:sz w:val="18"/>
              </w:rPr>
            </w:pPr>
            <w:r>
              <w:rPr>
                <w:rFonts w:hint="eastAsia"/>
                <w:szCs w:val="21"/>
              </w:rPr>
              <w:t>3000型及以上的间隙式沥青混凝土拌和楼</w:t>
            </w:r>
          </w:p>
        </w:tc>
        <w:tc>
          <w:tcPr>
            <w:tcW w:w="824" w:type="dxa"/>
            <w:vAlign w:val="center"/>
          </w:tcPr>
          <w:p>
            <w:pPr>
              <w:jc w:val="center"/>
              <w:rPr>
                <w:rFonts w:ascii="宋体" w:hAnsi="宋体"/>
                <w:sz w:val="18"/>
              </w:rPr>
            </w:pPr>
            <w:r>
              <w:rPr>
                <w:rFonts w:hint="eastAsia"/>
                <w:szCs w:val="21"/>
              </w:rPr>
              <w:t>台</w:t>
            </w:r>
          </w:p>
        </w:tc>
        <w:tc>
          <w:tcPr>
            <w:tcW w:w="2373" w:type="dxa"/>
            <w:vAlign w:val="center"/>
          </w:tcPr>
          <w:p>
            <w:pPr>
              <w:spacing w:line="240" w:lineRule="exact"/>
              <w:jc w:val="center"/>
              <w:rPr>
                <w:rFonts w:ascii="宋体" w:hAnsi="宋体"/>
                <w:sz w:val="18"/>
              </w:rPr>
            </w:pPr>
            <w:r>
              <w:rPr>
                <w:rFonts w:hint="eastAsia" w:ascii="宋体" w:hAnsi="宋体"/>
                <w:sz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724" w:type="dxa"/>
            <w:vAlign w:val="center"/>
          </w:tcPr>
          <w:p>
            <w:pPr>
              <w:rPr>
                <w:rFonts w:ascii="宋体" w:hAnsi="宋体"/>
                <w:szCs w:val="21"/>
              </w:rPr>
            </w:pPr>
            <w:r>
              <w:rPr>
                <w:rFonts w:hint="eastAsia"/>
                <w:szCs w:val="21"/>
              </w:rPr>
              <w:t>粒料拌和楼</w:t>
            </w:r>
          </w:p>
        </w:tc>
        <w:tc>
          <w:tcPr>
            <w:tcW w:w="4317" w:type="dxa"/>
            <w:vAlign w:val="center"/>
          </w:tcPr>
          <w:p>
            <w:pPr>
              <w:rPr>
                <w:rFonts w:ascii="宋体" w:hAnsi="宋体"/>
                <w:szCs w:val="21"/>
              </w:rPr>
            </w:pPr>
            <w:r>
              <w:rPr>
                <w:rFonts w:hint="eastAsia" w:ascii="宋体" w:hAnsi="宋体"/>
                <w:szCs w:val="21"/>
              </w:rPr>
              <w:t>200t/h以上强制式</w:t>
            </w:r>
          </w:p>
        </w:tc>
        <w:tc>
          <w:tcPr>
            <w:tcW w:w="824" w:type="dxa"/>
            <w:vAlign w:val="center"/>
          </w:tcPr>
          <w:p>
            <w:pPr>
              <w:jc w:val="center"/>
              <w:rPr>
                <w:rFonts w:ascii="宋体" w:hAnsi="宋体"/>
                <w:sz w:val="18"/>
              </w:rPr>
            </w:pPr>
            <w:r>
              <w:rPr>
                <w:rFonts w:hint="eastAsia"/>
                <w:szCs w:val="21"/>
              </w:rPr>
              <w:t>台</w:t>
            </w:r>
          </w:p>
        </w:tc>
        <w:tc>
          <w:tcPr>
            <w:tcW w:w="2373" w:type="dxa"/>
            <w:vAlign w:val="center"/>
          </w:tcPr>
          <w:p>
            <w:pPr>
              <w:spacing w:line="240" w:lineRule="exact"/>
              <w:jc w:val="center"/>
              <w:rPr>
                <w:rFonts w:ascii="宋体" w:hAnsi="宋体"/>
                <w:sz w:val="18"/>
              </w:rPr>
            </w:pPr>
            <w:r>
              <w:rPr>
                <w:rFonts w:hint="eastAsia" w:ascii="宋体" w:hAnsi="宋体"/>
                <w:sz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24" w:type="dxa"/>
            <w:vAlign w:val="center"/>
          </w:tcPr>
          <w:p>
            <w:pPr>
              <w:rPr>
                <w:rFonts w:ascii="宋体" w:hAnsi="宋体"/>
                <w:szCs w:val="21"/>
              </w:rPr>
            </w:pPr>
            <w:r>
              <w:rPr>
                <w:rFonts w:hint="eastAsia"/>
                <w:szCs w:val="21"/>
              </w:rPr>
              <w:t>摊铺机</w:t>
            </w:r>
          </w:p>
        </w:tc>
        <w:tc>
          <w:tcPr>
            <w:tcW w:w="4317" w:type="dxa"/>
            <w:vAlign w:val="center"/>
          </w:tcPr>
          <w:p>
            <w:pPr>
              <w:rPr>
                <w:rFonts w:ascii="宋体" w:hAnsi="宋体"/>
                <w:szCs w:val="21"/>
              </w:rPr>
            </w:pPr>
            <w:r>
              <w:rPr>
                <w:rFonts w:hint="eastAsia" w:ascii="宋体" w:hAnsi="宋体"/>
                <w:szCs w:val="21"/>
              </w:rPr>
              <w:t>4.5米及以上沥青摊铺机</w:t>
            </w:r>
          </w:p>
        </w:tc>
        <w:tc>
          <w:tcPr>
            <w:tcW w:w="824" w:type="dxa"/>
            <w:vAlign w:val="center"/>
          </w:tcPr>
          <w:p>
            <w:pPr>
              <w:jc w:val="center"/>
              <w:rPr>
                <w:rFonts w:ascii="宋体" w:hAnsi="宋体"/>
                <w:sz w:val="18"/>
              </w:rPr>
            </w:pPr>
            <w:r>
              <w:rPr>
                <w:rFonts w:hint="eastAsia"/>
                <w:szCs w:val="21"/>
              </w:rPr>
              <w:t>台</w:t>
            </w:r>
          </w:p>
        </w:tc>
        <w:tc>
          <w:tcPr>
            <w:tcW w:w="2373" w:type="dxa"/>
            <w:vAlign w:val="center"/>
          </w:tcPr>
          <w:p>
            <w:pPr>
              <w:spacing w:line="240" w:lineRule="exact"/>
              <w:jc w:val="center"/>
              <w:rPr>
                <w:rFonts w:ascii="宋体" w:hAnsi="宋体"/>
                <w:sz w:val="18"/>
              </w:rPr>
            </w:pPr>
            <w:r>
              <w:rPr>
                <w:rFonts w:hint="eastAsia" w:ascii="宋体" w:hAnsi="宋体"/>
                <w:sz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24" w:type="dxa"/>
            <w:vAlign w:val="center"/>
          </w:tcPr>
          <w:p>
            <w:pPr>
              <w:rPr>
                <w:rFonts w:ascii="宋体" w:hAnsi="宋体"/>
                <w:szCs w:val="21"/>
              </w:rPr>
            </w:pPr>
            <w:r>
              <w:rPr>
                <w:rFonts w:hint="eastAsia" w:ascii="宋体" w:hAnsi="宋体"/>
                <w:szCs w:val="21"/>
              </w:rPr>
              <w:t>压路机</w:t>
            </w:r>
          </w:p>
        </w:tc>
        <w:tc>
          <w:tcPr>
            <w:tcW w:w="4317" w:type="dxa"/>
            <w:vAlign w:val="center"/>
          </w:tcPr>
          <w:p>
            <w:pPr>
              <w:rPr>
                <w:rFonts w:ascii="宋体" w:hAnsi="宋体"/>
                <w:szCs w:val="21"/>
              </w:rPr>
            </w:pPr>
            <w:r>
              <w:rPr>
                <w:rFonts w:hint="eastAsia" w:ascii="宋体" w:hAnsi="宋体"/>
                <w:szCs w:val="21"/>
              </w:rPr>
              <w:t>20 t以上轮胎压路机</w:t>
            </w:r>
          </w:p>
        </w:tc>
        <w:tc>
          <w:tcPr>
            <w:tcW w:w="824" w:type="dxa"/>
            <w:vAlign w:val="center"/>
          </w:tcPr>
          <w:p>
            <w:pPr>
              <w:jc w:val="center"/>
              <w:rPr>
                <w:rFonts w:ascii="宋体" w:hAnsi="宋体"/>
                <w:sz w:val="18"/>
              </w:rPr>
            </w:pPr>
            <w:r>
              <w:rPr>
                <w:rFonts w:hint="eastAsia"/>
                <w:szCs w:val="21"/>
              </w:rPr>
              <w:t>台</w:t>
            </w:r>
          </w:p>
        </w:tc>
        <w:tc>
          <w:tcPr>
            <w:tcW w:w="2373" w:type="dxa"/>
            <w:vAlign w:val="center"/>
          </w:tcPr>
          <w:p>
            <w:pPr>
              <w:spacing w:line="240" w:lineRule="exact"/>
              <w:jc w:val="center"/>
              <w:rPr>
                <w:rFonts w:ascii="宋体" w:hAnsi="宋体"/>
                <w:sz w:val="18"/>
              </w:rPr>
            </w:pPr>
            <w:r>
              <w:rPr>
                <w:rFonts w:hint="eastAsia" w:ascii="宋体" w:hAnsi="宋体"/>
                <w:sz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24" w:type="dxa"/>
            <w:vAlign w:val="center"/>
          </w:tcPr>
          <w:p>
            <w:pPr>
              <w:rPr>
                <w:rFonts w:ascii="宋体" w:hAnsi="宋体"/>
                <w:szCs w:val="21"/>
              </w:rPr>
            </w:pPr>
            <w:r>
              <w:rPr>
                <w:rFonts w:hint="eastAsia" w:ascii="宋体" w:hAnsi="宋体"/>
                <w:szCs w:val="21"/>
              </w:rPr>
              <w:t>压路机</w:t>
            </w:r>
          </w:p>
        </w:tc>
        <w:tc>
          <w:tcPr>
            <w:tcW w:w="4317" w:type="dxa"/>
            <w:vAlign w:val="center"/>
          </w:tcPr>
          <w:p>
            <w:pPr>
              <w:rPr>
                <w:rFonts w:ascii="宋体" w:hAnsi="宋体"/>
                <w:szCs w:val="21"/>
              </w:rPr>
            </w:pPr>
            <w:r>
              <w:rPr>
                <w:rFonts w:hint="eastAsia" w:ascii="宋体" w:hAnsi="宋体"/>
                <w:szCs w:val="21"/>
              </w:rPr>
              <w:t>10t以上双钢轮压路机</w:t>
            </w:r>
          </w:p>
        </w:tc>
        <w:tc>
          <w:tcPr>
            <w:tcW w:w="824" w:type="dxa"/>
            <w:vAlign w:val="center"/>
          </w:tcPr>
          <w:p>
            <w:pPr>
              <w:jc w:val="center"/>
              <w:rPr>
                <w:rFonts w:ascii="宋体" w:hAnsi="宋体"/>
                <w:sz w:val="18"/>
              </w:rPr>
            </w:pPr>
            <w:r>
              <w:rPr>
                <w:rFonts w:hint="eastAsia"/>
                <w:szCs w:val="21"/>
              </w:rPr>
              <w:t>台</w:t>
            </w:r>
          </w:p>
        </w:tc>
        <w:tc>
          <w:tcPr>
            <w:tcW w:w="2373" w:type="dxa"/>
            <w:vAlign w:val="center"/>
          </w:tcPr>
          <w:p>
            <w:pPr>
              <w:spacing w:line="240" w:lineRule="exact"/>
              <w:jc w:val="center"/>
              <w:rPr>
                <w:rFonts w:ascii="宋体" w:hAnsi="宋体"/>
                <w:sz w:val="18"/>
              </w:rPr>
            </w:pPr>
            <w:r>
              <w:rPr>
                <w:rFonts w:hint="eastAsia" w:ascii="宋体" w:hAnsi="宋体"/>
                <w:sz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24" w:type="dxa"/>
            <w:vAlign w:val="center"/>
          </w:tcPr>
          <w:p>
            <w:pPr>
              <w:rPr>
                <w:rFonts w:ascii="宋体" w:hAnsi="宋体"/>
                <w:szCs w:val="21"/>
              </w:rPr>
            </w:pPr>
            <w:r>
              <w:rPr>
                <w:rFonts w:hint="eastAsia" w:ascii="宋体" w:hAnsi="宋体"/>
                <w:szCs w:val="21"/>
              </w:rPr>
              <w:t>压路机</w:t>
            </w:r>
          </w:p>
        </w:tc>
        <w:tc>
          <w:tcPr>
            <w:tcW w:w="4317" w:type="dxa"/>
            <w:vAlign w:val="center"/>
          </w:tcPr>
          <w:p>
            <w:pPr>
              <w:rPr>
                <w:rFonts w:ascii="宋体" w:hAnsi="宋体"/>
                <w:szCs w:val="21"/>
              </w:rPr>
            </w:pPr>
            <w:r>
              <w:rPr>
                <w:rFonts w:hint="eastAsia" w:ascii="宋体" w:hAnsi="宋体"/>
                <w:szCs w:val="21"/>
              </w:rPr>
              <w:t>胶轮压路机</w:t>
            </w:r>
          </w:p>
        </w:tc>
        <w:tc>
          <w:tcPr>
            <w:tcW w:w="824" w:type="dxa"/>
            <w:vAlign w:val="center"/>
          </w:tcPr>
          <w:p>
            <w:pPr>
              <w:jc w:val="center"/>
              <w:rPr>
                <w:rFonts w:ascii="宋体" w:hAnsi="宋体"/>
                <w:sz w:val="18"/>
              </w:rPr>
            </w:pPr>
            <w:r>
              <w:rPr>
                <w:rFonts w:hint="eastAsia"/>
                <w:szCs w:val="21"/>
              </w:rPr>
              <w:t>台</w:t>
            </w:r>
          </w:p>
        </w:tc>
        <w:tc>
          <w:tcPr>
            <w:tcW w:w="2373" w:type="dxa"/>
            <w:vAlign w:val="center"/>
          </w:tcPr>
          <w:p>
            <w:pPr>
              <w:spacing w:line="240" w:lineRule="exact"/>
              <w:jc w:val="center"/>
              <w:rPr>
                <w:rFonts w:ascii="宋体" w:hAnsi="宋体"/>
                <w:sz w:val="18"/>
              </w:rPr>
            </w:pPr>
            <w:r>
              <w:rPr>
                <w:rFonts w:hint="eastAsia" w:ascii="宋体" w:hAnsi="宋体"/>
                <w:sz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24" w:type="dxa"/>
            <w:vAlign w:val="center"/>
          </w:tcPr>
          <w:p>
            <w:pPr>
              <w:rPr>
                <w:rFonts w:ascii="宋体" w:hAnsi="宋体"/>
                <w:szCs w:val="21"/>
              </w:rPr>
            </w:pPr>
            <w:r>
              <w:rPr>
                <w:rFonts w:hint="eastAsia"/>
                <w:szCs w:val="21"/>
              </w:rPr>
              <w:t>洒水车</w:t>
            </w:r>
          </w:p>
        </w:tc>
        <w:tc>
          <w:tcPr>
            <w:tcW w:w="4317" w:type="dxa"/>
            <w:vAlign w:val="center"/>
          </w:tcPr>
          <w:p>
            <w:pPr>
              <w:rPr>
                <w:szCs w:val="21"/>
              </w:rPr>
            </w:pPr>
            <w:r>
              <w:rPr>
                <w:rFonts w:hint="eastAsia"/>
                <w:szCs w:val="21"/>
              </w:rPr>
              <w:t>3t以上</w:t>
            </w:r>
          </w:p>
        </w:tc>
        <w:tc>
          <w:tcPr>
            <w:tcW w:w="824" w:type="dxa"/>
            <w:vAlign w:val="center"/>
          </w:tcPr>
          <w:p>
            <w:pPr>
              <w:jc w:val="center"/>
              <w:rPr>
                <w:rFonts w:ascii="宋体" w:hAnsi="宋体"/>
                <w:sz w:val="18"/>
              </w:rPr>
            </w:pPr>
            <w:bookmarkStart w:id="6384" w:name="OLE_LINK18"/>
            <w:r>
              <w:rPr>
                <w:rFonts w:hint="eastAsia"/>
                <w:szCs w:val="21"/>
              </w:rPr>
              <w:t>辆</w:t>
            </w:r>
            <w:bookmarkEnd w:id="6384"/>
          </w:p>
        </w:tc>
        <w:tc>
          <w:tcPr>
            <w:tcW w:w="2373" w:type="dxa"/>
            <w:vAlign w:val="center"/>
          </w:tcPr>
          <w:p>
            <w:pPr>
              <w:spacing w:line="240" w:lineRule="exact"/>
              <w:jc w:val="center"/>
              <w:rPr>
                <w:rFonts w:ascii="宋体" w:hAnsi="宋体"/>
                <w:sz w:val="18"/>
              </w:rPr>
            </w:pPr>
            <w:r>
              <w:rPr>
                <w:rFonts w:hint="eastAsia" w:ascii="宋体" w:hAnsi="宋体"/>
                <w:sz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24" w:type="dxa"/>
            <w:vAlign w:val="center"/>
          </w:tcPr>
          <w:p>
            <w:pPr>
              <w:rPr>
                <w:rFonts w:ascii="宋体" w:hAnsi="宋体"/>
                <w:szCs w:val="21"/>
              </w:rPr>
            </w:pPr>
            <w:r>
              <w:rPr>
                <w:rFonts w:hint="eastAsia"/>
                <w:szCs w:val="21"/>
              </w:rPr>
              <w:t>汽车</w:t>
            </w:r>
          </w:p>
        </w:tc>
        <w:tc>
          <w:tcPr>
            <w:tcW w:w="4317" w:type="dxa"/>
            <w:vAlign w:val="center"/>
          </w:tcPr>
          <w:p>
            <w:pPr>
              <w:rPr>
                <w:szCs w:val="21"/>
              </w:rPr>
            </w:pPr>
            <w:r>
              <w:rPr>
                <w:rFonts w:hint="eastAsia"/>
                <w:szCs w:val="21"/>
              </w:rPr>
              <w:t>自卸载重汽车</w:t>
            </w:r>
          </w:p>
        </w:tc>
        <w:tc>
          <w:tcPr>
            <w:tcW w:w="824" w:type="dxa"/>
            <w:vAlign w:val="center"/>
          </w:tcPr>
          <w:p>
            <w:pPr>
              <w:jc w:val="center"/>
              <w:rPr>
                <w:rFonts w:ascii="宋体" w:hAnsi="宋体"/>
                <w:sz w:val="18"/>
              </w:rPr>
            </w:pPr>
            <w:r>
              <w:rPr>
                <w:rFonts w:hint="eastAsia"/>
                <w:szCs w:val="21"/>
              </w:rPr>
              <w:t>辆</w:t>
            </w:r>
          </w:p>
        </w:tc>
        <w:tc>
          <w:tcPr>
            <w:tcW w:w="2373" w:type="dxa"/>
            <w:vAlign w:val="center"/>
          </w:tcPr>
          <w:p>
            <w:pPr>
              <w:spacing w:line="240" w:lineRule="exact"/>
              <w:jc w:val="center"/>
              <w:rPr>
                <w:rFonts w:ascii="宋体" w:hAnsi="宋体"/>
                <w:sz w:val="18"/>
              </w:rPr>
            </w:pPr>
            <w:r>
              <w:rPr>
                <w:rFonts w:hint="eastAsia" w:ascii="宋体" w:hAnsi="宋体"/>
                <w:sz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24" w:type="dxa"/>
            <w:vAlign w:val="center"/>
          </w:tcPr>
          <w:p>
            <w:pPr>
              <w:rPr>
                <w:rFonts w:ascii="宋体" w:hAnsi="宋体"/>
                <w:szCs w:val="21"/>
              </w:rPr>
            </w:pPr>
            <w:r>
              <w:rPr>
                <w:rFonts w:hint="eastAsia" w:ascii="宋体" w:hAnsi="宋体"/>
                <w:szCs w:val="21"/>
              </w:rPr>
              <w:t>铣刨机</w:t>
            </w:r>
          </w:p>
        </w:tc>
        <w:tc>
          <w:tcPr>
            <w:tcW w:w="4317" w:type="dxa"/>
            <w:vAlign w:val="center"/>
          </w:tcPr>
          <w:p>
            <w:pPr>
              <w:rPr>
                <w:szCs w:val="21"/>
              </w:rPr>
            </w:pPr>
            <w:r>
              <w:rPr>
                <w:rFonts w:hint="eastAsia"/>
                <w:szCs w:val="21"/>
              </w:rPr>
              <w:t>1m</w:t>
            </w:r>
          </w:p>
        </w:tc>
        <w:tc>
          <w:tcPr>
            <w:tcW w:w="824" w:type="dxa"/>
            <w:vAlign w:val="center"/>
          </w:tcPr>
          <w:p>
            <w:pPr>
              <w:jc w:val="center"/>
              <w:rPr>
                <w:rFonts w:ascii="宋体" w:hAnsi="宋体"/>
                <w:sz w:val="18"/>
              </w:rPr>
            </w:pPr>
            <w:r>
              <w:rPr>
                <w:rFonts w:hint="eastAsia" w:ascii="宋体" w:hAnsi="宋体"/>
                <w:sz w:val="18"/>
              </w:rPr>
              <w:t>台</w:t>
            </w:r>
          </w:p>
        </w:tc>
        <w:tc>
          <w:tcPr>
            <w:tcW w:w="2373" w:type="dxa"/>
            <w:vAlign w:val="center"/>
          </w:tcPr>
          <w:p>
            <w:pPr>
              <w:spacing w:line="240" w:lineRule="exact"/>
              <w:jc w:val="center"/>
              <w:rPr>
                <w:rFonts w:ascii="宋体" w:hAnsi="宋体"/>
                <w:sz w:val="18"/>
              </w:rPr>
            </w:pPr>
            <w:r>
              <w:rPr>
                <w:rFonts w:hint="eastAsia" w:ascii="宋体" w:hAnsi="宋体"/>
                <w:sz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24" w:type="dxa"/>
            <w:vMerge w:val="restart"/>
            <w:vAlign w:val="center"/>
          </w:tcPr>
          <w:p>
            <w:pPr>
              <w:rPr>
                <w:szCs w:val="21"/>
              </w:rPr>
            </w:pPr>
            <w:r>
              <w:rPr>
                <w:rFonts w:hint="eastAsia"/>
                <w:szCs w:val="21"/>
              </w:rPr>
              <w:t>试验检测设备</w:t>
            </w:r>
          </w:p>
        </w:tc>
        <w:tc>
          <w:tcPr>
            <w:tcW w:w="4317" w:type="dxa"/>
            <w:vAlign w:val="center"/>
          </w:tcPr>
          <w:p>
            <w:pPr>
              <w:rPr>
                <w:szCs w:val="21"/>
              </w:rPr>
            </w:pPr>
            <w:r>
              <w:rPr>
                <w:rFonts w:hint="eastAsia"/>
                <w:szCs w:val="21"/>
              </w:rPr>
              <w:t>重型击实仪</w:t>
            </w:r>
          </w:p>
        </w:tc>
        <w:tc>
          <w:tcPr>
            <w:tcW w:w="824" w:type="dxa"/>
            <w:vAlign w:val="center"/>
          </w:tcPr>
          <w:p>
            <w:pPr>
              <w:jc w:val="center"/>
              <w:rPr>
                <w:szCs w:val="21"/>
              </w:rPr>
            </w:pPr>
            <w:r>
              <w:rPr>
                <w:rFonts w:hint="eastAsia"/>
                <w:szCs w:val="21"/>
              </w:rPr>
              <w:t>台</w:t>
            </w:r>
          </w:p>
        </w:tc>
        <w:tc>
          <w:tcPr>
            <w:tcW w:w="2373" w:type="dxa"/>
            <w:vAlign w:val="center"/>
          </w:tcPr>
          <w:p>
            <w:pPr>
              <w:spacing w:line="240" w:lineRule="exact"/>
              <w:jc w:val="center"/>
              <w:rPr>
                <w:rFonts w:ascii="宋体" w:hAnsi="宋体"/>
                <w:sz w:val="18"/>
              </w:rPr>
            </w:pPr>
            <w:r>
              <w:rPr>
                <w:rFonts w:hint="eastAsia" w:ascii="宋体" w:hAnsi="宋体"/>
                <w:sz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24" w:type="dxa"/>
            <w:vMerge w:val="continue"/>
            <w:vAlign w:val="center"/>
          </w:tcPr>
          <w:p>
            <w:pPr>
              <w:rPr>
                <w:rFonts w:ascii="宋体" w:hAnsi="宋体"/>
                <w:sz w:val="18"/>
              </w:rPr>
            </w:pPr>
          </w:p>
        </w:tc>
        <w:tc>
          <w:tcPr>
            <w:tcW w:w="4317" w:type="dxa"/>
            <w:vAlign w:val="center"/>
          </w:tcPr>
          <w:p>
            <w:pPr>
              <w:rPr>
                <w:szCs w:val="21"/>
              </w:rPr>
            </w:pPr>
            <w:r>
              <w:rPr>
                <w:rFonts w:hint="eastAsia"/>
                <w:szCs w:val="21"/>
              </w:rPr>
              <w:t>沥青抽提仪</w:t>
            </w:r>
          </w:p>
        </w:tc>
        <w:tc>
          <w:tcPr>
            <w:tcW w:w="824" w:type="dxa"/>
            <w:vAlign w:val="center"/>
          </w:tcPr>
          <w:p>
            <w:pPr>
              <w:jc w:val="center"/>
              <w:rPr>
                <w:szCs w:val="21"/>
              </w:rPr>
            </w:pPr>
            <w:r>
              <w:rPr>
                <w:rFonts w:hint="eastAsia"/>
                <w:szCs w:val="21"/>
              </w:rPr>
              <w:t>台</w:t>
            </w:r>
          </w:p>
        </w:tc>
        <w:tc>
          <w:tcPr>
            <w:tcW w:w="2373" w:type="dxa"/>
            <w:vAlign w:val="center"/>
          </w:tcPr>
          <w:p>
            <w:pPr>
              <w:spacing w:line="240" w:lineRule="exact"/>
              <w:jc w:val="center"/>
              <w:rPr>
                <w:rFonts w:ascii="宋体" w:hAnsi="宋体"/>
                <w:sz w:val="18"/>
              </w:rPr>
            </w:pPr>
            <w:r>
              <w:rPr>
                <w:rFonts w:hint="eastAsia" w:ascii="宋体" w:hAnsi="宋体"/>
                <w:sz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24" w:type="dxa"/>
            <w:vMerge w:val="continue"/>
            <w:vAlign w:val="center"/>
          </w:tcPr>
          <w:p>
            <w:pPr>
              <w:rPr>
                <w:rFonts w:ascii="宋体" w:hAnsi="宋体"/>
                <w:sz w:val="18"/>
              </w:rPr>
            </w:pPr>
          </w:p>
        </w:tc>
        <w:tc>
          <w:tcPr>
            <w:tcW w:w="4317" w:type="dxa"/>
            <w:vAlign w:val="center"/>
          </w:tcPr>
          <w:p>
            <w:pPr>
              <w:rPr>
                <w:szCs w:val="21"/>
              </w:rPr>
            </w:pPr>
            <w:r>
              <w:rPr>
                <w:rFonts w:hint="eastAsia"/>
                <w:szCs w:val="21"/>
              </w:rPr>
              <w:t>粗、细集料筛</w:t>
            </w:r>
          </w:p>
        </w:tc>
        <w:tc>
          <w:tcPr>
            <w:tcW w:w="824" w:type="dxa"/>
            <w:vAlign w:val="center"/>
          </w:tcPr>
          <w:p>
            <w:pPr>
              <w:jc w:val="center"/>
              <w:rPr>
                <w:szCs w:val="21"/>
              </w:rPr>
            </w:pPr>
            <w:r>
              <w:rPr>
                <w:rFonts w:hint="eastAsia"/>
                <w:szCs w:val="21"/>
              </w:rPr>
              <w:t>套</w:t>
            </w:r>
          </w:p>
        </w:tc>
        <w:tc>
          <w:tcPr>
            <w:tcW w:w="2373" w:type="dxa"/>
            <w:vAlign w:val="center"/>
          </w:tcPr>
          <w:p>
            <w:pPr>
              <w:spacing w:line="240" w:lineRule="exact"/>
              <w:jc w:val="center"/>
              <w:rPr>
                <w:rFonts w:ascii="宋体" w:hAnsi="宋体"/>
                <w:sz w:val="18"/>
              </w:rPr>
            </w:pPr>
            <w:r>
              <w:rPr>
                <w:rFonts w:hint="eastAsia" w:ascii="宋体" w:hAnsi="宋体"/>
                <w:sz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24" w:type="dxa"/>
            <w:vMerge w:val="continue"/>
            <w:vAlign w:val="center"/>
          </w:tcPr>
          <w:p>
            <w:pPr>
              <w:rPr>
                <w:rFonts w:ascii="楷体" w:hAnsi="楷体" w:eastAsia="楷体" w:cs="楷体"/>
                <w:sz w:val="18"/>
              </w:rPr>
            </w:pPr>
          </w:p>
        </w:tc>
        <w:tc>
          <w:tcPr>
            <w:tcW w:w="4317" w:type="dxa"/>
            <w:vAlign w:val="center"/>
          </w:tcPr>
          <w:p>
            <w:pPr>
              <w:rPr>
                <w:rFonts w:ascii="楷体" w:hAnsi="楷体" w:eastAsia="楷体" w:cs="楷体"/>
                <w:szCs w:val="21"/>
              </w:rPr>
            </w:pPr>
            <w:r>
              <w:rPr>
                <w:rFonts w:hint="eastAsia"/>
                <w:szCs w:val="21"/>
              </w:rPr>
              <w:t>路面取芯机</w:t>
            </w:r>
          </w:p>
        </w:tc>
        <w:tc>
          <w:tcPr>
            <w:tcW w:w="824" w:type="dxa"/>
            <w:vAlign w:val="center"/>
          </w:tcPr>
          <w:p>
            <w:pPr>
              <w:jc w:val="center"/>
              <w:rPr>
                <w:rFonts w:ascii="楷体" w:hAnsi="楷体" w:eastAsia="楷体" w:cs="楷体"/>
                <w:szCs w:val="21"/>
              </w:rPr>
            </w:pPr>
            <w:r>
              <w:rPr>
                <w:rFonts w:hint="eastAsia"/>
                <w:szCs w:val="21"/>
              </w:rPr>
              <w:t>台</w:t>
            </w:r>
          </w:p>
        </w:tc>
        <w:tc>
          <w:tcPr>
            <w:tcW w:w="2373" w:type="dxa"/>
            <w:vAlign w:val="center"/>
          </w:tcPr>
          <w:p>
            <w:pPr>
              <w:spacing w:line="240" w:lineRule="exact"/>
              <w:jc w:val="center"/>
              <w:rPr>
                <w:rFonts w:ascii="楷体" w:hAnsi="楷体" w:eastAsia="楷体" w:cs="楷体"/>
                <w:sz w:val="18"/>
              </w:rPr>
            </w:pPr>
            <w:r>
              <w:rPr>
                <w:rFonts w:hint="eastAsia" w:ascii="宋体" w:hAnsi="宋体"/>
                <w:sz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24" w:type="dxa"/>
            <w:vMerge w:val="continue"/>
            <w:vAlign w:val="center"/>
          </w:tcPr>
          <w:p>
            <w:pPr>
              <w:rPr>
                <w:rFonts w:ascii="楷体" w:hAnsi="楷体" w:eastAsia="楷体" w:cs="楷体"/>
                <w:sz w:val="18"/>
              </w:rPr>
            </w:pPr>
          </w:p>
        </w:tc>
        <w:tc>
          <w:tcPr>
            <w:tcW w:w="4317" w:type="dxa"/>
            <w:vAlign w:val="center"/>
          </w:tcPr>
          <w:p>
            <w:pPr>
              <w:rPr>
                <w:rFonts w:ascii="楷体" w:hAnsi="楷体" w:eastAsia="楷体" w:cs="楷体"/>
                <w:szCs w:val="21"/>
              </w:rPr>
            </w:pPr>
            <w:r>
              <w:rPr>
                <w:rFonts w:hint="eastAsia"/>
                <w:szCs w:val="21"/>
              </w:rPr>
              <w:t>恒温干燥箱</w:t>
            </w:r>
          </w:p>
        </w:tc>
        <w:tc>
          <w:tcPr>
            <w:tcW w:w="824" w:type="dxa"/>
            <w:vAlign w:val="center"/>
          </w:tcPr>
          <w:p>
            <w:pPr>
              <w:jc w:val="center"/>
              <w:rPr>
                <w:rFonts w:ascii="楷体" w:hAnsi="楷体" w:eastAsia="楷体" w:cs="楷体"/>
                <w:szCs w:val="21"/>
              </w:rPr>
            </w:pPr>
            <w:r>
              <w:rPr>
                <w:rFonts w:hint="eastAsia"/>
                <w:szCs w:val="21"/>
              </w:rPr>
              <w:t>台</w:t>
            </w:r>
          </w:p>
        </w:tc>
        <w:tc>
          <w:tcPr>
            <w:tcW w:w="2373" w:type="dxa"/>
            <w:vAlign w:val="center"/>
          </w:tcPr>
          <w:p>
            <w:pPr>
              <w:spacing w:line="240" w:lineRule="exact"/>
              <w:jc w:val="center"/>
              <w:rPr>
                <w:rFonts w:ascii="楷体" w:hAnsi="楷体" w:eastAsia="楷体" w:cs="楷体"/>
                <w:sz w:val="18"/>
              </w:rPr>
            </w:pPr>
            <w:r>
              <w:rPr>
                <w:rFonts w:hint="eastAsia" w:ascii="宋体" w:hAnsi="宋体"/>
                <w:sz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24" w:type="dxa"/>
            <w:vMerge w:val="continue"/>
            <w:vAlign w:val="center"/>
          </w:tcPr>
          <w:p>
            <w:pPr>
              <w:rPr>
                <w:rFonts w:ascii="楷体" w:hAnsi="楷体" w:eastAsia="楷体" w:cs="楷体"/>
                <w:sz w:val="18"/>
              </w:rPr>
            </w:pPr>
          </w:p>
        </w:tc>
        <w:tc>
          <w:tcPr>
            <w:tcW w:w="4317" w:type="dxa"/>
            <w:vAlign w:val="center"/>
          </w:tcPr>
          <w:p>
            <w:pPr>
              <w:rPr>
                <w:rFonts w:ascii="楷体" w:hAnsi="楷体" w:eastAsia="楷体" w:cs="楷体"/>
                <w:szCs w:val="21"/>
              </w:rPr>
            </w:pPr>
            <w:r>
              <w:rPr>
                <w:rFonts w:hint="eastAsia"/>
                <w:szCs w:val="21"/>
              </w:rPr>
              <w:t>全站仪、水准仪</w:t>
            </w:r>
          </w:p>
        </w:tc>
        <w:tc>
          <w:tcPr>
            <w:tcW w:w="824" w:type="dxa"/>
            <w:vAlign w:val="center"/>
          </w:tcPr>
          <w:p>
            <w:pPr>
              <w:jc w:val="center"/>
              <w:rPr>
                <w:rFonts w:ascii="楷体" w:hAnsi="楷体" w:eastAsia="楷体" w:cs="楷体"/>
                <w:szCs w:val="21"/>
              </w:rPr>
            </w:pPr>
            <w:r>
              <w:rPr>
                <w:rFonts w:hint="eastAsia"/>
                <w:szCs w:val="21"/>
              </w:rPr>
              <w:t>台</w:t>
            </w:r>
          </w:p>
        </w:tc>
        <w:tc>
          <w:tcPr>
            <w:tcW w:w="2373" w:type="dxa"/>
            <w:vAlign w:val="center"/>
          </w:tcPr>
          <w:p>
            <w:pPr>
              <w:spacing w:line="240" w:lineRule="exact"/>
              <w:jc w:val="center"/>
              <w:rPr>
                <w:rFonts w:ascii="楷体" w:hAnsi="楷体" w:eastAsia="楷体" w:cs="楷体"/>
                <w:sz w:val="18"/>
              </w:rPr>
            </w:pPr>
            <w:r>
              <w:rPr>
                <w:rFonts w:hint="eastAsia" w:ascii="宋体" w:hAnsi="宋体"/>
                <w:sz w:val="18"/>
              </w:rPr>
              <w:t>各1</w:t>
            </w:r>
          </w:p>
        </w:tc>
      </w:tr>
    </w:tbl>
    <w:p>
      <w:pPr>
        <w:spacing w:line="340" w:lineRule="exact"/>
      </w:pPr>
    </w:p>
    <w:p>
      <w:pPr>
        <w:pStyle w:val="48"/>
        <w:spacing w:line="400" w:lineRule="exact"/>
        <w:ind w:firstLine="420" w:firstLineChars="200"/>
        <w:rPr>
          <w:rFonts w:ascii="宋体" w:hAnsi="宋体"/>
          <w:szCs w:val="21"/>
        </w:rPr>
      </w:pPr>
      <w:bookmarkStart w:id="6385" w:name="_Toc240330695"/>
      <w:bookmarkStart w:id="6386" w:name="_Toc240217876"/>
      <w:r>
        <w:rPr>
          <w:rFonts w:hint="eastAsia" w:ascii="宋体" w:hAnsi="宋体"/>
          <w:szCs w:val="21"/>
        </w:rPr>
        <w:t>招标人将在发出中标通知书之前要求中标人按照本表的最低要求填报为本标段配备的主要设备，在经招标人审批后作为投入本标段的主要设备且不</w:t>
      </w:r>
      <w:bookmarkEnd w:id="6385"/>
      <w:bookmarkEnd w:id="6386"/>
      <w:r>
        <w:rPr>
          <w:rFonts w:hint="eastAsia" w:ascii="宋体" w:hAnsi="宋体"/>
          <w:szCs w:val="21"/>
        </w:rPr>
        <w:t>允许更换。</w:t>
      </w:r>
    </w:p>
    <w:p>
      <w:pPr>
        <w:spacing w:line="340" w:lineRule="exact"/>
      </w:pPr>
    </w:p>
    <w:p>
      <w:pPr>
        <w:spacing w:line="340" w:lineRule="exact"/>
      </w:pPr>
    </w:p>
    <w:p>
      <w:pPr>
        <w:spacing w:line="340" w:lineRule="exact"/>
      </w:pPr>
    </w:p>
    <w:p>
      <w:pPr>
        <w:pStyle w:val="18"/>
      </w:pPr>
    </w:p>
    <w:p/>
    <w:p>
      <w:pPr>
        <w:pStyle w:val="18"/>
      </w:pPr>
    </w:p>
    <w:p/>
    <w:p>
      <w:pPr>
        <w:pStyle w:val="18"/>
      </w:pPr>
    </w:p>
    <w:p>
      <w:pPr>
        <w:spacing w:line="340" w:lineRule="exact"/>
      </w:pPr>
    </w:p>
    <w:p>
      <w:pPr>
        <w:pStyle w:val="6"/>
        <w:spacing w:before="0" w:after="0" w:line="360" w:lineRule="auto"/>
        <w:rPr>
          <w:b w:val="0"/>
          <w:bCs w:val="0"/>
          <w:sz w:val="21"/>
          <w:szCs w:val="24"/>
        </w:rPr>
      </w:pPr>
      <w:bookmarkStart w:id="6387" w:name="_Toc5811"/>
      <w:bookmarkStart w:id="6388" w:name="_Toc12962"/>
      <w:bookmarkStart w:id="6389" w:name="_Toc25882"/>
      <w:bookmarkStart w:id="6390" w:name="_Toc29923"/>
      <w:bookmarkStart w:id="6391" w:name="_Toc10222"/>
      <w:bookmarkStart w:id="6392" w:name="_Toc18585"/>
      <w:bookmarkStart w:id="6393" w:name="_Toc17048"/>
      <w:bookmarkStart w:id="6394" w:name="_Toc15847"/>
      <w:bookmarkStart w:id="6395" w:name="_Toc22306"/>
      <w:bookmarkStart w:id="6396" w:name="_Toc15504"/>
      <w:bookmarkStart w:id="6397" w:name="_Toc26673"/>
      <w:bookmarkStart w:id="6398" w:name="_Toc15586"/>
      <w:bookmarkStart w:id="6399" w:name="_Toc15546"/>
      <w:bookmarkStart w:id="6400" w:name="_Toc26532"/>
      <w:bookmarkStart w:id="6401" w:name="_Toc15608"/>
      <w:bookmarkStart w:id="6402" w:name="_Toc4647"/>
      <w:bookmarkStart w:id="6403" w:name="_Toc2456"/>
      <w:bookmarkStart w:id="6404" w:name="_Toc29606"/>
    </w:p>
    <w:p/>
    <w:p>
      <w:pPr>
        <w:pStyle w:val="18"/>
      </w:pPr>
    </w:p>
    <w:p>
      <w:pPr>
        <w:pStyle w:val="6"/>
        <w:spacing w:before="0" w:after="0" w:line="360" w:lineRule="auto"/>
        <w:rPr>
          <w:rFonts w:ascii="黑体" w:eastAsia="黑体"/>
          <w:bCs w:val="0"/>
          <w:sz w:val="28"/>
          <w:szCs w:val="28"/>
        </w:rPr>
      </w:pPr>
      <w:r>
        <w:rPr>
          <w:rFonts w:hint="eastAsia" w:ascii="黑体" w:eastAsia="黑体"/>
          <w:bCs w:val="0"/>
          <w:sz w:val="28"/>
          <w:szCs w:val="28"/>
        </w:rPr>
        <w:t>附件六  项目经理委任书</w:t>
      </w:r>
      <w:bookmarkEnd w:id="6324"/>
      <w:bookmarkEnd w:id="6325"/>
      <w:bookmarkEnd w:id="6326"/>
      <w:bookmarkEnd w:id="6327"/>
      <w:bookmarkEnd w:id="6328"/>
      <w:bookmarkEnd w:id="6329"/>
      <w:bookmarkEnd w:id="6330"/>
      <w:bookmarkEnd w:id="6331"/>
      <w:bookmarkEnd w:id="6332"/>
      <w:bookmarkEnd w:id="6333"/>
      <w:bookmarkEnd w:id="6334"/>
      <w:bookmarkEnd w:id="6335"/>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p>
    <w:p/>
    <w:p/>
    <w:p>
      <w:pPr>
        <w:spacing w:line="420" w:lineRule="exact"/>
        <w:jc w:val="center"/>
        <w:rPr>
          <w:rFonts w:ascii="黑体" w:eastAsia="黑体"/>
          <w:sz w:val="28"/>
          <w:szCs w:val="28"/>
          <w:u w:val="single"/>
        </w:rPr>
      </w:pPr>
      <w:r>
        <w:rPr>
          <w:rFonts w:hint="eastAsia" w:ascii="黑体" w:eastAsia="黑体"/>
          <w:sz w:val="28"/>
          <w:szCs w:val="28"/>
          <w:u w:val="single"/>
        </w:rPr>
        <w:t>（承包人全称）</w:t>
      </w:r>
    </w:p>
    <w:p>
      <w:pPr>
        <w:spacing w:line="420" w:lineRule="exact"/>
        <w:jc w:val="center"/>
        <w:rPr>
          <w:rFonts w:ascii="黑体" w:eastAsia="黑体"/>
          <w:sz w:val="28"/>
          <w:szCs w:val="28"/>
        </w:rPr>
      </w:pPr>
      <w:r>
        <w:rPr>
          <w:rFonts w:hint="eastAsia" w:ascii="黑体" w:eastAsia="黑体"/>
          <w:sz w:val="28"/>
          <w:szCs w:val="28"/>
          <w:u w:val="single"/>
        </w:rPr>
        <w:t>（合同工程名称）</w:t>
      </w:r>
      <w:r>
        <w:rPr>
          <w:rFonts w:hint="eastAsia" w:ascii="黑体" w:eastAsia="黑体"/>
          <w:sz w:val="28"/>
          <w:szCs w:val="28"/>
        </w:rPr>
        <w:t>项目经理委任书</w:t>
      </w:r>
    </w:p>
    <w:p/>
    <w:p/>
    <w:p/>
    <w:p>
      <w:pPr>
        <w:spacing w:line="420" w:lineRule="exact"/>
        <w:rPr>
          <w:rFonts w:ascii="楷体" w:hAnsi="楷体" w:cs="楷体"/>
          <w:sz w:val="24"/>
          <w:u w:val="single"/>
        </w:rPr>
      </w:pPr>
      <w:r>
        <w:rPr>
          <w:rFonts w:hint="eastAsia" w:ascii="楷体" w:hAnsi="楷体" w:cs="楷体"/>
          <w:sz w:val="24"/>
        </w:rPr>
        <w:t>致：</w:t>
      </w:r>
      <w:r>
        <w:rPr>
          <w:rFonts w:hint="eastAsia" w:ascii="楷体" w:hAnsi="楷体" w:cs="楷体"/>
          <w:sz w:val="24"/>
          <w:u w:val="single"/>
        </w:rPr>
        <w:t>（发包人全称）</w:t>
      </w:r>
    </w:p>
    <w:p>
      <w:pPr>
        <w:spacing w:line="420" w:lineRule="exact"/>
        <w:ind w:firstLine="480" w:firstLineChars="200"/>
        <w:rPr>
          <w:rFonts w:ascii="楷体" w:hAnsi="楷体" w:cs="楷体"/>
          <w:sz w:val="24"/>
        </w:rPr>
      </w:pPr>
      <w:r>
        <w:rPr>
          <w:rFonts w:hint="eastAsia" w:ascii="楷体" w:hAnsi="楷体" w:cs="楷体"/>
          <w:sz w:val="24"/>
          <w:u w:val="single"/>
        </w:rPr>
        <w:t>（承包人全称）</w:t>
      </w:r>
      <w:r>
        <w:rPr>
          <w:rFonts w:hint="eastAsia" w:ascii="楷体" w:hAnsi="楷体" w:cs="楷体"/>
          <w:sz w:val="24"/>
        </w:rPr>
        <w:t>法定代表人</w:t>
      </w:r>
      <w:r>
        <w:rPr>
          <w:rFonts w:hint="eastAsia" w:ascii="楷体" w:hAnsi="楷体" w:cs="楷体"/>
          <w:sz w:val="24"/>
          <w:u w:val="single"/>
        </w:rPr>
        <w:t>（职务、姓名）</w:t>
      </w:r>
      <w:r>
        <w:rPr>
          <w:rFonts w:hint="eastAsia" w:ascii="楷体" w:hAnsi="楷体" w:cs="楷体"/>
          <w:sz w:val="24"/>
        </w:rPr>
        <w:t>代表本单位委任</w:t>
      </w:r>
      <w:r>
        <w:rPr>
          <w:rFonts w:hint="eastAsia" w:ascii="楷体" w:hAnsi="楷体" w:cs="楷体"/>
          <w:sz w:val="24"/>
          <w:u w:val="single"/>
        </w:rPr>
        <w:t>（职务、姓名）</w:t>
      </w:r>
      <w:r>
        <w:rPr>
          <w:rFonts w:hint="eastAsia" w:ascii="楷体" w:hAnsi="楷体" w:cs="楷体"/>
          <w:sz w:val="24"/>
        </w:rPr>
        <w:t>为</w:t>
      </w:r>
      <w:r>
        <w:rPr>
          <w:rFonts w:hint="eastAsia" w:ascii="楷体" w:hAnsi="楷体" w:cs="楷体"/>
          <w:sz w:val="24"/>
          <w:u w:val="single"/>
        </w:rPr>
        <w:t>（合同工程名称）</w:t>
      </w:r>
      <w:r>
        <w:rPr>
          <w:rFonts w:hint="eastAsia" w:ascii="楷体" w:hAnsi="楷体" w:cs="楷体"/>
          <w:sz w:val="24"/>
        </w:rPr>
        <w:t>的项目经理。凡本合同执行中的有关技术、工程进度、现场管理、质量检验、结算与支付等方面工作，由</w:t>
      </w:r>
      <w:r>
        <w:rPr>
          <w:rFonts w:hint="eastAsia" w:ascii="楷体" w:hAnsi="楷体" w:cs="楷体"/>
          <w:sz w:val="24"/>
          <w:u w:val="single"/>
        </w:rPr>
        <w:t xml:space="preserve"> （姓名） </w:t>
      </w:r>
      <w:r>
        <w:rPr>
          <w:rFonts w:hint="eastAsia" w:ascii="楷体" w:hAnsi="楷体" w:cs="楷体"/>
          <w:sz w:val="24"/>
        </w:rPr>
        <w:t>代表本单位全面负责。</w:t>
      </w:r>
    </w:p>
    <w:p>
      <w:pPr>
        <w:spacing w:line="420" w:lineRule="exact"/>
        <w:ind w:firstLine="480" w:firstLineChars="200"/>
        <w:rPr>
          <w:rFonts w:ascii="楷体" w:hAnsi="楷体" w:cs="楷体"/>
          <w:sz w:val="24"/>
        </w:rPr>
      </w:pPr>
    </w:p>
    <w:p>
      <w:pPr>
        <w:spacing w:line="420" w:lineRule="exact"/>
        <w:ind w:firstLine="4560" w:firstLineChars="1900"/>
        <w:rPr>
          <w:rFonts w:ascii="楷体" w:hAnsi="楷体" w:cs="楷体"/>
          <w:sz w:val="24"/>
        </w:rPr>
      </w:pPr>
      <w:r>
        <w:rPr>
          <w:rFonts w:hint="eastAsia" w:ascii="楷体" w:hAnsi="楷体" w:cs="楷体"/>
          <w:sz w:val="24"/>
        </w:rPr>
        <w:t>承包人：（盖单位章）</w:t>
      </w:r>
    </w:p>
    <w:p>
      <w:pPr>
        <w:spacing w:line="420" w:lineRule="exact"/>
        <w:ind w:firstLine="5280" w:firstLineChars="2200"/>
        <w:rPr>
          <w:rFonts w:ascii="楷体" w:hAnsi="楷体" w:cs="楷体"/>
          <w:sz w:val="24"/>
        </w:rPr>
      </w:pPr>
      <w:r>
        <w:rPr>
          <w:rFonts w:hint="eastAsia" w:ascii="楷体" w:hAnsi="楷体" w:cs="楷体"/>
          <w:sz w:val="24"/>
        </w:rPr>
        <w:t>法定代表人：</w:t>
      </w:r>
      <w:r>
        <w:rPr>
          <w:rFonts w:hint="eastAsia" w:ascii="楷体" w:hAnsi="楷体" w:cs="楷体"/>
          <w:sz w:val="24"/>
          <w:u w:val="single"/>
        </w:rPr>
        <w:t xml:space="preserve">   （职务）   </w:t>
      </w:r>
    </w:p>
    <w:p>
      <w:pPr>
        <w:spacing w:line="420" w:lineRule="exact"/>
        <w:ind w:firstLine="6720" w:firstLineChars="2800"/>
        <w:rPr>
          <w:rFonts w:ascii="楷体" w:hAnsi="楷体" w:cs="楷体"/>
          <w:sz w:val="24"/>
          <w:u w:val="single"/>
        </w:rPr>
      </w:pPr>
      <w:r>
        <w:rPr>
          <w:rFonts w:hint="eastAsia" w:ascii="楷体" w:hAnsi="楷体" w:cs="楷体"/>
          <w:sz w:val="24"/>
          <w:u w:val="single"/>
        </w:rPr>
        <w:t xml:space="preserve">   （姓名）   </w:t>
      </w:r>
    </w:p>
    <w:p>
      <w:pPr>
        <w:spacing w:line="420" w:lineRule="exact"/>
        <w:ind w:firstLine="6720" w:firstLineChars="2800"/>
        <w:rPr>
          <w:rFonts w:ascii="楷体" w:hAnsi="楷体" w:cs="楷体"/>
          <w:sz w:val="24"/>
          <w:u w:val="single"/>
        </w:rPr>
      </w:pPr>
      <w:r>
        <w:rPr>
          <w:rFonts w:hint="eastAsia" w:ascii="楷体" w:hAnsi="楷体" w:cs="楷体"/>
          <w:sz w:val="24"/>
          <w:u w:val="single"/>
        </w:rPr>
        <w:t xml:space="preserve">   （签字）   </w:t>
      </w:r>
    </w:p>
    <w:p>
      <w:pPr>
        <w:spacing w:line="420" w:lineRule="exact"/>
        <w:rPr>
          <w:rFonts w:ascii="楷体" w:hAnsi="楷体" w:cs="楷体"/>
          <w:sz w:val="24"/>
        </w:rPr>
      </w:pPr>
    </w:p>
    <w:p>
      <w:pPr>
        <w:spacing w:line="420" w:lineRule="exact"/>
        <w:ind w:firstLine="5760" w:firstLineChars="2400"/>
        <w:rPr>
          <w:rFonts w:ascii="楷体" w:hAnsi="楷体" w:cs="楷体"/>
          <w:sz w:val="24"/>
        </w:rPr>
      </w:pPr>
      <w:r>
        <w:rPr>
          <w:rFonts w:hint="eastAsia" w:ascii="楷体" w:hAnsi="楷体" w:cs="楷体"/>
          <w:sz w:val="24"/>
        </w:rPr>
        <w:t>年月日</w:t>
      </w:r>
    </w:p>
    <w:p>
      <w:pPr>
        <w:spacing w:line="420" w:lineRule="exact"/>
        <w:rPr>
          <w:rFonts w:ascii="楷体" w:hAnsi="楷体" w:cs="楷体"/>
          <w:sz w:val="24"/>
        </w:rPr>
      </w:pPr>
    </w:p>
    <w:p>
      <w:pPr>
        <w:spacing w:line="420" w:lineRule="exact"/>
        <w:rPr>
          <w:rFonts w:ascii="楷体" w:hAnsi="楷体" w:cs="楷体"/>
          <w:sz w:val="24"/>
        </w:rPr>
      </w:pPr>
    </w:p>
    <w:p>
      <w:pPr>
        <w:spacing w:line="420" w:lineRule="exact"/>
        <w:rPr>
          <w:rFonts w:ascii="楷体" w:hAnsi="楷体" w:cs="楷体"/>
          <w:sz w:val="24"/>
        </w:rPr>
      </w:pPr>
    </w:p>
    <w:p>
      <w:pPr>
        <w:rPr>
          <w:rFonts w:ascii="楷体" w:hAnsi="楷体" w:cs="楷体"/>
          <w:sz w:val="24"/>
          <w:u w:val="single"/>
        </w:rPr>
      </w:pPr>
      <w:r>
        <w:rPr>
          <w:rFonts w:hint="eastAsia" w:ascii="楷体" w:hAnsi="楷体" w:cs="楷体"/>
          <w:sz w:val="24"/>
        </w:rPr>
        <w:t>抄送：</w:t>
      </w:r>
      <w:r>
        <w:rPr>
          <w:rFonts w:hint="eastAsia" w:ascii="楷体" w:hAnsi="楷体" w:cs="楷体"/>
          <w:sz w:val="24"/>
          <w:u w:val="single"/>
        </w:rPr>
        <w:t xml:space="preserve">  （监理人）  </w:t>
      </w:r>
    </w:p>
    <w:p>
      <w:pPr>
        <w:rPr>
          <w:sz w:val="24"/>
          <w:u w:val="single"/>
        </w:rPr>
      </w:pPr>
    </w:p>
    <w:p>
      <w:pPr>
        <w:rPr>
          <w:sz w:val="24"/>
        </w:rPr>
      </w:pPr>
    </w:p>
    <w:p/>
    <w:p/>
    <w:p/>
    <w:p>
      <w:pPr>
        <w:spacing w:line="340" w:lineRule="exact"/>
      </w:pPr>
      <w:bookmarkStart w:id="6405" w:name="_Toc233435998"/>
      <w:bookmarkStart w:id="6406" w:name="_Toc282787610"/>
      <w:bookmarkStart w:id="6407" w:name="_Toc233214909"/>
      <w:bookmarkStart w:id="6408" w:name="_Toc233423342"/>
      <w:bookmarkStart w:id="6409" w:name="_Toc233290457"/>
      <w:bookmarkStart w:id="6410" w:name="_Toc233429859"/>
      <w:bookmarkStart w:id="6411" w:name="_Toc287853495"/>
      <w:bookmarkStart w:id="6412" w:name="_Toc283794343"/>
      <w:bookmarkStart w:id="6413" w:name="_Toc288491671"/>
      <w:bookmarkStart w:id="6414" w:name="_Toc282779655"/>
      <w:bookmarkStart w:id="6415" w:name="_Toc288546795"/>
      <w:bookmarkStart w:id="6416" w:name="_Toc282779146"/>
    </w:p>
    <w:p>
      <w:pPr>
        <w:spacing w:line="340" w:lineRule="exact"/>
      </w:pPr>
    </w:p>
    <w:p>
      <w:pPr>
        <w:pStyle w:val="2"/>
        <w:ind w:firstLine="240"/>
      </w:pPr>
    </w:p>
    <w:p>
      <w:pPr>
        <w:pStyle w:val="2"/>
        <w:ind w:firstLine="240"/>
      </w:pPr>
    </w:p>
    <w:bookmarkEnd w:id="6264"/>
    <w:bookmarkEnd w:id="6265"/>
    <w:bookmarkEnd w:id="6266"/>
    <w:bookmarkEnd w:id="6267"/>
    <w:bookmarkEnd w:id="6405"/>
    <w:bookmarkEnd w:id="6406"/>
    <w:bookmarkEnd w:id="6407"/>
    <w:bookmarkEnd w:id="6408"/>
    <w:bookmarkEnd w:id="6409"/>
    <w:bookmarkEnd w:id="6410"/>
    <w:bookmarkEnd w:id="6411"/>
    <w:bookmarkEnd w:id="6412"/>
    <w:bookmarkEnd w:id="6413"/>
    <w:bookmarkEnd w:id="6414"/>
    <w:bookmarkEnd w:id="6415"/>
    <w:bookmarkEnd w:id="6416"/>
    <w:p>
      <w:pPr>
        <w:keepNext/>
        <w:keepLines/>
        <w:spacing w:line="360" w:lineRule="auto"/>
      </w:pPr>
      <w:bookmarkStart w:id="6417" w:name="_Toc21659"/>
      <w:bookmarkStart w:id="6418" w:name="_Toc7014"/>
      <w:bookmarkStart w:id="6419" w:name="_Toc12764"/>
      <w:bookmarkStart w:id="6420" w:name="_Toc27593"/>
      <w:bookmarkStart w:id="6421" w:name="_Toc7471"/>
      <w:bookmarkStart w:id="6422" w:name="_Toc287853498"/>
      <w:bookmarkStart w:id="6423" w:name="_Toc288491674"/>
      <w:bookmarkStart w:id="6424" w:name="_Toc288546798"/>
      <w:bookmarkStart w:id="6425" w:name="_Toc283794345"/>
      <w:bookmarkStart w:id="6426" w:name="_Toc282787612"/>
      <w:bookmarkStart w:id="6427" w:name="_Toc282779148"/>
      <w:bookmarkStart w:id="6428" w:name="_Toc282779657"/>
    </w:p>
    <w:p>
      <w:pPr>
        <w:pStyle w:val="6"/>
        <w:spacing w:before="0" w:after="0" w:line="360" w:lineRule="auto"/>
        <w:rPr>
          <w:rFonts w:ascii="黑体" w:eastAsia="黑体"/>
          <w:bCs w:val="0"/>
          <w:sz w:val="28"/>
          <w:szCs w:val="28"/>
        </w:rPr>
      </w:pPr>
      <w:bookmarkStart w:id="6429" w:name="_Toc9598"/>
      <w:bookmarkStart w:id="6430" w:name="_Toc2546"/>
      <w:bookmarkStart w:id="6431" w:name="_Toc22672"/>
      <w:bookmarkStart w:id="6432" w:name="_Toc32278"/>
      <w:bookmarkStart w:id="6433" w:name="_Toc20462"/>
      <w:bookmarkStart w:id="6434" w:name="_Toc28364"/>
      <w:bookmarkStart w:id="6435" w:name="_Toc20977"/>
      <w:bookmarkStart w:id="6436" w:name="_Toc13303"/>
    </w:p>
    <w:p/>
    <w:p>
      <w:pPr>
        <w:pStyle w:val="6"/>
        <w:spacing w:line="360" w:lineRule="auto"/>
        <w:rPr>
          <w:rFonts w:eastAsia="黑体"/>
          <w:sz w:val="28"/>
          <w:szCs w:val="28"/>
        </w:rPr>
      </w:pPr>
      <w:bookmarkStart w:id="6437" w:name="_Toc21537"/>
      <w:bookmarkStart w:id="6438" w:name="_Toc3446"/>
      <w:bookmarkStart w:id="6439" w:name="_Toc24186"/>
      <w:bookmarkStart w:id="6440" w:name="_Toc15867"/>
      <w:bookmarkStart w:id="6441" w:name="_Toc12980"/>
      <w:r>
        <w:rPr>
          <w:rFonts w:hint="eastAsia" w:ascii="黑体" w:eastAsia="黑体"/>
          <w:bCs w:val="0"/>
          <w:sz w:val="28"/>
          <w:szCs w:val="28"/>
        </w:rPr>
        <w:t>附件七  履约担保格式</w:t>
      </w:r>
      <w:bookmarkEnd w:id="6417"/>
      <w:bookmarkEnd w:id="6418"/>
      <w:bookmarkEnd w:id="6419"/>
      <w:bookmarkEnd w:id="6420"/>
      <w:bookmarkEnd w:id="6421"/>
      <w:bookmarkEnd w:id="6429"/>
      <w:bookmarkEnd w:id="6430"/>
      <w:bookmarkEnd w:id="6431"/>
      <w:bookmarkEnd w:id="6432"/>
      <w:bookmarkEnd w:id="6433"/>
      <w:bookmarkEnd w:id="6434"/>
      <w:bookmarkEnd w:id="6435"/>
      <w:bookmarkEnd w:id="6436"/>
      <w:bookmarkEnd w:id="6437"/>
      <w:bookmarkEnd w:id="6438"/>
      <w:bookmarkEnd w:id="6439"/>
      <w:bookmarkEnd w:id="6440"/>
      <w:bookmarkEnd w:id="6441"/>
    </w:p>
    <w:p>
      <w:pPr>
        <w:spacing w:line="440" w:lineRule="exact"/>
        <w:jc w:val="center"/>
        <w:rPr>
          <w:rFonts w:eastAsia="黑体"/>
          <w:b/>
          <w:bCs/>
          <w:color w:val="0000FF"/>
          <w:sz w:val="28"/>
          <w:szCs w:val="28"/>
        </w:rPr>
      </w:pPr>
      <w:r>
        <w:rPr>
          <w:rFonts w:hint="eastAsia" w:eastAsia="黑体"/>
          <w:sz w:val="28"/>
          <w:szCs w:val="28"/>
        </w:rPr>
        <w:t xml:space="preserve">形式一      </w:t>
      </w:r>
      <w:r>
        <w:rPr>
          <w:rFonts w:eastAsia="黑体"/>
          <w:sz w:val="28"/>
          <w:szCs w:val="28"/>
        </w:rPr>
        <w:t>履约担保</w:t>
      </w:r>
      <w:r>
        <w:rPr>
          <w:rFonts w:hint="eastAsia" w:eastAsia="黑体"/>
          <w:b/>
          <w:bCs/>
          <w:color w:val="0000FF"/>
          <w:sz w:val="28"/>
          <w:szCs w:val="28"/>
        </w:rPr>
        <w:t>（本项目不适用）</w:t>
      </w:r>
    </w:p>
    <w:p>
      <w:pPr>
        <w:spacing w:line="440" w:lineRule="exact"/>
        <w:rPr>
          <w:rFonts w:eastAsia="黑体"/>
          <w:sz w:val="20"/>
          <w:szCs w:val="20"/>
        </w:rPr>
      </w:pPr>
    </w:p>
    <w:p>
      <w:pPr>
        <w:spacing w:line="440" w:lineRule="exact"/>
        <w:rPr>
          <w:rFonts w:ascii="楷体" w:hAnsi="楷体" w:cs="楷体"/>
          <w:sz w:val="24"/>
        </w:rPr>
      </w:pPr>
      <w:r>
        <w:rPr>
          <w:rFonts w:hint="eastAsia" w:ascii="楷体" w:hAnsi="楷体" w:cs="楷体"/>
          <w:sz w:val="24"/>
          <w:u w:val="single"/>
        </w:rPr>
        <w:tab/>
      </w:r>
      <w:r>
        <w:rPr>
          <w:rFonts w:hint="eastAsia" w:ascii="楷体" w:hAnsi="楷体" w:cs="楷体"/>
          <w:sz w:val="24"/>
          <w:u w:val="single"/>
        </w:rPr>
        <w:tab/>
      </w:r>
      <w:r>
        <w:rPr>
          <w:rFonts w:hint="eastAsia" w:ascii="楷体" w:hAnsi="楷体" w:cs="楷体"/>
          <w:sz w:val="24"/>
        </w:rPr>
        <w:t xml:space="preserve"> （发包人名称）：</w:t>
      </w:r>
    </w:p>
    <w:p>
      <w:pPr>
        <w:spacing w:line="440" w:lineRule="exact"/>
        <w:rPr>
          <w:rFonts w:ascii="楷体" w:hAnsi="楷体" w:cs="楷体"/>
          <w:sz w:val="24"/>
        </w:rPr>
      </w:pPr>
    </w:p>
    <w:p>
      <w:pPr>
        <w:spacing w:line="420" w:lineRule="exact"/>
        <w:ind w:firstLine="480" w:firstLineChars="200"/>
        <w:rPr>
          <w:rFonts w:ascii="楷体" w:hAnsi="楷体" w:cs="楷体"/>
          <w:sz w:val="24"/>
        </w:rPr>
      </w:pPr>
      <w:r>
        <w:rPr>
          <w:rFonts w:hint="eastAsia" w:ascii="楷体" w:hAnsi="楷体" w:cs="楷体"/>
          <w:sz w:val="24"/>
        </w:rPr>
        <w:t>鉴于（发包人名称，</w:t>
      </w:r>
      <w:r>
        <w:rPr>
          <w:rFonts w:hint="eastAsia" w:ascii="楷体" w:hAnsi="楷体" w:cs="楷体"/>
          <w:kern w:val="0"/>
          <w:sz w:val="24"/>
        </w:rPr>
        <w:t>以下简称“发包人”）</w:t>
      </w:r>
      <w:r>
        <w:rPr>
          <w:rFonts w:hint="eastAsia" w:ascii="楷体" w:hAnsi="楷体" w:cs="楷体"/>
          <w:sz w:val="24"/>
        </w:rPr>
        <w:t>接受 （承包人名称）（</w:t>
      </w:r>
      <w:r>
        <w:rPr>
          <w:rFonts w:hint="eastAsia" w:ascii="楷体" w:hAnsi="楷体" w:cs="楷体"/>
          <w:kern w:val="0"/>
          <w:sz w:val="24"/>
        </w:rPr>
        <w:t>以下简称“承包人”）</w:t>
      </w:r>
      <w:r>
        <w:rPr>
          <w:rFonts w:hint="eastAsia" w:ascii="楷体" w:hAnsi="楷体" w:cs="楷体"/>
          <w:sz w:val="24"/>
        </w:rPr>
        <w:t xml:space="preserve">于年月日参加（项目名称）公路养护工程施工的投标。我方愿意无条件地、不可撤销地就承包人履行与你方订立的合同，向你方提供担保。 </w:t>
      </w:r>
    </w:p>
    <w:p>
      <w:pPr>
        <w:spacing w:line="420" w:lineRule="exact"/>
        <w:ind w:firstLine="480" w:firstLineChars="200"/>
        <w:rPr>
          <w:rFonts w:ascii="楷体" w:hAnsi="楷体" w:cs="楷体"/>
          <w:sz w:val="24"/>
        </w:rPr>
      </w:pPr>
      <w:r>
        <w:rPr>
          <w:rFonts w:hint="eastAsia" w:ascii="楷体" w:hAnsi="楷体" w:cs="楷体"/>
          <w:sz w:val="24"/>
        </w:rPr>
        <w:t>1．担保金额人民币（大写）元（¥）。</w:t>
      </w:r>
    </w:p>
    <w:p>
      <w:pPr>
        <w:spacing w:line="420" w:lineRule="exact"/>
        <w:ind w:firstLine="480" w:firstLineChars="200"/>
        <w:rPr>
          <w:rFonts w:ascii="楷体" w:hAnsi="楷体" w:cs="楷体"/>
          <w:sz w:val="24"/>
        </w:rPr>
      </w:pPr>
      <w:r>
        <w:rPr>
          <w:rFonts w:hint="eastAsia" w:ascii="楷体" w:hAnsi="楷体" w:cs="楷体"/>
          <w:sz w:val="24"/>
        </w:rPr>
        <w:t>2．担保有效期自发包人与承包人签订的合同生效之日起至发包人签发工程接收证书之日止。</w:t>
      </w:r>
    </w:p>
    <w:p>
      <w:pPr>
        <w:spacing w:line="420" w:lineRule="exact"/>
        <w:ind w:firstLine="480" w:firstLineChars="200"/>
        <w:rPr>
          <w:rFonts w:ascii="楷体" w:hAnsi="楷体" w:cs="楷体"/>
          <w:sz w:val="24"/>
        </w:rPr>
      </w:pPr>
      <w:r>
        <w:rPr>
          <w:rFonts w:hint="eastAsia" w:ascii="楷体" w:hAnsi="楷体" w:cs="楷体"/>
          <w:sz w:val="24"/>
        </w:rPr>
        <w:t>3．在本担保有效期内，因承包人违反合同约定的义务给你方造成经济损失时，我方在收到你方以书面形式提出的在担保金额内的赔偿要求后，在7天内无条件支付，无须你方出具证明或陈述理由。</w:t>
      </w:r>
    </w:p>
    <w:p>
      <w:pPr>
        <w:spacing w:line="420" w:lineRule="exact"/>
        <w:ind w:firstLine="480" w:firstLineChars="200"/>
        <w:rPr>
          <w:rFonts w:ascii="楷体" w:hAnsi="楷体" w:cs="楷体"/>
          <w:sz w:val="24"/>
        </w:rPr>
      </w:pPr>
      <w:r>
        <w:rPr>
          <w:rFonts w:hint="eastAsia" w:ascii="楷体" w:hAnsi="楷体" w:cs="楷体"/>
          <w:sz w:val="24"/>
        </w:rPr>
        <w:t>4．发包人和承包人按合同条款第15条变更合同时，我方承担本担保规定的义务不变。</w:t>
      </w:r>
    </w:p>
    <w:p>
      <w:pPr>
        <w:spacing w:line="420" w:lineRule="exact"/>
        <w:rPr>
          <w:rFonts w:ascii="楷体" w:hAnsi="楷体" w:cs="楷体"/>
          <w:sz w:val="24"/>
        </w:rPr>
      </w:pPr>
    </w:p>
    <w:p>
      <w:pPr>
        <w:spacing w:line="420" w:lineRule="exact"/>
        <w:ind w:firstLine="3907" w:firstLineChars="1628"/>
        <w:rPr>
          <w:rFonts w:ascii="楷体" w:hAnsi="楷体" w:cs="楷体"/>
          <w:sz w:val="24"/>
        </w:rPr>
      </w:pPr>
      <w:r>
        <w:rPr>
          <w:rFonts w:hint="eastAsia" w:ascii="楷体" w:hAnsi="楷体" w:cs="楷体"/>
          <w:sz w:val="24"/>
        </w:rPr>
        <w:t>担 保 人：（盖单位章）</w:t>
      </w:r>
    </w:p>
    <w:p>
      <w:pPr>
        <w:spacing w:line="420" w:lineRule="exact"/>
        <w:ind w:firstLine="3907" w:firstLineChars="1628"/>
        <w:rPr>
          <w:rFonts w:ascii="楷体" w:hAnsi="楷体" w:cs="楷体"/>
          <w:sz w:val="24"/>
        </w:rPr>
      </w:pPr>
      <w:r>
        <w:rPr>
          <w:rFonts w:hint="eastAsia" w:ascii="楷体" w:hAnsi="楷体" w:cs="楷体"/>
          <w:sz w:val="24"/>
        </w:rPr>
        <w:t>法定代表人或其委托代理人：（签字）</w:t>
      </w:r>
    </w:p>
    <w:p>
      <w:pPr>
        <w:spacing w:line="420" w:lineRule="exact"/>
        <w:ind w:firstLine="3907" w:firstLineChars="1628"/>
        <w:rPr>
          <w:rFonts w:ascii="楷体" w:hAnsi="楷体" w:cs="楷体"/>
          <w:sz w:val="24"/>
        </w:rPr>
      </w:pPr>
      <w:r>
        <w:rPr>
          <w:rFonts w:hint="eastAsia" w:ascii="楷体" w:hAnsi="楷体" w:cs="楷体"/>
          <w:sz w:val="24"/>
        </w:rPr>
        <w:t>地    址：</w:t>
      </w:r>
    </w:p>
    <w:p>
      <w:pPr>
        <w:spacing w:line="420" w:lineRule="exact"/>
        <w:ind w:firstLine="3907" w:firstLineChars="1628"/>
        <w:rPr>
          <w:rFonts w:ascii="楷体" w:hAnsi="楷体" w:cs="楷体"/>
          <w:sz w:val="24"/>
        </w:rPr>
      </w:pPr>
      <w:r>
        <w:rPr>
          <w:rFonts w:hint="eastAsia" w:ascii="楷体" w:hAnsi="楷体" w:cs="楷体"/>
          <w:sz w:val="24"/>
        </w:rPr>
        <w:t>邮政编码：</w:t>
      </w:r>
      <w:r>
        <w:rPr>
          <w:rFonts w:hint="eastAsia" w:ascii="楷体" w:hAnsi="楷体" w:cs="楷体"/>
          <w:sz w:val="24"/>
          <w:u w:val="single"/>
        </w:rPr>
        <w:tab/>
      </w:r>
      <w:r>
        <w:rPr>
          <w:rFonts w:hint="eastAsia" w:ascii="楷体" w:hAnsi="楷体" w:cs="楷体"/>
          <w:sz w:val="24"/>
          <w:u w:val="single"/>
        </w:rPr>
        <w:tab/>
      </w:r>
      <w:r>
        <w:rPr>
          <w:rFonts w:hint="eastAsia" w:ascii="楷体" w:hAnsi="楷体" w:cs="楷体"/>
          <w:sz w:val="24"/>
          <w:u w:val="single"/>
        </w:rPr>
        <w:tab/>
      </w:r>
      <w:r>
        <w:rPr>
          <w:rFonts w:hint="eastAsia" w:ascii="楷体" w:hAnsi="楷体" w:cs="楷体"/>
          <w:sz w:val="24"/>
          <w:u w:val="single"/>
        </w:rPr>
        <w:tab/>
      </w:r>
      <w:r>
        <w:rPr>
          <w:rFonts w:hint="eastAsia" w:ascii="楷体" w:hAnsi="楷体" w:cs="楷体"/>
          <w:sz w:val="24"/>
          <w:u w:val="single"/>
        </w:rPr>
        <w:tab/>
      </w:r>
      <w:r>
        <w:rPr>
          <w:rFonts w:hint="eastAsia" w:ascii="楷体" w:hAnsi="楷体" w:cs="楷体"/>
          <w:sz w:val="24"/>
          <w:u w:val="single"/>
        </w:rPr>
        <w:tab/>
      </w:r>
      <w:r>
        <w:rPr>
          <w:rFonts w:hint="eastAsia" w:ascii="楷体" w:hAnsi="楷体" w:cs="楷体"/>
          <w:sz w:val="24"/>
          <w:u w:val="single"/>
        </w:rPr>
        <w:tab/>
      </w:r>
    </w:p>
    <w:p>
      <w:pPr>
        <w:spacing w:line="420" w:lineRule="exact"/>
        <w:ind w:firstLine="3907" w:firstLineChars="1628"/>
        <w:rPr>
          <w:rFonts w:ascii="楷体" w:hAnsi="楷体" w:cs="楷体"/>
          <w:sz w:val="24"/>
          <w:u w:val="single"/>
        </w:rPr>
      </w:pPr>
      <w:r>
        <w:rPr>
          <w:rFonts w:hint="eastAsia" w:ascii="楷体" w:hAnsi="楷体" w:cs="楷体"/>
          <w:sz w:val="24"/>
        </w:rPr>
        <w:t>电    话：</w:t>
      </w:r>
    </w:p>
    <w:p>
      <w:pPr>
        <w:spacing w:line="420" w:lineRule="exact"/>
        <w:ind w:firstLine="3907" w:firstLineChars="1628"/>
        <w:rPr>
          <w:rFonts w:ascii="楷体" w:hAnsi="楷体" w:cs="楷体"/>
          <w:sz w:val="24"/>
        </w:rPr>
      </w:pPr>
      <w:r>
        <w:rPr>
          <w:rFonts w:hint="eastAsia" w:ascii="楷体" w:hAnsi="楷体" w:cs="楷体"/>
          <w:sz w:val="24"/>
        </w:rPr>
        <w:t>传    真：</w:t>
      </w:r>
    </w:p>
    <w:p>
      <w:pPr>
        <w:spacing w:line="420" w:lineRule="exact"/>
        <w:rPr>
          <w:rFonts w:ascii="楷体" w:hAnsi="楷体" w:cs="楷体"/>
          <w:sz w:val="24"/>
        </w:rPr>
      </w:pPr>
    </w:p>
    <w:p>
      <w:pPr>
        <w:spacing w:line="420" w:lineRule="exact"/>
        <w:jc w:val="right"/>
        <w:rPr>
          <w:rFonts w:ascii="楷体" w:hAnsi="楷体" w:cs="楷体"/>
          <w:sz w:val="24"/>
        </w:rPr>
      </w:pPr>
      <w:r>
        <w:rPr>
          <w:rFonts w:hint="eastAsia" w:ascii="楷体" w:hAnsi="楷体" w:cs="楷体"/>
          <w:sz w:val="24"/>
        </w:rPr>
        <w:t>年月日</w:t>
      </w:r>
    </w:p>
    <w:p>
      <w:pPr>
        <w:wordWrap w:val="0"/>
        <w:spacing w:line="420" w:lineRule="exact"/>
        <w:jc w:val="right"/>
        <w:rPr>
          <w:rFonts w:ascii="楷体" w:hAnsi="楷体" w:cs="楷体"/>
          <w:sz w:val="24"/>
        </w:rPr>
      </w:pPr>
    </w:p>
    <w:bookmarkEnd w:id="6422"/>
    <w:bookmarkEnd w:id="6423"/>
    <w:bookmarkEnd w:id="6424"/>
    <w:bookmarkEnd w:id="6425"/>
    <w:bookmarkEnd w:id="6426"/>
    <w:bookmarkEnd w:id="6427"/>
    <w:bookmarkEnd w:id="6428"/>
    <w:p>
      <w:pPr>
        <w:numPr>
          <w:ilvl w:val="255"/>
          <w:numId w:val="0"/>
        </w:numPr>
        <w:spacing w:line="420" w:lineRule="exact"/>
        <w:rPr>
          <w:rFonts w:ascii="楷体" w:hAnsi="楷体" w:cs="楷体"/>
          <w:b/>
          <w:bCs/>
          <w:sz w:val="24"/>
        </w:rPr>
      </w:pPr>
      <w:r>
        <w:rPr>
          <w:rFonts w:hint="eastAsia" w:ascii="楷体" w:hAnsi="楷体" w:cs="楷体"/>
          <w:b/>
          <w:bCs/>
          <w:sz w:val="24"/>
        </w:rPr>
        <w:t>注：履约担保在完工质量鉴定合格后次日自行解除。</w:t>
      </w:r>
    </w:p>
    <w:p>
      <w:pPr>
        <w:pStyle w:val="2"/>
        <w:ind w:firstLine="241"/>
        <w:rPr>
          <w:rFonts w:hAnsi="楷体"/>
          <w:b/>
          <w:bCs/>
        </w:rPr>
      </w:pPr>
    </w:p>
    <w:p>
      <w:pPr>
        <w:spacing w:line="440" w:lineRule="exact"/>
        <w:ind w:firstLine="2800" w:firstLineChars="1000"/>
        <w:rPr>
          <w:rFonts w:eastAsia="黑体"/>
          <w:sz w:val="28"/>
          <w:szCs w:val="28"/>
        </w:rPr>
      </w:pPr>
    </w:p>
    <w:p>
      <w:pPr>
        <w:spacing w:line="440" w:lineRule="exact"/>
        <w:ind w:firstLine="2800" w:firstLineChars="1000"/>
        <w:rPr>
          <w:rFonts w:eastAsia="黑体"/>
          <w:sz w:val="28"/>
          <w:szCs w:val="28"/>
        </w:rPr>
      </w:pPr>
    </w:p>
    <w:p>
      <w:pPr>
        <w:rPr>
          <w:rFonts w:eastAsia="黑体"/>
          <w:sz w:val="28"/>
          <w:szCs w:val="28"/>
        </w:rPr>
      </w:pPr>
      <w:r>
        <w:rPr>
          <w:rFonts w:hint="eastAsia" w:eastAsia="黑体"/>
          <w:sz w:val="28"/>
          <w:szCs w:val="28"/>
        </w:rPr>
        <w:br w:type="page"/>
      </w:r>
    </w:p>
    <w:p>
      <w:pPr>
        <w:spacing w:line="440" w:lineRule="exact"/>
        <w:ind w:firstLine="2800" w:firstLineChars="1000"/>
        <w:rPr>
          <w:rFonts w:eastAsia="黑体"/>
          <w:sz w:val="28"/>
          <w:szCs w:val="28"/>
        </w:rPr>
      </w:pPr>
      <w:r>
        <w:rPr>
          <w:rFonts w:hint="eastAsia" w:eastAsia="黑体"/>
          <w:sz w:val="28"/>
          <w:szCs w:val="28"/>
        </w:rPr>
        <w:t>形式二  履约担保</w:t>
      </w:r>
      <w:r>
        <w:rPr>
          <w:rFonts w:eastAsia="黑体"/>
          <w:sz w:val="28"/>
          <w:szCs w:val="28"/>
        </w:rPr>
        <w:t>承诺书形式</w:t>
      </w:r>
    </w:p>
    <w:p>
      <w:pPr>
        <w:spacing w:line="440" w:lineRule="exact"/>
        <w:rPr>
          <w:rFonts w:eastAsia="黑体"/>
          <w:sz w:val="20"/>
          <w:szCs w:val="20"/>
        </w:rPr>
      </w:pPr>
    </w:p>
    <w:p>
      <w:pPr>
        <w:spacing w:line="440" w:lineRule="exact"/>
        <w:rPr>
          <w:rFonts w:ascii="楷体" w:hAnsi="楷体" w:cs="楷体"/>
          <w:sz w:val="24"/>
        </w:rPr>
      </w:pPr>
      <w:r>
        <w:rPr>
          <w:rFonts w:hint="eastAsia" w:ascii="楷体" w:hAnsi="楷体" w:cs="楷体"/>
          <w:sz w:val="24"/>
          <w:u w:val="single"/>
        </w:rPr>
        <w:tab/>
      </w:r>
      <w:r>
        <w:rPr>
          <w:rFonts w:hint="eastAsia" w:ascii="楷体" w:hAnsi="楷体" w:cs="楷体"/>
          <w:sz w:val="24"/>
          <w:u w:val="single"/>
        </w:rPr>
        <w:tab/>
      </w:r>
      <w:r>
        <w:rPr>
          <w:rFonts w:hint="eastAsia" w:ascii="楷体" w:hAnsi="楷体" w:cs="楷体"/>
          <w:sz w:val="24"/>
        </w:rPr>
        <w:t xml:space="preserve"> （发包人名称）：</w:t>
      </w:r>
    </w:p>
    <w:p>
      <w:pPr>
        <w:spacing w:line="440" w:lineRule="exact"/>
        <w:rPr>
          <w:rFonts w:ascii="楷体" w:hAnsi="楷体" w:cs="楷体"/>
          <w:sz w:val="24"/>
        </w:rPr>
      </w:pPr>
    </w:p>
    <w:p>
      <w:pPr>
        <w:spacing w:line="420" w:lineRule="exact"/>
        <w:ind w:firstLine="480" w:firstLineChars="200"/>
        <w:rPr>
          <w:rFonts w:ascii="楷体" w:hAnsi="楷体" w:cs="楷体"/>
          <w:sz w:val="24"/>
        </w:rPr>
      </w:pPr>
      <w:r>
        <w:rPr>
          <w:rFonts w:hint="eastAsia" w:ascii="楷体" w:hAnsi="楷体" w:cs="楷体"/>
          <w:sz w:val="24"/>
        </w:rPr>
        <w:t>鉴于（发包人名称，</w:t>
      </w:r>
      <w:r>
        <w:rPr>
          <w:rFonts w:hint="eastAsia" w:ascii="楷体" w:hAnsi="楷体" w:cs="楷体"/>
          <w:kern w:val="0"/>
          <w:sz w:val="24"/>
        </w:rPr>
        <w:t>以下简称“发包人”）</w:t>
      </w:r>
      <w:r>
        <w:rPr>
          <w:rFonts w:hint="eastAsia" w:ascii="楷体" w:hAnsi="楷体" w:cs="楷体"/>
          <w:sz w:val="24"/>
        </w:rPr>
        <w:t>接受 （承包人名称）（</w:t>
      </w:r>
      <w:r>
        <w:rPr>
          <w:rFonts w:hint="eastAsia" w:ascii="楷体" w:hAnsi="楷体" w:cs="楷体"/>
          <w:kern w:val="0"/>
          <w:sz w:val="24"/>
        </w:rPr>
        <w:t>以下简称“承包人”）</w:t>
      </w:r>
      <w:r>
        <w:rPr>
          <w:rFonts w:hint="eastAsia" w:ascii="楷体" w:hAnsi="楷体" w:cs="楷体"/>
          <w:sz w:val="24"/>
        </w:rPr>
        <w:t xml:space="preserve">于年月日参加（项目名称）公路养护工程施工的投标。我方愿意无条件地、不可撤销地就承包人履行与你方订立的合同，向你方作以下承诺： </w:t>
      </w:r>
    </w:p>
    <w:p>
      <w:pPr>
        <w:spacing w:line="420" w:lineRule="exact"/>
        <w:ind w:firstLine="480" w:firstLineChars="200"/>
        <w:rPr>
          <w:rFonts w:ascii="楷体" w:hAnsi="楷体" w:cs="楷体"/>
          <w:sz w:val="24"/>
        </w:rPr>
      </w:pPr>
      <w:r>
        <w:rPr>
          <w:rFonts w:hint="eastAsia" w:ascii="楷体" w:hAnsi="楷体" w:cs="楷体"/>
          <w:sz w:val="24"/>
        </w:rPr>
        <w:t>1.本承诺书有效期自发包人与承包人签订的合同生效之日起至发包人签发工程接收证书之日止。</w:t>
      </w:r>
    </w:p>
    <w:p>
      <w:pPr>
        <w:spacing w:line="420" w:lineRule="exact"/>
        <w:ind w:firstLine="480" w:firstLineChars="200"/>
        <w:rPr>
          <w:rFonts w:ascii="楷体" w:hAnsi="楷体" w:cs="楷体"/>
          <w:sz w:val="24"/>
        </w:rPr>
      </w:pPr>
      <w:r>
        <w:rPr>
          <w:rFonts w:hint="eastAsia" w:ascii="楷体" w:hAnsi="楷体" w:cs="楷体"/>
          <w:sz w:val="24"/>
        </w:rPr>
        <w:t>2.在本承诺书担保有效期内，因承包人违反合同约定的义务给你方造成经济损失时，我方在收到你方以书面形式提出的在违约金额内的赔偿要求后，在7天内无条件支付，无须你方出具证明或陈述理由。</w:t>
      </w:r>
    </w:p>
    <w:p>
      <w:pPr>
        <w:spacing w:line="420" w:lineRule="exact"/>
        <w:ind w:firstLine="480" w:firstLineChars="200"/>
        <w:rPr>
          <w:rFonts w:ascii="楷体" w:hAnsi="楷体" w:cs="楷体"/>
          <w:sz w:val="24"/>
        </w:rPr>
      </w:pPr>
      <w:r>
        <w:rPr>
          <w:rFonts w:hint="eastAsia" w:ascii="楷体" w:hAnsi="楷体" w:cs="楷体"/>
          <w:sz w:val="24"/>
        </w:rPr>
        <w:t>3.发包人和承包人按合同条款第15条变更合同时，我方承担本担保规定的义务不变。</w:t>
      </w:r>
    </w:p>
    <w:p>
      <w:pPr>
        <w:spacing w:line="420" w:lineRule="exact"/>
        <w:ind w:firstLine="480" w:firstLineChars="200"/>
        <w:rPr>
          <w:rFonts w:ascii="楷体" w:hAnsi="楷体" w:cs="楷体"/>
          <w:sz w:val="24"/>
        </w:rPr>
      </w:pPr>
      <w:r>
        <w:rPr>
          <w:rFonts w:hint="eastAsia" w:ascii="楷体" w:hAnsi="楷体" w:cs="楷体"/>
          <w:sz w:val="24"/>
        </w:rPr>
        <w:t>4.如违反本承诺书中相关合同履约担保行为的，将按最新的行业主管文件规定与企业信用联动。</w:t>
      </w:r>
    </w:p>
    <w:p>
      <w:pPr>
        <w:spacing w:line="420" w:lineRule="exact"/>
        <w:rPr>
          <w:rFonts w:ascii="楷体" w:hAnsi="楷体" w:cs="楷体"/>
          <w:sz w:val="24"/>
        </w:rPr>
      </w:pPr>
    </w:p>
    <w:p>
      <w:pPr>
        <w:spacing w:line="420" w:lineRule="exact"/>
        <w:ind w:firstLine="3907" w:firstLineChars="1628"/>
        <w:rPr>
          <w:rFonts w:ascii="楷体" w:hAnsi="楷体" w:cs="楷体"/>
          <w:sz w:val="24"/>
        </w:rPr>
      </w:pPr>
      <w:r>
        <w:rPr>
          <w:rFonts w:hint="eastAsia" w:ascii="楷体" w:hAnsi="楷体" w:cs="楷体"/>
          <w:sz w:val="24"/>
        </w:rPr>
        <w:t>承 诺 人：（盖单位章）</w:t>
      </w:r>
    </w:p>
    <w:p>
      <w:pPr>
        <w:spacing w:line="420" w:lineRule="exact"/>
        <w:ind w:firstLine="3907" w:firstLineChars="1628"/>
        <w:rPr>
          <w:rFonts w:ascii="楷体" w:hAnsi="楷体" w:cs="楷体"/>
          <w:sz w:val="24"/>
        </w:rPr>
      </w:pPr>
      <w:r>
        <w:rPr>
          <w:rFonts w:hint="eastAsia" w:ascii="楷体" w:hAnsi="楷体" w:cs="楷体"/>
          <w:sz w:val="24"/>
        </w:rPr>
        <w:t>法定代表人：（签字）</w:t>
      </w:r>
    </w:p>
    <w:p>
      <w:pPr>
        <w:spacing w:line="420" w:lineRule="exact"/>
        <w:ind w:firstLine="3907" w:firstLineChars="1628"/>
        <w:rPr>
          <w:rFonts w:ascii="楷体" w:hAnsi="楷体" w:cs="楷体"/>
          <w:sz w:val="24"/>
        </w:rPr>
      </w:pPr>
      <w:r>
        <w:rPr>
          <w:rFonts w:hint="eastAsia" w:ascii="楷体" w:hAnsi="楷体" w:cs="楷体"/>
          <w:sz w:val="24"/>
        </w:rPr>
        <w:t>地    址：</w:t>
      </w:r>
    </w:p>
    <w:p>
      <w:pPr>
        <w:spacing w:line="420" w:lineRule="exact"/>
        <w:ind w:firstLine="3907" w:firstLineChars="1628"/>
        <w:rPr>
          <w:rFonts w:ascii="楷体" w:hAnsi="楷体" w:cs="楷体"/>
          <w:sz w:val="24"/>
        </w:rPr>
      </w:pPr>
      <w:r>
        <w:rPr>
          <w:rFonts w:hint="eastAsia" w:ascii="楷体" w:hAnsi="楷体" w:cs="楷体"/>
          <w:sz w:val="24"/>
        </w:rPr>
        <w:t>邮政编码：</w:t>
      </w:r>
      <w:r>
        <w:rPr>
          <w:rFonts w:hint="eastAsia" w:ascii="楷体" w:hAnsi="楷体" w:cs="楷体"/>
          <w:sz w:val="24"/>
          <w:u w:val="single"/>
        </w:rPr>
        <w:tab/>
      </w:r>
      <w:r>
        <w:rPr>
          <w:rFonts w:hint="eastAsia" w:ascii="楷体" w:hAnsi="楷体" w:cs="楷体"/>
          <w:sz w:val="24"/>
          <w:u w:val="single"/>
        </w:rPr>
        <w:tab/>
      </w:r>
      <w:r>
        <w:rPr>
          <w:rFonts w:hint="eastAsia" w:ascii="楷体" w:hAnsi="楷体" w:cs="楷体"/>
          <w:sz w:val="24"/>
          <w:u w:val="single"/>
        </w:rPr>
        <w:tab/>
      </w:r>
      <w:r>
        <w:rPr>
          <w:rFonts w:hint="eastAsia" w:ascii="楷体" w:hAnsi="楷体" w:cs="楷体"/>
          <w:sz w:val="24"/>
          <w:u w:val="single"/>
        </w:rPr>
        <w:tab/>
      </w:r>
      <w:r>
        <w:rPr>
          <w:rFonts w:hint="eastAsia" w:ascii="楷体" w:hAnsi="楷体" w:cs="楷体"/>
          <w:sz w:val="24"/>
          <w:u w:val="single"/>
        </w:rPr>
        <w:tab/>
      </w:r>
      <w:r>
        <w:rPr>
          <w:rFonts w:hint="eastAsia" w:ascii="楷体" w:hAnsi="楷体" w:cs="楷体"/>
          <w:sz w:val="24"/>
          <w:u w:val="single"/>
        </w:rPr>
        <w:tab/>
      </w:r>
      <w:r>
        <w:rPr>
          <w:rFonts w:hint="eastAsia" w:ascii="楷体" w:hAnsi="楷体" w:cs="楷体"/>
          <w:sz w:val="24"/>
          <w:u w:val="single"/>
        </w:rPr>
        <w:tab/>
      </w:r>
    </w:p>
    <w:p>
      <w:pPr>
        <w:spacing w:line="420" w:lineRule="exact"/>
        <w:ind w:firstLine="3907" w:firstLineChars="1628"/>
        <w:rPr>
          <w:rFonts w:ascii="楷体" w:hAnsi="楷体" w:cs="楷体"/>
          <w:sz w:val="24"/>
          <w:u w:val="single"/>
        </w:rPr>
      </w:pPr>
      <w:r>
        <w:rPr>
          <w:rFonts w:hint="eastAsia" w:ascii="楷体" w:hAnsi="楷体" w:cs="楷体"/>
          <w:sz w:val="24"/>
        </w:rPr>
        <w:t>电    话：</w:t>
      </w:r>
    </w:p>
    <w:p>
      <w:pPr>
        <w:spacing w:line="420" w:lineRule="exact"/>
        <w:ind w:firstLine="3907" w:firstLineChars="1628"/>
        <w:rPr>
          <w:rFonts w:ascii="楷体" w:hAnsi="楷体" w:cs="楷体"/>
          <w:sz w:val="24"/>
        </w:rPr>
      </w:pPr>
      <w:r>
        <w:rPr>
          <w:rFonts w:hint="eastAsia" w:ascii="楷体" w:hAnsi="楷体" w:cs="楷体"/>
          <w:sz w:val="24"/>
        </w:rPr>
        <w:t>传    真：</w:t>
      </w:r>
    </w:p>
    <w:p>
      <w:pPr>
        <w:spacing w:line="420" w:lineRule="exact"/>
        <w:rPr>
          <w:rFonts w:ascii="楷体" w:hAnsi="楷体" w:cs="楷体"/>
          <w:sz w:val="24"/>
        </w:rPr>
      </w:pPr>
    </w:p>
    <w:p>
      <w:pPr>
        <w:pStyle w:val="2"/>
        <w:ind w:firstLine="4080" w:firstLineChars="1700"/>
        <w:rPr>
          <w:rFonts w:ascii="楷体" w:hAnsi="楷体" w:cs="楷体"/>
          <w:b/>
          <w:bCs/>
        </w:rPr>
      </w:pPr>
      <w:r>
        <w:rPr>
          <w:rFonts w:hint="eastAsia" w:ascii="楷体" w:hAnsi="楷体" w:cs="楷体"/>
        </w:rPr>
        <w:t>年月日</w:t>
      </w:r>
    </w:p>
    <w:p>
      <w:pPr>
        <w:pStyle w:val="2"/>
        <w:ind w:firstLine="241"/>
        <w:rPr>
          <w:rFonts w:hAnsi="楷体"/>
          <w:b/>
          <w:bCs/>
        </w:rPr>
      </w:pPr>
    </w:p>
    <w:p>
      <w:pPr>
        <w:pStyle w:val="2"/>
        <w:ind w:firstLine="241"/>
        <w:rPr>
          <w:rFonts w:hAnsi="楷体"/>
          <w:b/>
          <w:bCs/>
        </w:rPr>
      </w:pPr>
    </w:p>
    <w:p>
      <w:pPr>
        <w:pStyle w:val="2"/>
        <w:ind w:firstLine="241"/>
        <w:rPr>
          <w:rFonts w:hAnsi="楷体"/>
          <w:b/>
          <w:bCs/>
        </w:rPr>
      </w:pPr>
    </w:p>
    <w:p>
      <w:pPr>
        <w:spacing w:line="420" w:lineRule="exact"/>
        <w:ind w:right="84"/>
        <w:jc w:val="left"/>
        <w:rPr>
          <w:rFonts w:ascii="黑体" w:eastAsia="黑体"/>
          <w:sz w:val="28"/>
          <w:szCs w:val="28"/>
        </w:rPr>
      </w:pPr>
    </w:p>
    <w:p>
      <w:pPr>
        <w:pStyle w:val="6"/>
        <w:spacing w:before="0" w:after="0" w:line="360" w:lineRule="auto"/>
        <w:ind w:right="84"/>
        <w:rPr>
          <w:rFonts w:ascii="黑体" w:eastAsia="黑体"/>
          <w:bCs w:val="0"/>
          <w:sz w:val="28"/>
          <w:szCs w:val="28"/>
        </w:rPr>
      </w:pPr>
      <w:bookmarkStart w:id="6442" w:name="_Toc6469"/>
      <w:bookmarkStart w:id="6443" w:name="_Toc26577"/>
      <w:bookmarkStart w:id="6444" w:name="_Toc11393"/>
      <w:bookmarkStart w:id="6445" w:name="_Toc17040"/>
      <w:bookmarkStart w:id="6446" w:name="_Toc10932"/>
      <w:bookmarkStart w:id="6447" w:name="_Toc16061"/>
      <w:bookmarkStart w:id="6448" w:name="_Toc21574"/>
      <w:bookmarkStart w:id="6449" w:name="_Toc4180"/>
      <w:bookmarkStart w:id="6450" w:name="_Toc4195"/>
    </w:p>
    <w:p/>
    <w:p>
      <w:pPr>
        <w:pStyle w:val="6"/>
        <w:rPr>
          <w:rFonts w:ascii="黑体" w:eastAsia="黑体"/>
          <w:bCs w:val="0"/>
          <w:sz w:val="28"/>
          <w:szCs w:val="28"/>
        </w:rPr>
      </w:pPr>
      <w:bookmarkStart w:id="6451" w:name="_Toc8226"/>
      <w:bookmarkStart w:id="6452" w:name="_Toc23031"/>
      <w:bookmarkStart w:id="6453" w:name="_Toc26829"/>
      <w:bookmarkStart w:id="6454" w:name="_Toc30088"/>
      <w:bookmarkStart w:id="6455" w:name="_Toc1817"/>
      <w:r>
        <w:rPr>
          <w:rFonts w:hint="eastAsia" w:ascii="黑体" w:eastAsia="黑体"/>
          <w:bCs w:val="0"/>
          <w:sz w:val="28"/>
          <w:szCs w:val="28"/>
        </w:rPr>
        <w:t>附件八</w:t>
      </w:r>
      <w:r>
        <w:rPr>
          <w:rFonts w:hint="eastAsia" w:ascii="黑体" w:eastAsia="黑体"/>
          <w:bCs w:val="0"/>
          <w:sz w:val="28"/>
          <w:szCs w:val="28"/>
        </w:rPr>
        <w:tab/>
      </w:r>
      <w:r>
        <w:rPr>
          <w:rFonts w:hint="eastAsia" w:ascii="黑体" w:eastAsia="黑体"/>
          <w:bCs w:val="0"/>
          <w:sz w:val="28"/>
          <w:szCs w:val="28"/>
        </w:rPr>
        <w:t>发包人支付担保格式</w:t>
      </w:r>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p>
    <w:p>
      <w:pPr>
        <w:spacing w:line="440" w:lineRule="exact"/>
        <w:jc w:val="center"/>
        <w:rPr>
          <w:rFonts w:eastAsia="黑体"/>
          <w:sz w:val="24"/>
        </w:rPr>
      </w:pPr>
      <w:r>
        <w:rPr>
          <w:rFonts w:eastAsia="黑体"/>
          <w:sz w:val="28"/>
          <w:szCs w:val="28"/>
        </w:rPr>
        <w:t>发包人支付担保格式</w:t>
      </w:r>
      <w:r>
        <w:rPr>
          <w:rFonts w:hint="eastAsia" w:eastAsia="黑体"/>
          <w:sz w:val="28"/>
          <w:szCs w:val="28"/>
        </w:rPr>
        <w:t>（本项目不适用）</w:t>
      </w:r>
    </w:p>
    <w:p>
      <w:pPr>
        <w:spacing w:line="420" w:lineRule="exact"/>
        <w:ind w:firstLine="480" w:firstLineChars="200"/>
        <w:jc w:val="left"/>
        <w:rPr>
          <w:rFonts w:ascii="楷体" w:hAnsi="楷体" w:cs="楷体"/>
          <w:sz w:val="24"/>
        </w:rPr>
      </w:pPr>
      <w:r>
        <w:rPr>
          <w:rFonts w:hint="eastAsia" w:ascii="楷体" w:hAnsi="楷体" w:cs="楷体"/>
          <w:sz w:val="24"/>
          <w:u w:val="single"/>
        </w:rPr>
        <w:t>(承包人名称)：</w:t>
      </w:r>
    </w:p>
    <w:p>
      <w:pPr>
        <w:spacing w:line="420" w:lineRule="exact"/>
        <w:ind w:firstLine="480" w:firstLineChars="200"/>
        <w:jc w:val="left"/>
        <w:rPr>
          <w:rFonts w:ascii="楷体" w:hAnsi="楷体" w:cs="楷体"/>
          <w:sz w:val="24"/>
        </w:rPr>
      </w:pPr>
      <w:r>
        <w:rPr>
          <w:rFonts w:hint="eastAsia" w:ascii="楷体" w:hAnsi="楷体" w:cs="楷体"/>
          <w:sz w:val="24"/>
        </w:rPr>
        <w:t>鉴于你方作为承包人已经与</w:t>
      </w:r>
      <w:r>
        <w:rPr>
          <w:rFonts w:hint="eastAsia" w:ascii="楷体" w:hAnsi="楷体" w:cs="楷体"/>
          <w:sz w:val="24"/>
          <w:u w:val="single"/>
        </w:rPr>
        <w:tab/>
      </w:r>
      <w:r>
        <w:rPr>
          <w:rFonts w:hint="eastAsia" w:ascii="楷体" w:hAnsi="楷体" w:cs="楷体"/>
          <w:sz w:val="24"/>
          <w:u w:val="single"/>
        </w:rPr>
        <w:t xml:space="preserve">（发包人名称）  </w:t>
      </w:r>
      <w:r>
        <w:rPr>
          <w:rFonts w:hint="eastAsia" w:ascii="楷体" w:hAnsi="楷体" w:cs="楷体"/>
          <w:sz w:val="24"/>
        </w:rPr>
        <w:t>（以下称“发包人”）于</w:t>
      </w:r>
      <w:r>
        <w:rPr>
          <w:rFonts w:hint="eastAsia" w:ascii="楷体" w:hAnsi="楷体" w:cs="楷体"/>
          <w:sz w:val="24"/>
          <w:u w:val="single"/>
        </w:rPr>
        <w:tab/>
      </w:r>
      <w:r>
        <w:rPr>
          <w:rFonts w:hint="eastAsia" w:ascii="楷体" w:hAnsi="楷体" w:cs="楷体"/>
          <w:sz w:val="24"/>
          <w:u w:val="single"/>
        </w:rPr>
        <w:t xml:space="preserve">年 </w:t>
      </w:r>
      <w:r>
        <w:rPr>
          <w:rFonts w:hint="eastAsia" w:ascii="楷体" w:hAnsi="楷体" w:cs="楷体"/>
          <w:sz w:val="24"/>
          <w:u w:val="single"/>
        </w:rPr>
        <w:tab/>
      </w:r>
      <w:r>
        <w:rPr>
          <w:rFonts w:hint="eastAsia" w:ascii="楷体" w:hAnsi="楷体" w:cs="楷体"/>
          <w:sz w:val="24"/>
          <w:u w:val="single"/>
        </w:rPr>
        <w:t xml:space="preserve">月 </w:t>
      </w:r>
      <w:r>
        <w:rPr>
          <w:rFonts w:hint="eastAsia" w:ascii="楷体" w:hAnsi="楷体" w:cs="楷体"/>
          <w:sz w:val="24"/>
          <w:u w:val="single"/>
        </w:rPr>
        <w:tab/>
      </w:r>
      <w:r>
        <w:rPr>
          <w:rFonts w:hint="eastAsia" w:ascii="楷体" w:hAnsi="楷体" w:cs="楷体"/>
          <w:sz w:val="24"/>
          <w:u w:val="single"/>
        </w:rPr>
        <w:t>日</w:t>
      </w:r>
      <w:r>
        <w:rPr>
          <w:rFonts w:hint="eastAsia" w:ascii="楷体" w:hAnsi="楷体" w:cs="楷体"/>
          <w:sz w:val="24"/>
        </w:rPr>
        <w:t>签订了</w:t>
      </w:r>
      <w:r>
        <w:rPr>
          <w:rFonts w:hint="eastAsia" w:ascii="楷体" w:hAnsi="楷体" w:cs="楷体"/>
          <w:sz w:val="24"/>
          <w:u w:val="single"/>
        </w:rPr>
        <w:t xml:space="preserve">   （工程名称）  </w:t>
      </w:r>
      <w:r>
        <w:rPr>
          <w:rFonts w:hint="eastAsia" w:ascii="楷体" w:hAnsi="楷体" w:cs="楷体"/>
          <w:sz w:val="24"/>
        </w:rPr>
        <w:t>施工合同（以下称“主合同”），应发包人的申请，我方愿就发包人履行主合同约定的工程款支付义务以保证的方式向你方提供如下担保：</w:t>
      </w:r>
    </w:p>
    <w:p>
      <w:pPr>
        <w:spacing w:line="420" w:lineRule="exact"/>
        <w:ind w:firstLine="480" w:firstLineChars="200"/>
        <w:jc w:val="left"/>
        <w:rPr>
          <w:rFonts w:ascii="楷体" w:hAnsi="楷体" w:cs="楷体"/>
          <w:sz w:val="24"/>
        </w:rPr>
      </w:pPr>
      <w:r>
        <w:rPr>
          <w:rFonts w:hint="eastAsia" w:ascii="楷体" w:hAnsi="楷体" w:cs="楷体"/>
          <w:sz w:val="24"/>
        </w:rPr>
        <w:t>一、保证的范围及保证金额</w:t>
      </w:r>
    </w:p>
    <w:p>
      <w:pPr>
        <w:spacing w:line="420" w:lineRule="exact"/>
        <w:ind w:firstLine="480" w:firstLineChars="200"/>
        <w:jc w:val="left"/>
        <w:rPr>
          <w:rFonts w:ascii="楷体" w:hAnsi="楷体" w:cs="楷体"/>
          <w:sz w:val="24"/>
        </w:rPr>
      </w:pPr>
      <w:r>
        <w:rPr>
          <w:rFonts w:hint="eastAsia" w:ascii="楷体" w:hAnsi="楷体" w:cs="楷体"/>
          <w:sz w:val="24"/>
        </w:rPr>
        <w:t>我方的保证范围是主合同约定的工程款。</w:t>
      </w:r>
    </w:p>
    <w:p>
      <w:pPr>
        <w:spacing w:line="420" w:lineRule="exact"/>
        <w:ind w:firstLine="480" w:firstLineChars="200"/>
        <w:jc w:val="left"/>
        <w:rPr>
          <w:rFonts w:ascii="楷体" w:hAnsi="楷体" w:cs="楷体"/>
          <w:sz w:val="24"/>
        </w:rPr>
      </w:pPr>
      <w:r>
        <w:rPr>
          <w:rFonts w:hint="eastAsia" w:ascii="楷体" w:hAnsi="楷体" w:cs="楷体"/>
          <w:sz w:val="24"/>
        </w:rPr>
        <w:t>本保函所称主合同约定的工程款是指主合同约定的除工程质量保证金以外的合同价款。</w:t>
      </w:r>
    </w:p>
    <w:p>
      <w:pPr>
        <w:spacing w:line="420" w:lineRule="exact"/>
        <w:ind w:firstLine="480" w:firstLineChars="200"/>
        <w:jc w:val="left"/>
        <w:rPr>
          <w:rFonts w:ascii="楷体" w:hAnsi="楷体" w:cs="楷体"/>
          <w:sz w:val="24"/>
        </w:rPr>
      </w:pPr>
      <w:r>
        <w:rPr>
          <w:rFonts w:hint="eastAsia" w:ascii="楷体" w:hAnsi="楷体" w:cs="楷体"/>
          <w:sz w:val="24"/>
        </w:rPr>
        <w:t>我方保证的金额是主合同约定的工程款的</w:t>
      </w:r>
      <w:r>
        <w:rPr>
          <w:rFonts w:hint="eastAsia" w:ascii="楷体" w:hAnsi="楷体" w:cs="楷体"/>
          <w:sz w:val="24"/>
          <w:u w:val="single"/>
        </w:rPr>
        <w:tab/>
      </w:r>
      <w:r>
        <w:rPr>
          <w:rFonts w:hint="eastAsia" w:ascii="楷体" w:hAnsi="楷体" w:cs="楷体"/>
          <w:sz w:val="24"/>
        </w:rPr>
        <w:t>%，数额最高不超过人民币元（大写：</w:t>
      </w:r>
      <w:r>
        <w:rPr>
          <w:rFonts w:hint="eastAsia" w:ascii="楷体" w:hAnsi="楷体" w:cs="楷体"/>
          <w:sz w:val="24"/>
          <w:u w:val="single"/>
        </w:rPr>
        <w:tab/>
      </w:r>
      <w:r>
        <w:rPr>
          <w:rFonts w:hint="eastAsia" w:ascii="楷体" w:hAnsi="楷体" w:cs="楷体"/>
          <w:sz w:val="24"/>
        </w:rPr>
        <w:t>）。</w:t>
      </w:r>
    </w:p>
    <w:p>
      <w:pPr>
        <w:spacing w:line="420" w:lineRule="exact"/>
        <w:ind w:firstLine="480" w:firstLineChars="200"/>
        <w:jc w:val="left"/>
        <w:rPr>
          <w:rFonts w:ascii="楷体" w:hAnsi="楷体" w:cs="楷体"/>
          <w:sz w:val="24"/>
        </w:rPr>
      </w:pPr>
      <w:r>
        <w:rPr>
          <w:rFonts w:hint="eastAsia" w:ascii="楷体" w:hAnsi="楷体" w:cs="楷体"/>
          <w:sz w:val="24"/>
        </w:rPr>
        <w:t>二、保证的方式及保证期间</w:t>
      </w:r>
    </w:p>
    <w:p>
      <w:pPr>
        <w:spacing w:line="420" w:lineRule="exact"/>
        <w:ind w:firstLine="480" w:firstLineChars="200"/>
        <w:jc w:val="left"/>
        <w:rPr>
          <w:rFonts w:ascii="楷体" w:hAnsi="楷体" w:cs="楷体"/>
          <w:sz w:val="24"/>
        </w:rPr>
      </w:pPr>
      <w:r>
        <w:rPr>
          <w:rFonts w:hint="eastAsia" w:ascii="楷体" w:hAnsi="楷体" w:cs="楷体"/>
          <w:sz w:val="24"/>
        </w:rPr>
        <w:t>我方保证的方式为：连带责任保证。</w:t>
      </w:r>
    </w:p>
    <w:p>
      <w:pPr>
        <w:spacing w:line="420" w:lineRule="exact"/>
        <w:ind w:firstLine="480" w:firstLineChars="200"/>
        <w:jc w:val="left"/>
        <w:rPr>
          <w:rFonts w:ascii="楷体" w:hAnsi="楷体" w:cs="楷体"/>
          <w:sz w:val="24"/>
        </w:rPr>
      </w:pPr>
      <w:r>
        <w:rPr>
          <w:rFonts w:hint="eastAsia" w:ascii="楷体" w:hAnsi="楷体" w:cs="楷体"/>
          <w:sz w:val="24"/>
        </w:rPr>
        <w:t>我方保证的期间为：自本合同生效之日起至主合同约定的工程款支付之日后</w:t>
      </w:r>
      <w:r>
        <w:rPr>
          <w:rFonts w:hint="eastAsia" w:ascii="楷体" w:hAnsi="楷体" w:cs="楷体"/>
          <w:sz w:val="24"/>
          <w:u w:val="single"/>
        </w:rPr>
        <w:tab/>
      </w:r>
      <w:r>
        <w:rPr>
          <w:rFonts w:hint="eastAsia" w:ascii="楷体" w:hAnsi="楷体" w:cs="楷体"/>
          <w:sz w:val="24"/>
        </w:rPr>
        <w:t>日内。</w:t>
      </w:r>
    </w:p>
    <w:p>
      <w:pPr>
        <w:spacing w:line="420" w:lineRule="exact"/>
        <w:ind w:firstLine="480" w:firstLineChars="200"/>
        <w:jc w:val="left"/>
        <w:rPr>
          <w:rFonts w:ascii="楷体" w:hAnsi="楷体" w:cs="楷体"/>
          <w:sz w:val="24"/>
        </w:rPr>
      </w:pPr>
      <w:r>
        <w:rPr>
          <w:rFonts w:hint="eastAsia" w:ascii="楷体" w:hAnsi="楷体" w:cs="楷体"/>
          <w:sz w:val="24"/>
        </w:rPr>
        <w:t>你方与发包人协议变更工程款支付日期的，经我方书面同意后，保证期间按照变更后的支付日期做相应调整。</w:t>
      </w:r>
    </w:p>
    <w:p>
      <w:pPr>
        <w:spacing w:line="420" w:lineRule="exact"/>
        <w:ind w:firstLine="480" w:firstLineChars="200"/>
        <w:jc w:val="left"/>
        <w:rPr>
          <w:rFonts w:ascii="楷体" w:hAnsi="楷体" w:cs="楷体"/>
          <w:sz w:val="24"/>
        </w:rPr>
      </w:pPr>
      <w:r>
        <w:rPr>
          <w:rFonts w:hint="eastAsia" w:ascii="楷体" w:hAnsi="楷体" w:cs="楷体"/>
          <w:sz w:val="24"/>
        </w:rPr>
        <w:t>三、承担保证责任的形式</w:t>
      </w:r>
    </w:p>
    <w:p>
      <w:pPr>
        <w:spacing w:line="420" w:lineRule="exact"/>
        <w:ind w:firstLine="480" w:firstLineChars="200"/>
        <w:jc w:val="left"/>
        <w:rPr>
          <w:rFonts w:ascii="楷体" w:hAnsi="楷体" w:cs="楷体"/>
          <w:sz w:val="24"/>
        </w:rPr>
      </w:pPr>
      <w:r>
        <w:rPr>
          <w:rFonts w:hint="eastAsia" w:ascii="楷体" w:hAnsi="楷体" w:cs="楷体"/>
          <w:sz w:val="24"/>
        </w:rPr>
        <w:t>我方承担保证责任的形式是代为支付。发包人未按主合同约定向你方支付工程款的，由我方在保证金额内代为支付。</w:t>
      </w:r>
    </w:p>
    <w:p>
      <w:pPr>
        <w:spacing w:line="420" w:lineRule="exact"/>
        <w:ind w:firstLine="480" w:firstLineChars="200"/>
        <w:jc w:val="left"/>
        <w:rPr>
          <w:rFonts w:ascii="楷体" w:hAnsi="楷体" w:cs="楷体"/>
          <w:sz w:val="24"/>
        </w:rPr>
      </w:pPr>
      <w:r>
        <w:rPr>
          <w:rFonts w:hint="eastAsia" w:ascii="楷体" w:hAnsi="楷体" w:cs="楷体"/>
          <w:sz w:val="24"/>
        </w:rPr>
        <w:t>四、代偿的安排</w:t>
      </w:r>
    </w:p>
    <w:p>
      <w:pPr>
        <w:spacing w:line="420" w:lineRule="exact"/>
        <w:ind w:firstLine="480" w:firstLineChars="200"/>
        <w:jc w:val="left"/>
        <w:rPr>
          <w:rFonts w:ascii="楷体" w:hAnsi="楷体" w:cs="楷体"/>
          <w:sz w:val="24"/>
        </w:rPr>
      </w:pPr>
      <w:r>
        <w:rPr>
          <w:rFonts w:hint="eastAsia" w:ascii="楷体" w:hAnsi="楷体" w:cs="楷体"/>
          <w:sz w:val="24"/>
        </w:rPr>
        <w:t>你方要求我方承担保证责任的，应向我方发出书面索赔通知及发包人未支付主合同约定工程款的证明材料。索赔通知应写明耍求索赔的金额，支付款项应到达的账号。</w:t>
      </w:r>
    </w:p>
    <w:p>
      <w:pPr>
        <w:spacing w:line="420" w:lineRule="exact"/>
        <w:ind w:firstLine="480" w:firstLineChars="200"/>
        <w:jc w:val="left"/>
        <w:rPr>
          <w:rFonts w:ascii="楷体" w:hAnsi="楷体" w:cs="楷体"/>
          <w:sz w:val="24"/>
        </w:rPr>
      </w:pPr>
      <w:r>
        <w:rPr>
          <w:rFonts w:hint="eastAsia" w:ascii="楷体" w:hAnsi="楷体" w:cs="楷体"/>
          <w:sz w:val="24"/>
        </w:rPr>
        <w:t>在出现你方与发包人因工程质量发生争议，发包人拒绝向你方支付工程款的情形时，  你方要求我方履行保证责任代为支付的，还需提供项目监理人或符合相应条件要求的工程质量检测机构出具的质量说明材料。</w:t>
      </w:r>
    </w:p>
    <w:p>
      <w:pPr>
        <w:spacing w:line="420" w:lineRule="exact"/>
        <w:ind w:firstLine="480" w:firstLineChars="200"/>
        <w:jc w:val="left"/>
        <w:rPr>
          <w:rFonts w:ascii="楷体" w:hAnsi="楷体" w:cs="楷体"/>
          <w:sz w:val="24"/>
        </w:rPr>
      </w:pPr>
      <w:r>
        <w:rPr>
          <w:rFonts w:hint="eastAsia" w:ascii="楷体" w:hAnsi="楷体" w:cs="楷体"/>
          <w:sz w:val="24"/>
        </w:rPr>
        <w:t>我方收到你方的书面索赔通知及相应证明材料后，在</w:t>
      </w:r>
      <w:r>
        <w:rPr>
          <w:rFonts w:hint="eastAsia" w:ascii="楷体" w:hAnsi="楷体" w:cs="楷体"/>
          <w:sz w:val="24"/>
          <w:u w:val="single"/>
        </w:rPr>
        <w:t xml:space="preserve"> 7 </w:t>
      </w:r>
      <w:r>
        <w:rPr>
          <w:rFonts w:hint="eastAsia" w:ascii="楷体" w:hAnsi="楷体" w:cs="楷体"/>
          <w:sz w:val="24"/>
        </w:rPr>
        <w:t>个工作日内进行核定后按照本保函的承诺承担保证责任。</w:t>
      </w:r>
    </w:p>
    <w:p>
      <w:pPr>
        <w:spacing w:line="420" w:lineRule="exact"/>
        <w:ind w:firstLine="480" w:firstLineChars="200"/>
        <w:jc w:val="left"/>
        <w:rPr>
          <w:rFonts w:ascii="楷体" w:hAnsi="楷体" w:cs="楷体"/>
          <w:sz w:val="24"/>
        </w:rPr>
      </w:pPr>
      <w:r>
        <w:rPr>
          <w:rFonts w:hint="eastAsia" w:ascii="楷体" w:hAnsi="楷体" w:cs="楷体"/>
          <w:sz w:val="24"/>
        </w:rPr>
        <w:t>五、保证责任的解除</w:t>
      </w:r>
    </w:p>
    <w:p>
      <w:pPr>
        <w:spacing w:before="26" w:line="420" w:lineRule="exact"/>
        <w:ind w:left="143" w:firstLine="480" w:firstLineChars="200"/>
        <w:jc w:val="left"/>
        <w:rPr>
          <w:rFonts w:ascii="楷体" w:hAnsi="楷体" w:cs="楷体"/>
          <w:sz w:val="24"/>
        </w:rPr>
      </w:pPr>
      <w:r>
        <w:rPr>
          <w:rFonts w:hint="eastAsia" w:ascii="楷体" w:hAnsi="楷体" w:cs="楷体"/>
          <w:sz w:val="24"/>
        </w:rPr>
        <w:t>1．在本保函承诺的保证期间内，你方未书面向我方主张保证责任的，自保证期  间届满次日起，我方保证责任解除。</w:t>
      </w:r>
    </w:p>
    <w:p>
      <w:pPr>
        <w:spacing w:before="26" w:line="420" w:lineRule="exact"/>
        <w:ind w:left="143" w:firstLine="480" w:firstLineChars="200"/>
        <w:jc w:val="left"/>
        <w:rPr>
          <w:rFonts w:ascii="楷体" w:hAnsi="楷体" w:cs="楷体"/>
          <w:sz w:val="24"/>
        </w:rPr>
      </w:pPr>
      <w:r>
        <w:rPr>
          <w:rFonts w:hint="eastAsia" w:ascii="楷体" w:hAnsi="楷体" w:cs="楷体"/>
          <w:sz w:val="24"/>
        </w:rPr>
        <w:t>2．发包人按主合同约定履行了工程款的全部支付义务的，自本保函承诺的保证期间届满次日起，我方保证责任解除。</w:t>
      </w:r>
    </w:p>
    <w:p>
      <w:pPr>
        <w:spacing w:before="12" w:line="420" w:lineRule="exact"/>
        <w:ind w:left="143" w:firstLine="480" w:firstLineChars="200"/>
        <w:jc w:val="left"/>
        <w:rPr>
          <w:rFonts w:ascii="楷体" w:hAnsi="楷体" w:cs="楷体"/>
          <w:sz w:val="24"/>
        </w:rPr>
      </w:pPr>
      <w:r>
        <w:rPr>
          <w:rFonts w:hint="eastAsia" w:ascii="楷体" w:hAnsi="楷体" w:cs="楷体"/>
          <w:sz w:val="24"/>
        </w:rPr>
        <w:t>3．我方按照本保函向你方履行保证责任所支付金额达到本保函保证金额时，自我方向你方支付（支付款项从我方账户划出）之日起，保证责任即解除。</w:t>
      </w:r>
    </w:p>
    <w:p>
      <w:pPr>
        <w:spacing w:before="14" w:line="420" w:lineRule="exact"/>
        <w:ind w:left="143" w:firstLine="480" w:firstLineChars="200"/>
        <w:jc w:val="left"/>
        <w:rPr>
          <w:rFonts w:ascii="楷体" w:hAnsi="楷体" w:cs="楷体"/>
          <w:sz w:val="24"/>
        </w:rPr>
      </w:pPr>
      <w:r>
        <w:rPr>
          <w:rFonts w:hint="eastAsia" w:ascii="楷体" w:hAnsi="楷体" w:cs="楷体"/>
          <w:sz w:val="24"/>
        </w:rPr>
        <w:t>4．按照法律法规的规定或出现应解除我方保证责任的其他情形的'我方在本保函项下的保证责任亦解除。</w:t>
      </w:r>
    </w:p>
    <w:p>
      <w:pPr>
        <w:spacing w:before="14" w:line="420" w:lineRule="exact"/>
        <w:ind w:left="143" w:firstLine="480" w:firstLineChars="200"/>
        <w:jc w:val="left"/>
        <w:rPr>
          <w:rFonts w:ascii="楷体" w:hAnsi="楷体" w:cs="楷体"/>
          <w:sz w:val="24"/>
        </w:rPr>
      </w:pPr>
      <w:r>
        <w:rPr>
          <w:rFonts w:hint="eastAsia" w:ascii="楷体" w:hAnsi="楷体" w:cs="楷体"/>
          <w:sz w:val="24"/>
        </w:rPr>
        <w:t>我方解除保证责任后，你方应自我方保证责任解除之日起  个工作日内将本保函原件返还我方。</w:t>
      </w:r>
    </w:p>
    <w:p>
      <w:pPr>
        <w:spacing w:before="12" w:line="420" w:lineRule="exact"/>
        <w:ind w:firstLine="240" w:firstLineChars="100"/>
        <w:jc w:val="left"/>
        <w:rPr>
          <w:rFonts w:ascii="楷体" w:hAnsi="楷体" w:cs="楷体"/>
          <w:sz w:val="24"/>
        </w:rPr>
      </w:pPr>
      <w:r>
        <w:rPr>
          <w:rFonts w:hint="eastAsia" w:ascii="楷体" w:hAnsi="楷体" w:cs="楷体"/>
          <w:sz w:val="24"/>
        </w:rPr>
        <w:t xml:space="preserve">六、免责条款                                            </w:t>
      </w:r>
    </w:p>
    <w:p>
      <w:pPr>
        <w:spacing w:before="12" w:line="420" w:lineRule="exact"/>
        <w:ind w:firstLine="720" w:firstLineChars="300"/>
        <w:jc w:val="left"/>
        <w:rPr>
          <w:rFonts w:ascii="楷体" w:hAnsi="楷体" w:cs="楷体"/>
          <w:sz w:val="24"/>
        </w:rPr>
      </w:pPr>
      <w:r>
        <w:rPr>
          <w:rFonts w:hint="eastAsia" w:ascii="楷体" w:hAnsi="楷体" w:cs="楷体"/>
          <w:sz w:val="24"/>
        </w:rPr>
        <w:t>1．因你方违约致使发包人不能履行义务的，我方不承担保证责任。</w:t>
      </w:r>
    </w:p>
    <w:p>
      <w:pPr>
        <w:spacing w:before="14" w:line="420" w:lineRule="exact"/>
        <w:ind w:left="143" w:firstLine="480" w:firstLineChars="200"/>
        <w:jc w:val="left"/>
        <w:rPr>
          <w:rFonts w:ascii="楷体" w:hAnsi="楷体" w:cs="楷体"/>
          <w:sz w:val="24"/>
        </w:rPr>
      </w:pPr>
      <w:r>
        <w:rPr>
          <w:rFonts w:hint="eastAsia" w:ascii="楷体" w:hAnsi="楷体" w:cs="楷体"/>
          <w:sz w:val="24"/>
        </w:rPr>
        <w:t>2．依照法律法规的规定或你方与发包人的另行约定，免除发包人部分或全部义务的，我方亦免除其相应的保证责任。</w:t>
      </w:r>
    </w:p>
    <w:p>
      <w:pPr>
        <w:spacing w:before="14" w:line="420" w:lineRule="exact"/>
        <w:ind w:left="143" w:firstLine="480" w:firstLineChars="200"/>
        <w:jc w:val="left"/>
        <w:rPr>
          <w:rFonts w:ascii="楷体" w:hAnsi="楷体" w:cs="楷体"/>
          <w:sz w:val="24"/>
        </w:rPr>
      </w:pPr>
      <w:r>
        <w:rPr>
          <w:rFonts w:hint="eastAsia" w:ascii="楷体" w:hAnsi="楷体" w:cs="楷体"/>
          <w:sz w:val="24"/>
        </w:rPr>
        <w:t>3．你方与发包人协议变更主合同的（符合主合同合同条款笫 15 条约定的变更除外），如加重发包人责任致使我方保证责任加重的，需征得我方书面同意，否则我方不再承担因此而加重部分的保证责任。</w:t>
      </w:r>
    </w:p>
    <w:p>
      <w:pPr>
        <w:spacing w:before="12" w:line="420" w:lineRule="exact"/>
        <w:ind w:firstLine="480" w:firstLineChars="200"/>
        <w:jc w:val="left"/>
        <w:rPr>
          <w:rFonts w:ascii="楷体" w:hAnsi="楷体" w:cs="楷体"/>
          <w:sz w:val="24"/>
        </w:rPr>
      </w:pPr>
      <w:r>
        <w:rPr>
          <w:rFonts w:hint="eastAsia" w:ascii="楷体" w:hAnsi="楷体" w:cs="楷体"/>
          <w:sz w:val="24"/>
        </w:rPr>
        <w:t xml:space="preserve">4．因不可抗力造成发包人不能履行义务的，我方不承担保证责任。  </w:t>
      </w:r>
    </w:p>
    <w:p>
      <w:pPr>
        <w:spacing w:before="12" w:line="420" w:lineRule="exact"/>
        <w:ind w:firstLine="240" w:firstLineChars="100"/>
        <w:jc w:val="left"/>
        <w:rPr>
          <w:rFonts w:ascii="楷体" w:hAnsi="楷体" w:cs="楷体"/>
          <w:sz w:val="24"/>
        </w:rPr>
      </w:pPr>
      <w:r>
        <w:rPr>
          <w:rFonts w:hint="eastAsia" w:ascii="楷体" w:hAnsi="楷体" w:cs="楷体"/>
          <w:sz w:val="24"/>
        </w:rPr>
        <w:t>七、争议的解决</w:t>
      </w:r>
    </w:p>
    <w:p>
      <w:pPr>
        <w:spacing w:before="64" w:line="420" w:lineRule="exact"/>
        <w:ind w:firstLine="480" w:firstLineChars="200"/>
        <w:jc w:val="left"/>
        <w:rPr>
          <w:rFonts w:ascii="楷体" w:hAnsi="楷体" w:cs="楷体"/>
          <w:sz w:val="24"/>
        </w:rPr>
      </w:pPr>
      <w:r>
        <w:rPr>
          <w:rFonts w:hint="eastAsia" w:ascii="楷体" w:hAnsi="楷体" w:cs="楷体"/>
          <w:sz w:val="24"/>
        </w:rPr>
        <w:t>因本保函发生的纠纷，由贵我双方协商解决，协商不成的，任何一方均可提请仲裁委员会仲裁。</w:t>
      </w:r>
    </w:p>
    <w:p>
      <w:pPr>
        <w:spacing w:before="69" w:line="420" w:lineRule="exact"/>
        <w:ind w:firstLine="240" w:firstLineChars="100"/>
        <w:jc w:val="left"/>
        <w:rPr>
          <w:rFonts w:ascii="楷体" w:hAnsi="楷体" w:cs="楷体"/>
          <w:sz w:val="24"/>
        </w:rPr>
      </w:pPr>
      <w:r>
        <w:rPr>
          <w:rFonts w:hint="eastAsia" w:ascii="楷体" w:hAnsi="楷体" w:cs="楷体"/>
          <w:sz w:val="24"/>
        </w:rPr>
        <w:t>八、保函的生效</w:t>
      </w:r>
    </w:p>
    <w:p>
      <w:pPr>
        <w:spacing w:before="64" w:line="420" w:lineRule="exact"/>
        <w:ind w:left="143" w:firstLine="480" w:firstLineChars="200"/>
        <w:jc w:val="left"/>
        <w:rPr>
          <w:rFonts w:ascii="楷体" w:hAnsi="楷体" w:cs="楷体"/>
          <w:sz w:val="24"/>
        </w:rPr>
      </w:pPr>
      <w:r>
        <w:rPr>
          <w:rFonts w:hint="eastAsia" w:ascii="楷体" w:hAnsi="楷体" w:cs="楷体"/>
          <w:sz w:val="24"/>
        </w:rPr>
        <w:t>本保函自我方法定代表人（或其授权代理人）签字、加盖单位公章并交付你方之日起生效。</w:t>
      </w:r>
    </w:p>
    <w:p>
      <w:pPr>
        <w:spacing w:line="420" w:lineRule="exact"/>
        <w:ind w:firstLine="480" w:firstLineChars="200"/>
        <w:jc w:val="left"/>
        <w:rPr>
          <w:rFonts w:ascii="楷体" w:hAnsi="楷体" w:cs="楷体"/>
          <w:sz w:val="24"/>
        </w:rPr>
      </w:pPr>
    </w:p>
    <w:p>
      <w:pPr>
        <w:spacing w:line="420" w:lineRule="exact"/>
        <w:ind w:firstLine="480" w:firstLineChars="200"/>
        <w:jc w:val="left"/>
        <w:rPr>
          <w:rFonts w:ascii="楷体" w:hAnsi="楷体" w:cs="楷体"/>
          <w:sz w:val="24"/>
        </w:rPr>
      </w:pPr>
    </w:p>
    <w:p>
      <w:pPr>
        <w:spacing w:line="420" w:lineRule="exact"/>
        <w:ind w:left="623" w:firstLine="480" w:firstLineChars="200"/>
        <w:jc w:val="left"/>
        <w:rPr>
          <w:rFonts w:ascii="楷体" w:hAnsi="楷体" w:cs="楷体"/>
          <w:sz w:val="24"/>
        </w:rPr>
      </w:pPr>
      <w:r>
        <w:rPr>
          <w:rFonts w:hint="eastAsia" w:ascii="楷体" w:hAnsi="楷体" w:cs="楷体"/>
          <w:sz w:val="24"/>
        </w:rPr>
        <w:t>担 保 人：</w:t>
      </w:r>
      <w:r>
        <w:rPr>
          <w:rFonts w:hint="eastAsia" w:ascii="楷体" w:hAnsi="楷体" w:cs="楷体"/>
          <w:sz w:val="24"/>
        </w:rPr>
        <w:tab/>
      </w:r>
      <w:r>
        <w:rPr>
          <w:rFonts w:hint="eastAsia" w:ascii="楷体" w:hAnsi="楷体" w:cs="楷体"/>
          <w:sz w:val="24"/>
        </w:rPr>
        <w:t>(盖单位章)</w:t>
      </w:r>
    </w:p>
    <w:p>
      <w:pPr>
        <w:spacing w:before="69" w:line="420" w:lineRule="exact"/>
        <w:ind w:left="623" w:firstLine="480" w:firstLineChars="200"/>
        <w:jc w:val="left"/>
        <w:rPr>
          <w:rFonts w:ascii="楷体" w:hAnsi="楷体" w:cs="楷体"/>
          <w:sz w:val="24"/>
        </w:rPr>
      </w:pPr>
      <w:r>
        <w:rPr>
          <w:rFonts w:hint="eastAsia" w:ascii="楷体" w:hAnsi="楷体" w:cs="楷体"/>
          <w:sz w:val="24"/>
        </w:rPr>
        <w:t>法定代表人或其委托代理人：</w:t>
      </w:r>
      <w:r>
        <w:rPr>
          <w:rFonts w:hint="eastAsia" w:ascii="楷体" w:hAnsi="楷体" w:cs="楷体"/>
          <w:sz w:val="24"/>
        </w:rPr>
        <w:tab/>
      </w:r>
      <w:r>
        <w:rPr>
          <w:rFonts w:hint="eastAsia" w:ascii="楷体" w:hAnsi="楷体" w:cs="楷体"/>
          <w:sz w:val="24"/>
        </w:rPr>
        <w:t xml:space="preserve">(签字) </w:t>
      </w:r>
    </w:p>
    <w:p>
      <w:pPr>
        <w:spacing w:before="69" w:line="420" w:lineRule="exact"/>
        <w:ind w:left="623" w:firstLine="480" w:firstLineChars="200"/>
        <w:jc w:val="left"/>
        <w:rPr>
          <w:rFonts w:ascii="楷体" w:hAnsi="楷体" w:cs="楷体"/>
          <w:sz w:val="24"/>
        </w:rPr>
      </w:pPr>
      <w:r>
        <w:rPr>
          <w:rFonts w:hint="eastAsia" w:ascii="楷体" w:hAnsi="楷体" w:cs="楷体"/>
          <w:sz w:val="24"/>
        </w:rPr>
        <w:t>地</w:t>
      </w:r>
      <w:r>
        <w:rPr>
          <w:rFonts w:hint="eastAsia" w:ascii="楷体" w:hAnsi="楷体" w:cs="楷体"/>
          <w:sz w:val="24"/>
        </w:rPr>
        <w:tab/>
      </w:r>
      <w:r>
        <w:rPr>
          <w:rFonts w:hint="eastAsia" w:ascii="楷体" w:hAnsi="楷体" w:cs="楷体"/>
          <w:sz w:val="24"/>
        </w:rPr>
        <w:t>址：</w:t>
      </w:r>
    </w:p>
    <w:p>
      <w:pPr>
        <w:spacing w:before="14" w:line="420" w:lineRule="exact"/>
        <w:ind w:left="623" w:firstLine="480" w:firstLineChars="200"/>
        <w:jc w:val="left"/>
        <w:rPr>
          <w:rFonts w:ascii="楷体" w:hAnsi="楷体" w:cs="楷体"/>
          <w:sz w:val="24"/>
        </w:rPr>
      </w:pPr>
      <w:r>
        <w:rPr>
          <w:rFonts w:hint="eastAsia" w:ascii="楷体" w:hAnsi="楷体" w:cs="楷体"/>
          <w:sz w:val="24"/>
        </w:rPr>
        <w:t>邮政编码： 电</w:t>
      </w:r>
      <w:r>
        <w:rPr>
          <w:rFonts w:hint="eastAsia" w:ascii="楷体" w:hAnsi="楷体" w:cs="楷体"/>
          <w:sz w:val="24"/>
        </w:rPr>
        <w:tab/>
      </w:r>
      <w:r>
        <w:rPr>
          <w:rFonts w:hint="eastAsia" w:ascii="楷体" w:hAnsi="楷体" w:cs="楷体"/>
          <w:sz w:val="24"/>
        </w:rPr>
        <w:t>话：</w:t>
      </w:r>
    </w:p>
    <w:p>
      <w:pPr>
        <w:spacing w:before="14" w:line="420" w:lineRule="exact"/>
        <w:ind w:left="623" w:firstLine="480" w:firstLineChars="200"/>
        <w:jc w:val="left"/>
        <w:rPr>
          <w:rFonts w:ascii="楷体" w:hAnsi="楷体" w:cs="楷体"/>
          <w:sz w:val="24"/>
        </w:rPr>
      </w:pPr>
      <w:r>
        <w:rPr>
          <w:rFonts w:hint="eastAsia" w:ascii="楷体" w:hAnsi="楷体" w:cs="楷体"/>
          <w:sz w:val="24"/>
        </w:rPr>
        <w:t>传</w:t>
      </w:r>
      <w:r>
        <w:rPr>
          <w:rFonts w:hint="eastAsia" w:ascii="楷体" w:hAnsi="楷体" w:cs="楷体"/>
          <w:sz w:val="24"/>
        </w:rPr>
        <w:tab/>
      </w:r>
      <w:r>
        <w:rPr>
          <w:rFonts w:hint="eastAsia" w:ascii="楷体" w:hAnsi="楷体" w:cs="楷体"/>
          <w:sz w:val="24"/>
        </w:rPr>
        <w:t>真：</w:t>
      </w:r>
    </w:p>
    <w:p>
      <w:pPr>
        <w:spacing w:before="64" w:line="420" w:lineRule="exact"/>
        <w:ind w:firstLine="1200" w:firstLineChars="500"/>
        <w:jc w:val="left"/>
        <w:rPr>
          <w:rFonts w:ascii="楷体" w:hAnsi="楷体" w:cs="楷体"/>
          <w:sz w:val="24"/>
        </w:rPr>
      </w:pPr>
      <w:r>
        <w:rPr>
          <w:rFonts w:hint="eastAsia" w:ascii="楷体" w:hAnsi="楷体" w:cs="楷体"/>
          <w:sz w:val="24"/>
        </w:rPr>
        <w:t>年</w:t>
      </w:r>
      <w:r>
        <w:rPr>
          <w:rFonts w:hint="eastAsia" w:ascii="楷体" w:hAnsi="楷体" w:cs="楷体"/>
          <w:sz w:val="24"/>
        </w:rPr>
        <w:tab/>
      </w:r>
      <w:r>
        <w:rPr>
          <w:rFonts w:hint="eastAsia" w:ascii="楷体" w:hAnsi="楷体" w:cs="楷体"/>
          <w:sz w:val="24"/>
        </w:rPr>
        <w:t>月</w:t>
      </w:r>
      <w:r>
        <w:rPr>
          <w:rFonts w:hint="eastAsia" w:ascii="楷体" w:hAnsi="楷体" w:cs="楷体"/>
          <w:sz w:val="24"/>
        </w:rPr>
        <w:tab/>
      </w:r>
      <w:r>
        <w:rPr>
          <w:rFonts w:hint="eastAsia" w:ascii="楷体" w:hAnsi="楷体" w:cs="楷体"/>
          <w:sz w:val="24"/>
        </w:rPr>
        <w:t>日</w:t>
      </w:r>
    </w:p>
    <w:p>
      <w:pPr>
        <w:pStyle w:val="6"/>
        <w:spacing w:before="0" w:line="360" w:lineRule="auto"/>
        <w:rPr>
          <w:sz w:val="28"/>
        </w:rPr>
      </w:pPr>
      <w:bookmarkStart w:id="6456" w:name="_Toc12400"/>
      <w:bookmarkStart w:id="6457" w:name="_Toc16485"/>
      <w:bookmarkStart w:id="6458" w:name="_Toc24403"/>
      <w:bookmarkStart w:id="6459" w:name="_Toc26232"/>
      <w:bookmarkStart w:id="6460" w:name="_Toc4023"/>
      <w:bookmarkStart w:id="6461" w:name="_Toc9317"/>
      <w:bookmarkStart w:id="6462" w:name="_Toc18726"/>
      <w:bookmarkStart w:id="6463" w:name="_Toc18137"/>
      <w:bookmarkStart w:id="6464" w:name="_Toc26852"/>
      <w:bookmarkStart w:id="6465" w:name="_Toc19678"/>
      <w:bookmarkStart w:id="6466" w:name="_Toc20106"/>
      <w:bookmarkStart w:id="6467" w:name="_Toc3815"/>
      <w:bookmarkStart w:id="6468" w:name="_Toc8657"/>
      <w:r>
        <w:rPr>
          <w:rFonts w:ascii="黑体" w:eastAsia="黑体"/>
          <w:bCs w:val="0"/>
          <w:sz w:val="28"/>
          <w:szCs w:val="28"/>
        </w:rPr>
        <w:t>附件</w:t>
      </w:r>
      <w:r>
        <w:rPr>
          <w:rFonts w:hint="eastAsia" w:ascii="黑体" w:eastAsia="黑体"/>
          <w:bCs w:val="0"/>
          <w:sz w:val="28"/>
          <w:szCs w:val="28"/>
        </w:rPr>
        <w:t>九</w:t>
      </w:r>
      <w:r>
        <w:rPr>
          <w:rFonts w:ascii="黑体" w:eastAsia="黑体"/>
          <w:bCs w:val="0"/>
          <w:sz w:val="28"/>
          <w:szCs w:val="28"/>
        </w:rPr>
        <w:tab/>
      </w:r>
      <w:r>
        <w:rPr>
          <w:rFonts w:ascii="黑体" w:eastAsia="黑体"/>
          <w:bCs w:val="0"/>
          <w:sz w:val="28"/>
          <w:szCs w:val="28"/>
        </w:rPr>
        <w:t>预付款担保格式</w:t>
      </w:r>
      <w:bookmarkEnd w:id="6456"/>
      <w:bookmarkEnd w:id="6457"/>
      <w:bookmarkEnd w:id="6458"/>
      <w:bookmarkEnd w:id="6459"/>
      <w:bookmarkEnd w:id="6460"/>
      <w:bookmarkEnd w:id="6461"/>
      <w:bookmarkEnd w:id="6462"/>
      <w:bookmarkEnd w:id="6463"/>
      <w:bookmarkEnd w:id="6464"/>
      <w:bookmarkEnd w:id="6465"/>
      <w:bookmarkEnd w:id="6466"/>
      <w:bookmarkEnd w:id="6467"/>
      <w:bookmarkEnd w:id="6468"/>
    </w:p>
    <w:p>
      <w:pPr>
        <w:spacing w:before="6" w:line="440" w:lineRule="exact"/>
        <w:jc w:val="center"/>
        <w:rPr>
          <w:rFonts w:eastAsia="黑体"/>
          <w:sz w:val="28"/>
          <w:szCs w:val="28"/>
        </w:rPr>
      </w:pPr>
      <w:r>
        <w:rPr>
          <w:rFonts w:eastAsia="黑体"/>
          <w:sz w:val="28"/>
          <w:szCs w:val="28"/>
        </w:rPr>
        <w:t>预 付 款 担 保</w:t>
      </w:r>
      <w:r>
        <w:rPr>
          <w:rFonts w:hint="eastAsia" w:eastAsia="黑体"/>
          <w:sz w:val="28"/>
          <w:szCs w:val="28"/>
        </w:rPr>
        <w:t>（本项目不适用）</w:t>
      </w:r>
    </w:p>
    <w:p>
      <w:pPr>
        <w:pStyle w:val="3"/>
        <w:spacing w:before="6"/>
        <w:rPr>
          <w:sz w:val="28"/>
        </w:rPr>
      </w:pPr>
    </w:p>
    <w:p>
      <w:pPr>
        <w:pStyle w:val="3"/>
        <w:spacing w:before="6" w:line="360" w:lineRule="auto"/>
        <w:rPr>
          <w:sz w:val="28"/>
        </w:rPr>
      </w:pPr>
    </w:p>
    <w:p>
      <w:pPr>
        <w:pStyle w:val="3"/>
        <w:spacing w:before="6" w:line="360" w:lineRule="auto"/>
        <w:rPr>
          <w:rFonts w:ascii="楷体" w:hAnsi="楷体" w:cs="楷体"/>
          <w:u w:val="single"/>
        </w:rPr>
      </w:pPr>
      <w:r>
        <w:rPr>
          <w:rFonts w:hint="eastAsia" w:ascii="楷体" w:hAnsi="楷体" w:cs="楷体"/>
          <w:u w:val="single"/>
        </w:rPr>
        <w:tab/>
      </w:r>
      <w:r>
        <w:rPr>
          <w:rFonts w:hint="eastAsia" w:ascii="楷体" w:hAnsi="楷体" w:cs="楷体"/>
          <w:u w:val="single"/>
        </w:rPr>
        <w:t xml:space="preserve"> （发包人名称）：</w:t>
      </w:r>
    </w:p>
    <w:p>
      <w:pPr>
        <w:pStyle w:val="3"/>
        <w:spacing w:before="6" w:line="360" w:lineRule="auto"/>
        <w:rPr>
          <w:rFonts w:ascii="楷体" w:hAnsi="楷体" w:cs="楷体"/>
        </w:rPr>
      </w:pPr>
    </w:p>
    <w:p>
      <w:pPr>
        <w:pStyle w:val="3"/>
        <w:spacing w:before="6" w:line="360" w:lineRule="auto"/>
        <w:ind w:firstLine="480" w:firstLineChars="200"/>
        <w:rPr>
          <w:rFonts w:ascii="楷体" w:hAnsi="楷体" w:cs="楷体"/>
        </w:rPr>
      </w:pPr>
      <w:r>
        <w:rPr>
          <w:rFonts w:hint="eastAsia" w:ascii="楷体" w:hAnsi="楷体" w:cs="楷体"/>
        </w:rPr>
        <w:t>根据</w:t>
      </w:r>
      <w:r>
        <w:rPr>
          <w:rFonts w:hint="eastAsia" w:ascii="楷体" w:hAnsi="楷体" w:cs="楷体"/>
          <w:u w:val="single"/>
        </w:rPr>
        <w:tab/>
      </w:r>
      <w:r>
        <w:rPr>
          <w:rFonts w:hint="eastAsia" w:ascii="楷体" w:hAnsi="楷体" w:cs="楷体"/>
          <w:u w:val="single"/>
        </w:rPr>
        <w:t>（承包人名称）</w:t>
      </w:r>
      <w:r>
        <w:rPr>
          <w:rFonts w:hint="eastAsia" w:ascii="楷体" w:hAnsi="楷体" w:cs="楷体"/>
        </w:rPr>
        <w:t xml:space="preserve">（以下简称“发包人”）与 </w:t>
      </w:r>
      <w:r>
        <w:rPr>
          <w:rFonts w:hint="eastAsia" w:ascii="楷体" w:hAnsi="楷体" w:cs="楷体"/>
          <w:u w:val="single"/>
        </w:rPr>
        <w:tab/>
      </w:r>
      <w:r>
        <w:rPr>
          <w:rFonts w:hint="eastAsia" w:ascii="楷体" w:hAnsi="楷体" w:cs="楷体"/>
          <w:u w:val="single"/>
        </w:rPr>
        <w:tab/>
      </w:r>
      <w:r>
        <w:rPr>
          <w:rFonts w:hint="eastAsia" w:ascii="楷体" w:hAnsi="楷体" w:cs="楷体"/>
          <w:u w:val="single"/>
        </w:rPr>
        <w:t>（发包人名称）</w:t>
      </w:r>
      <w:r>
        <w:rPr>
          <w:rFonts w:hint="eastAsia" w:ascii="楷体" w:hAnsi="楷体" w:cs="楷体"/>
        </w:rPr>
        <w:t>（以下简称“发包人”）于</w:t>
      </w:r>
      <w:r>
        <w:rPr>
          <w:rFonts w:hint="eastAsia" w:ascii="楷体" w:hAnsi="楷体" w:cs="楷体"/>
          <w:u w:val="single"/>
        </w:rPr>
        <w:t xml:space="preserve">     年    月     日</w:t>
      </w:r>
      <w:r>
        <w:rPr>
          <w:rFonts w:hint="eastAsia" w:ascii="楷体" w:hAnsi="楷体" w:cs="楷体"/>
        </w:rPr>
        <w:t>签订的</w:t>
      </w:r>
      <w:r>
        <w:rPr>
          <w:rFonts w:hint="eastAsia" w:ascii="楷体" w:hAnsi="楷体" w:cs="楷体"/>
          <w:u w:val="single"/>
        </w:rPr>
        <w:tab/>
      </w:r>
      <w:r>
        <w:rPr>
          <w:rFonts w:hint="eastAsia" w:ascii="楷体" w:hAnsi="楷体" w:cs="楷体"/>
          <w:u w:val="single"/>
        </w:rPr>
        <w:t xml:space="preserve">（项目名称）   </w:t>
      </w:r>
      <w:r>
        <w:rPr>
          <w:rFonts w:hint="eastAsia" w:ascii="楷体" w:hAnsi="楷体" w:cs="楷体"/>
        </w:rPr>
        <w:t>标段公路养护工程施工承包合同，承包人按约定的金额向发包人提交一份预付款担保，即有权得到发包人支付相等金额的预付款。我方愿意就你方提供给承包人的预付款提供担保。</w:t>
      </w:r>
    </w:p>
    <w:p>
      <w:pPr>
        <w:spacing w:before="6" w:line="360" w:lineRule="auto"/>
        <w:ind w:firstLine="480" w:firstLineChars="200"/>
        <w:jc w:val="left"/>
        <w:rPr>
          <w:rFonts w:ascii="楷体" w:hAnsi="楷体" w:cs="楷体"/>
          <w:sz w:val="24"/>
        </w:rPr>
      </w:pPr>
      <w:r>
        <w:rPr>
          <w:rFonts w:hint="eastAsia" w:ascii="楷体" w:hAnsi="楷体" w:cs="楷体"/>
          <w:sz w:val="24"/>
        </w:rPr>
        <w:t>1．担保金额人民币（大写</w:t>
      </w:r>
      <w:r>
        <w:rPr>
          <w:rFonts w:hint="eastAsia" w:ascii="楷体" w:hAnsi="楷体" w:cs="楷体"/>
          <w:sz w:val="24"/>
          <w:u w:val="single"/>
        </w:rPr>
        <w:t>）</w:t>
      </w:r>
      <w:r>
        <w:rPr>
          <w:rFonts w:hint="eastAsia" w:ascii="楷体" w:hAnsi="楷体" w:cs="楷体"/>
          <w:sz w:val="24"/>
          <w:u w:val="single"/>
        </w:rPr>
        <w:tab/>
      </w:r>
      <w:r>
        <w:rPr>
          <w:rFonts w:hint="eastAsia" w:ascii="楷体" w:hAnsi="楷体" w:cs="楷体"/>
          <w:sz w:val="24"/>
          <w:u w:val="single"/>
        </w:rPr>
        <w:t xml:space="preserve">元（¥ </w:t>
      </w:r>
      <w:r>
        <w:rPr>
          <w:rFonts w:hint="eastAsia" w:ascii="楷体" w:hAnsi="楷体" w:cs="楷体"/>
          <w:sz w:val="24"/>
          <w:u w:val="single"/>
        </w:rPr>
        <w:tab/>
      </w:r>
      <w:r>
        <w:rPr>
          <w:rFonts w:hint="eastAsia" w:ascii="楷体" w:hAnsi="楷体" w:cs="楷体"/>
          <w:sz w:val="24"/>
          <w:u w:val="single"/>
        </w:rPr>
        <w:t>）</w:t>
      </w:r>
      <w:r>
        <w:rPr>
          <w:rFonts w:hint="eastAsia" w:ascii="楷体" w:hAnsi="楷体" w:cs="楷体"/>
          <w:sz w:val="24"/>
        </w:rPr>
        <w:t>。</w:t>
      </w:r>
    </w:p>
    <w:p>
      <w:pPr>
        <w:spacing w:before="6" w:line="360" w:lineRule="auto"/>
        <w:ind w:firstLine="480" w:firstLineChars="200"/>
        <w:jc w:val="left"/>
        <w:rPr>
          <w:rFonts w:ascii="楷体" w:hAnsi="楷体" w:cs="楷体"/>
          <w:sz w:val="24"/>
        </w:rPr>
      </w:pPr>
      <w:r>
        <w:rPr>
          <w:rFonts w:hint="eastAsia" w:ascii="楷体" w:hAnsi="楷体" w:cs="楷体"/>
          <w:sz w:val="24"/>
        </w:rPr>
        <w:t>2．担保有效期自预付款支付给承包人起生效，至发包人签发的进度付款证书说明已完全扣清止。</w:t>
      </w:r>
    </w:p>
    <w:p>
      <w:pPr>
        <w:spacing w:before="6" w:line="360" w:lineRule="auto"/>
        <w:ind w:firstLine="480" w:firstLineChars="200"/>
        <w:jc w:val="left"/>
        <w:rPr>
          <w:rFonts w:ascii="楷体" w:hAnsi="楷体" w:cs="楷体"/>
          <w:sz w:val="24"/>
        </w:rPr>
      </w:pPr>
      <w:r>
        <w:rPr>
          <w:rFonts w:hint="eastAsia" w:ascii="楷体" w:hAnsi="楷体" w:cs="楷体"/>
          <w:sz w:val="24"/>
        </w:rPr>
        <w:t>3．在本保函有效期内，因承包人违反合同约定的义务而要求收回预付款时，我方在收到你方的书面通知后，在 7 天内无条件支付。但本保函的担保金额，在任何时候不应超过预付款金额减去发包人按合同约定在向承包人签发的进度付款证书中扣除的金额。</w:t>
      </w:r>
    </w:p>
    <w:p>
      <w:pPr>
        <w:spacing w:before="6" w:line="360" w:lineRule="auto"/>
        <w:ind w:firstLine="480" w:firstLineChars="200"/>
        <w:jc w:val="left"/>
        <w:rPr>
          <w:rFonts w:ascii="楷体" w:hAnsi="楷体" w:cs="楷体"/>
          <w:sz w:val="24"/>
        </w:rPr>
      </w:pPr>
      <w:r>
        <w:rPr>
          <w:rFonts w:hint="eastAsia" w:ascii="楷体" w:hAnsi="楷体" w:cs="楷体"/>
          <w:sz w:val="24"/>
        </w:rPr>
        <w:t>4．发包人和承包人按《通用合同条款》和《项目专用合同条款》第 15 条变更合同时，我方承担本保函规定的义务不变。</w:t>
      </w:r>
    </w:p>
    <w:p>
      <w:pPr>
        <w:spacing w:before="6" w:line="420" w:lineRule="exact"/>
        <w:ind w:firstLine="480" w:firstLineChars="200"/>
        <w:jc w:val="left"/>
        <w:rPr>
          <w:rFonts w:ascii="楷体" w:hAnsi="楷体" w:cs="楷体"/>
          <w:sz w:val="24"/>
        </w:rPr>
      </w:pPr>
    </w:p>
    <w:p>
      <w:pPr>
        <w:spacing w:before="6" w:line="420" w:lineRule="exact"/>
        <w:ind w:firstLine="3840" w:firstLineChars="1600"/>
        <w:jc w:val="left"/>
        <w:rPr>
          <w:rFonts w:ascii="楷体" w:hAnsi="楷体" w:cs="楷体"/>
          <w:sz w:val="24"/>
          <w:u w:val="single"/>
        </w:rPr>
      </w:pPr>
      <w:r>
        <w:rPr>
          <w:rFonts w:hint="eastAsia" w:ascii="楷体" w:hAnsi="楷体" w:cs="楷体"/>
          <w:sz w:val="24"/>
        </w:rPr>
        <w:t>担 保 人：</w:t>
      </w:r>
      <w:r>
        <w:rPr>
          <w:rFonts w:hint="eastAsia" w:ascii="楷体" w:hAnsi="楷体" w:cs="楷体"/>
          <w:sz w:val="24"/>
          <w:u w:val="single"/>
        </w:rPr>
        <w:tab/>
      </w:r>
      <w:r>
        <w:rPr>
          <w:rFonts w:hint="eastAsia" w:ascii="楷体" w:hAnsi="楷体" w:cs="楷体"/>
          <w:sz w:val="24"/>
          <w:u w:val="single"/>
        </w:rPr>
        <w:t xml:space="preserve">（盖单位章）              </w:t>
      </w:r>
    </w:p>
    <w:p>
      <w:pPr>
        <w:spacing w:before="6" w:line="420" w:lineRule="exact"/>
        <w:ind w:firstLine="3840" w:firstLineChars="1600"/>
        <w:jc w:val="left"/>
        <w:rPr>
          <w:rFonts w:ascii="楷体" w:hAnsi="楷体" w:cs="楷体"/>
          <w:sz w:val="24"/>
        </w:rPr>
      </w:pPr>
      <w:r>
        <w:rPr>
          <w:rFonts w:hint="eastAsia" w:ascii="楷体" w:hAnsi="楷体" w:cs="楷体"/>
          <w:sz w:val="24"/>
        </w:rPr>
        <w:t>法定代表人或其委托代理人：</w:t>
      </w:r>
      <w:r>
        <w:rPr>
          <w:rFonts w:hint="eastAsia" w:ascii="楷体" w:hAnsi="楷体" w:cs="楷体"/>
          <w:sz w:val="24"/>
          <w:u w:val="single"/>
        </w:rPr>
        <w:tab/>
      </w:r>
      <w:r>
        <w:rPr>
          <w:rFonts w:hint="eastAsia" w:ascii="楷体" w:hAnsi="楷体" w:cs="楷体"/>
          <w:sz w:val="24"/>
          <w:u w:val="single"/>
        </w:rPr>
        <w:tab/>
      </w:r>
      <w:r>
        <w:rPr>
          <w:rFonts w:hint="eastAsia" w:ascii="楷体" w:hAnsi="楷体" w:cs="楷体"/>
          <w:sz w:val="24"/>
          <w:u w:val="single"/>
        </w:rPr>
        <w:t xml:space="preserve">（签字） </w:t>
      </w:r>
    </w:p>
    <w:p>
      <w:pPr>
        <w:spacing w:before="6" w:line="420" w:lineRule="exact"/>
        <w:ind w:firstLine="3840" w:firstLineChars="1600"/>
        <w:jc w:val="left"/>
        <w:rPr>
          <w:rFonts w:ascii="楷体" w:hAnsi="楷体" w:cs="楷体"/>
          <w:sz w:val="24"/>
        </w:rPr>
      </w:pPr>
      <w:r>
        <w:rPr>
          <w:rFonts w:hint="eastAsia" w:ascii="楷体" w:hAnsi="楷体" w:cs="楷体"/>
          <w:sz w:val="24"/>
        </w:rPr>
        <w:t>地  址：</w:t>
      </w:r>
      <w:r>
        <w:rPr>
          <w:rFonts w:hint="eastAsia" w:ascii="楷体" w:hAnsi="楷体" w:cs="楷体"/>
          <w:sz w:val="24"/>
          <w:u w:val="single"/>
        </w:rPr>
        <w:tab/>
      </w:r>
      <w:r>
        <w:rPr>
          <w:rFonts w:hint="eastAsia" w:ascii="楷体" w:hAnsi="楷体" w:cs="楷体"/>
          <w:sz w:val="24"/>
          <w:u w:val="single"/>
        </w:rPr>
        <w:tab/>
      </w:r>
      <w:r>
        <w:rPr>
          <w:rFonts w:hint="eastAsia" w:ascii="楷体" w:hAnsi="楷体" w:cs="楷体"/>
          <w:sz w:val="24"/>
          <w:u w:val="single"/>
        </w:rPr>
        <w:tab/>
      </w:r>
    </w:p>
    <w:p>
      <w:pPr>
        <w:spacing w:before="6" w:line="420" w:lineRule="exact"/>
        <w:ind w:firstLine="3840" w:firstLineChars="1600"/>
        <w:jc w:val="left"/>
        <w:rPr>
          <w:rFonts w:ascii="楷体" w:hAnsi="楷体" w:cs="楷体"/>
          <w:sz w:val="24"/>
          <w:u w:val="single"/>
        </w:rPr>
      </w:pPr>
      <w:r>
        <w:rPr>
          <w:rFonts w:hint="eastAsia" w:ascii="楷体" w:hAnsi="楷体" w:cs="楷体"/>
          <w:sz w:val="24"/>
        </w:rPr>
        <w:t>邮政编码：</w:t>
      </w:r>
    </w:p>
    <w:p>
      <w:pPr>
        <w:spacing w:before="6" w:line="420" w:lineRule="exact"/>
        <w:ind w:firstLine="3840" w:firstLineChars="1600"/>
        <w:jc w:val="left"/>
        <w:rPr>
          <w:rFonts w:ascii="楷体" w:hAnsi="楷体" w:cs="楷体"/>
          <w:sz w:val="24"/>
          <w:u w:val="single"/>
        </w:rPr>
      </w:pPr>
      <w:r>
        <w:rPr>
          <w:rFonts w:hint="eastAsia" w:ascii="楷体" w:hAnsi="楷体" w:cs="楷体"/>
          <w:sz w:val="24"/>
        </w:rPr>
        <w:t>电   话：</w:t>
      </w:r>
    </w:p>
    <w:p>
      <w:pPr>
        <w:spacing w:before="6" w:line="420" w:lineRule="exact"/>
        <w:ind w:firstLine="3840" w:firstLineChars="1600"/>
        <w:jc w:val="left"/>
        <w:rPr>
          <w:rFonts w:ascii="楷体" w:hAnsi="楷体" w:cs="楷体"/>
          <w:sz w:val="24"/>
          <w:u w:val="single"/>
        </w:rPr>
      </w:pPr>
      <w:r>
        <w:rPr>
          <w:rFonts w:hint="eastAsia" w:ascii="楷体" w:hAnsi="楷体" w:cs="楷体"/>
          <w:sz w:val="24"/>
        </w:rPr>
        <w:t>传  真 ：</w:t>
      </w:r>
    </w:p>
    <w:p>
      <w:pPr>
        <w:spacing w:before="6" w:line="420" w:lineRule="exact"/>
        <w:ind w:firstLine="3840" w:firstLineChars="1600"/>
        <w:jc w:val="left"/>
        <w:rPr>
          <w:rFonts w:ascii="楷体" w:hAnsi="楷体" w:cs="楷体"/>
          <w:sz w:val="24"/>
        </w:rPr>
      </w:pPr>
      <w:r>
        <w:rPr>
          <w:rFonts w:hint="eastAsia" w:ascii="楷体" w:hAnsi="楷体" w:cs="楷体"/>
          <w:sz w:val="24"/>
        </w:rPr>
        <w:t xml:space="preserve">年 </w:t>
      </w:r>
      <w:r>
        <w:rPr>
          <w:rFonts w:hint="eastAsia" w:ascii="楷体" w:hAnsi="楷体" w:cs="楷体"/>
          <w:sz w:val="24"/>
        </w:rPr>
        <w:tab/>
      </w:r>
      <w:r>
        <w:rPr>
          <w:rFonts w:hint="eastAsia" w:ascii="楷体" w:hAnsi="楷体" w:cs="楷体"/>
          <w:sz w:val="24"/>
        </w:rPr>
        <w:t xml:space="preserve">月 </w:t>
      </w:r>
      <w:r>
        <w:rPr>
          <w:rFonts w:hint="eastAsia" w:ascii="楷体" w:hAnsi="楷体" w:cs="楷体"/>
          <w:sz w:val="24"/>
        </w:rPr>
        <w:tab/>
      </w:r>
      <w:r>
        <w:rPr>
          <w:rFonts w:hint="eastAsia" w:ascii="楷体" w:hAnsi="楷体" w:cs="楷体"/>
          <w:sz w:val="24"/>
        </w:rPr>
        <w:t>日</w:t>
      </w:r>
    </w:p>
    <w:p>
      <w:pPr>
        <w:spacing w:before="6" w:line="420" w:lineRule="exact"/>
        <w:ind w:right="84" w:firstLine="4498" w:firstLineChars="1600"/>
        <w:jc w:val="left"/>
        <w:rPr>
          <w:rFonts w:ascii="楷体" w:hAnsi="楷体" w:cs="楷体"/>
          <w:b/>
          <w:sz w:val="28"/>
          <w:szCs w:val="28"/>
        </w:rPr>
      </w:pPr>
    </w:p>
    <w:p>
      <w:pPr>
        <w:pStyle w:val="2"/>
        <w:ind w:firstLine="0" w:firstLineChars="0"/>
        <w:rPr>
          <w:rFonts w:ascii="黑体" w:eastAsia="黑体" w:cs="Times New Roman"/>
          <w:b/>
          <w:sz w:val="28"/>
          <w:szCs w:val="28"/>
        </w:rPr>
      </w:pPr>
    </w:p>
    <w:p>
      <w:pPr>
        <w:pStyle w:val="6"/>
        <w:spacing w:before="0" w:after="0" w:line="360" w:lineRule="auto"/>
        <w:ind w:right="84"/>
        <w:rPr>
          <w:rFonts w:ascii="黑体" w:eastAsia="黑体"/>
          <w:bCs w:val="0"/>
          <w:sz w:val="28"/>
          <w:szCs w:val="28"/>
        </w:rPr>
      </w:pPr>
      <w:bookmarkStart w:id="6469" w:name="_Toc26337"/>
      <w:bookmarkStart w:id="6470" w:name="_Toc22989"/>
      <w:bookmarkStart w:id="6471" w:name="_Toc30334"/>
      <w:bookmarkStart w:id="6472" w:name="_Toc17100"/>
      <w:bookmarkStart w:id="6473" w:name="_Toc12884"/>
      <w:bookmarkStart w:id="6474" w:name="_Toc2927"/>
      <w:bookmarkStart w:id="6475" w:name="_Toc24758"/>
      <w:bookmarkStart w:id="6476" w:name="_Toc22082"/>
      <w:bookmarkStart w:id="6477" w:name="_Toc11569"/>
      <w:bookmarkStart w:id="6478" w:name="_Toc32531"/>
      <w:bookmarkStart w:id="6479" w:name="_Toc1004"/>
      <w:bookmarkStart w:id="6480" w:name="_Toc31677"/>
      <w:bookmarkStart w:id="6481" w:name="_Toc27258"/>
      <w:r>
        <w:rPr>
          <w:rFonts w:ascii="黑体" w:eastAsia="黑体"/>
          <w:bCs w:val="0"/>
          <w:sz w:val="28"/>
          <w:szCs w:val="28"/>
        </w:rPr>
        <w:t>附件</w:t>
      </w:r>
      <w:r>
        <w:rPr>
          <w:rFonts w:hint="eastAsia" w:ascii="黑体" w:eastAsia="黑体"/>
          <w:bCs w:val="0"/>
          <w:sz w:val="28"/>
          <w:szCs w:val="28"/>
        </w:rPr>
        <w:t>十</w:t>
      </w:r>
      <w:r>
        <w:rPr>
          <w:rFonts w:ascii="黑体" w:eastAsia="黑体"/>
          <w:bCs w:val="0"/>
          <w:sz w:val="28"/>
          <w:szCs w:val="28"/>
        </w:rPr>
        <w:t xml:space="preserve">   工程资金监管协议格式</w:t>
      </w:r>
      <w:bookmarkEnd w:id="6469"/>
      <w:bookmarkEnd w:id="6470"/>
      <w:bookmarkEnd w:id="6471"/>
      <w:bookmarkEnd w:id="6472"/>
      <w:bookmarkEnd w:id="6473"/>
      <w:bookmarkEnd w:id="6474"/>
      <w:bookmarkEnd w:id="6475"/>
      <w:bookmarkEnd w:id="6476"/>
      <w:bookmarkEnd w:id="6477"/>
      <w:bookmarkEnd w:id="6478"/>
      <w:bookmarkEnd w:id="6479"/>
      <w:bookmarkEnd w:id="6480"/>
      <w:bookmarkEnd w:id="6481"/>
    </w:p>
    <w:p>
      <w:pPr>
        <w:spacing w:line="420" w:lineRule="exact"/>
        <w:ind w:firstLine="480" w:firstLineChars="200"/>
        <w:jc w:val="left"/>
        <w:rPr>
          <w:sz w:val="24"/>
        </w:rPr>
      </w:pPr>
    </w:p>
    <w:p>
      <w:pPr>
        <w:spacing w:line="420" w:lineRule="exact"/>
        <w:ind w:firstLine="480" w:firstLineChars="200"/>
        <w:jc w:val="left"/>
        <w:rPr>
          <w:sz w:val="24"/>
        </w:rPr>
      </w:pPr>
      <w:r>
        <w:rPr>
          <w:sz w:val="24"/>
        </w:rPr>
        <w:t>（发包人与承包人签订合同协议书时应与发包人指定的银行签署工程资金监管协议，工程资金监管协议内容在保证本项目资金有效监管的前提下由三方共同商定）</w:t>
      </w:r>
    </w:p>
    <w:p>
      <w:pPr>
        <w:spacing w:line="440" w:lineRule="exact"/>
        <w:rPr>
          <w:rFonts w:eastAsia="黑体"/>
          <w:sz w:val="28"/>
          <w:szCs w:val="28"/>
        </w:rPr>
      </w:pPr>
    </w:p>
    <w:p>
      <w:pPr>
        <w:spacing w:line="440" w:lineRule="exact"/>
        <w:jc w:val="center"/>
        <w:rPr>
          <w:rFonts w:eastAsia="黑体"/>
          <w:sz w:val="28"/>
          <w:szCs w:val="28"/>
        </w:rPr>
      </w:pPr>
      <w:r>
        <w:rPr>
          <w:rFonts w:eastAsia="黑体"/>
          <w:sz w:val="28"/>
          <w:szCs w:val="28"/>
        </w:rPr>
        <w:t>工程资金监管协议</w:t>
      </w:r>
      <w:r>
        <w:rPr>
          <w:rFonts w:hint="eastAsia" w:eastAsia="黑体"/>
          <w:sz w:val="28"/>
          <w:szCs w:val="28"/>
        </w:rPr>
        <w:t>（本项目不适用）</w:t>
      </w:r>
    </w:p>
    <w:p>
      <w:pPr>
        <w:spacing w:line="420" w:lineRule="exact"/>
        <w:ind w:firstLine="480" w:firstLineChars="200"/>
        <w:jc w:val="left"/>
        <w:rPr>
          <w:sz w:val="24"/>
        </w:rPr>
      </w:pPr>
    </w:p>
    <w:p>
      <w:pPr>
        <w:spacing w:line="420" w:lineRule="exact"/>
        <w:ind w:firstLine="480" w:firstLineChars="200"/>
        <w:rPr>
          <w:sz w:val="24"/>
          <w:u w:val="single"/>
        </w:rPr>
      </w:pPr>
      <w:r>
        <w:rPr>
          <w:sz w:val="24"/>
        </w:rPr>
        <w:t>发 包 人：</w:t>
      </w:r>
      <w:r>
        <w:rPr>
          <w:sz w:val="24"/>
          <w:u w:val="single"/>
        </w:rPr>
        <w:tab/>
      </w:r>
      <w:r>
        <w:rPr>
          <w:sz w:val="24"/>
          <w:u w:val="single"/>
        </w:rPr>
        <w:t xml:space="preserve">（以下简称甲方）  </w:t>
      </w:r>
    </w:p>
    <w:p>
      <w:pPr>
        <w:spacing w:line="420" w:lineRule="exact"/>
        <w:ind w:firstLine="480" w:firstLineChars="200"/>
        <w:rPr>
          <w:sz w:val="24"/>
        </w:rPr>
      </w:pPr>
      <w:r>
        <w:rPr>
          <w:sz w:val="24"/>
        </w:rPr>
        <w:t>承 包 人：</w:t>
      </w:r>
      <w:r>
        <w:rPr>
          <w:sz w:val="24"/>
          <w:u w:val="single"/>
        </w:rPr>
        <w:tab/>
      </w:r>
      <w:r>
        <w:rPr>
          <w:sz w:val="24"/>
          <w:u w:val="single"/>
        </w:rPr>
        <w:t>（以下简称乙方）</w:t>
      </w:r>
    </w:p>
    <w:p>
      <w:pPr>
        <w:spacing w:line="420" w:lineRule="exact"/>
        <w:ind w:firstLine="480" w:firstLineChars="200"/>
        <w:rPr>
          <w:sz w:val="24"/>
        </w:rPr>
      </w:pPr>
      <w:r>
        <w:rPr>
          <w:sz w:val="24"/>
        </w:rPr>
        <w:t>经办银行：</w:t>
      </w:r>
      <w:r>
        <w:rPr>
          <w:sz w:val="24"/>
          <w:u w:val="single"/>
        </w:rPr>
        <w:tab/>
      </w:r>
      <w:r>
        <w:rPr>
          <w:sz w:val="24"/>
          <w:u w:val="single"/>
        </w:rPr>
        <w:t>（以下简称丙方）</w:t>
      </w:r>
    </w:p>
    <w:p>
      <w:pPr>
        <w:spacing w:line="420" w:lineRule="exact"/>
        <w:ind w:firstLine="480" w:firstLineChars="200"/>
        <w:jc w:val="left"/>
        <w:rPr>
          <w:sz w:val="24"/>
        </w:rPr>
      </w:pPr>
    </w:p>
    <w:p>
      <w:pPr>
        <w:spacing w:line="420" w:lineRule="exact"/>
        <w:ind w:firstLine="480" w:firstLineChars="200"/>
        <w:rPr>
          <w:rFonts w:ascii="楷体" w:hAnsi="楷体" w:cs="楷体"/>
          <w:sz w:val="24"/>
        </w:rPr>
      </w:pPr>
      <w:r>
        <w:rPr>
          <w:rFonts w:hint="eastAsia" w:ascii="楷体" w:hAnsi="楷体" w:cs="楷体"/>
          <w:sz w:val="24"/>
        </w:rPr>
        <w:t>为了促进</w:t>
      </w:r>
      <w:r>
        <w:rPr>
          <w:rFonts w:hint="eastAsia" w:ascii="楷体" w:hAnsi="楷体" w:cs="楷体"/>
          <w:sz w:val="24"/>
          <w:u w:val="single"/>
        </w:rPr>
        <w:tab/>
      </w:r>
      <w:r>
        <w:rPr>
          <w:rFonts w:hint="eastAsia" w:ascii="楷体" w:hAnsi="楷体" w:cs="楷体"/>
          <w:sz w:val="24"/>
          <w:u w:val="single"/>
        </w:rPr>
        <w:t>（项目名称）</w:t>
      </w:r>
      <w:r>
        <w:rPr>
          <w:rFonts w:hint="eastAsia" w:ascii="楷体" w:hAnsi="楷体" w:cs="楷体"/>
          <w:sz w:val="24"/>
        </w:rPr>
        <w:t>的顺利实施，管好用好建设资金，确保工程资金专款专用，同时为承包人提供便捷有效的银行业务服务，根据</w:t>
      </w:r>
      <w:r>
        <w:rPr>
          <w:rFonts w:hint="eastAsia" w:ascii="楷体" w:hAnsi="楷体" w:cs="楷体"/>
          <w:sz w:val="24"/>
          <w:u w:val="single"/>
        </w:rPr>
        <w:tab/>
      </w:r>
      <w:r>
        <w:rPr>
          <w:rFonts w:hint="eastAsia" w:ascii="楷体" w:hAnsi="楷体" w:cs="楷体"/>
          <w:sz w:val="24"/>
          <w:u w:val="single"/>
        </w:rPr>
        <w:t xml:space="preserve">（项目名称） </w:t>
      </w:r>
      <w:r>
        <w:rPr>
          <w:rFonts w:hint="eastAsia" w:ascii="楷体" w:hAnsi="楷体" w:cs="楷体"/>
          <w:sz w:val="24"/>
        </w:rPr>
        <w:t>合同条款有关规定，经甲、乙、丙三方协商，达成协议如下：</w:t>
      </w:r>
    </w:p>
    <w:p>
      <w:pPr>
        <w:spacing w:line="420" w:lineRule="exact"/>
        <w:ind w:firstLine="480" w:firstLineChars="200"/>
        <w:jc w:val="left"/>
        <w:rPr>
          <w:rFonts w:ascii="楷体" w:hAnsi="楷体" w:cs="楷体"/>
          <w:sz w:val="24"/>
        </w:rPr>
      </w:pPr>
      <w:r>
        <w:rPr>
          <w:rFonts w:hint="eastAsia" w:ascii="楷体" w:hAnsi="楷体" w:cs="楷体"/>
          <w:sz w:val="24"/>
        </w:rPr>
        <w:t>1．资金管理内容</w:t>
      </w:r>
    </w:p>
    <w:p>
      <w:pPr>
        <w:spacing w:line="420" w:lineRule="exact"/>
        <w:ind w:firstLine="480" w:firstLineChars="200"/>
        <w:jc w:val="left"/>
        <w:rPr>
          <w:rFonts w:ascii="楷体" w:hAnsi="楷体" w:cs="楷体"/>
          <w:sz w:val="24"/>
        </w:rPr>
      </w:pPr>
      <w:r>
        <w:rPr>
          <w:rFonts w:hint="eastAsia" w:ascii="楷体" w:hAnsi="楷体" w:cs="楷体"/>
          <w:sz w:val="24"/>
        </w:rPr>
        <w:t>（1）乙方为完成</w:t>
      </w:r>
      <w:r>
        <w:rPr>
          <w:rFonts w:hint="eastAsia" w:ascii="楷体" w:hAnsi="楷体" w:cs="楷体"/>
          <w:sz w:val="24"/>
          <w:u w:val="single"/>
        </w:rPr>
        <w:tab/>
      </w:r>
      <w:r>
        <w:rPr>
          <w:rFonts w:hint="eastAsia" w:ascii="楷体" w:hAnsi="楷体" w:cs="楷体"/>
          <w:sz w:val="24"/>
          <w:u w:val="single"/>
        </w:rPr>
        <w:t>（项目名称）</w:t>
      </w:r>
      <w:r>
        <w:rPr>
          <w:rFonts w:hint="eastAsia" w:ascii="楷体" w:hAnsi="楷体" w:cs="楷体"/>
          <w:sz w:val="24"/>
        </w:rPr>
        <w:t>工程成立的项目经理部在丙方开设基本结算户；</w:t>
      </w:r>
    </w:p>
    <w:p>
      <w:pPr>
        <w:spacing w:line="420" w:lineRule="exact"/>
        <w:ind w:firstLine="480" w:firstLineChars="200"/>
        <w:jc w:val="left"/>
        <w:rPr>
          <w:rFonts w:ascii="楷体" w:hAnsi="楷体" w:cs="楷体"/>
          <w:sz w:val="24"/>
        </w:rPr>
      </w:pPr>
      <w:r>
        <w:rPr>
          <w:rFonts w:hint="eastAsia" w:ascii="楷体" w:hAnsi="楷体" w:cs="楷体"/>
          <w:sz w:val="24"/>
        </w:rPr>
        <w:t>（2）甲方应按合同规定将工程款（质量保证金除外）汇入乙方在丙方开设的账户；</w:t>
      </w:r>
    </w:p>
    <w:p>
      <w:pPr>
        <w:spacing w:line="420" w:lineRule="exact"/>
        <w:ind w:firstLine="480" w:firstLineChars="200"/>
        <w:jc w:val="left"/>
        <w:rPr>
          <w:rFonts w:ascii="楷体" w:hAnsi="楷体" w:cs="楷体"/>
          <w:sz w:val="24"/>
        </w:rPr>
      </w:pPr>
      <w:r>
        <w:rPr>
          <w:rFonts w:hint="eastAsia" w:ascii="楷体" w:hAnsi="楷体" w:cs="楷体"/>
          <w:sz w:val="24"/>
        </w:rPr>
        <w:t>（3）乙方应将流动资金及甲方所拨付资金专项用于</w:t>
      </w:r>
      <w:r>
        <w:rPr>
          <w:rFonts w:hint="eastAsia" w:ascii="楷体" w:hAnsi="楷体" w:cs="楷体"/>
          <w:sz w:val="24"/>
          <w:u w:val="single"/>
        </w:rPr>
        <w:tab/>
      </w:r>
      <w:r>
        <w:rPr>
          <w:rFonts w:hint="eastAsia" w:ascii="楷体" w:hAnsi="楷体" w:cs="楷体"/>
          <w:sz w:val="24"/>
          <w:u w:val="single"/>
        </w:rPr>
        <w:t>（项目名称）</w:t>
      </w:r>
      <w:r>
        <w:rPr>
          <w:rFonts w:hint="eastAsia" w:ascii="楷体" w:hAnsi="楷体" w:cs="楷体"/>
          <w:sz w:val="24"/>
        </w:rPr>
        <w:t>；</w:t>
      </w:r>
    </w:p>
    <w:p>
      <w:pPr>
        <w:spacing w:line="420" w:lineRule="exact"/>
        <w:ind w:firstLine="480" w:firstLineChars="200"/>
        <w:jc w:val="left"/>
        <w:rPr>
          <w:rFonts w:ascii="楷体" w:hAnsi="楷体" w:cs="楷体"/>
          <w:sz w:val="24"/>
        </w:rPr>
      </w:pPr>
      <w:r>
        <w:rPr>
          <w:rFonts w:hint="eastAsia" w:ascii="楷体" w:hAnsi="楷体" w:cs="楷体"/>
          <w:sz w:val="24"/>
        </w:rPr>
        <w:t>（4）丙方应为乙方提供便捷有效的银行业务服务，并接受甲方委托对乙方在丙方开设的基本结算户资金使用情况进行监督。</w:t>
      </w:r>
    </w:p>
    <w:p>
      <w:pPr>
        <w:spacing w:line="420" w:lineRule="exact"/>
        <w:ind w:firstLine="480" w:firstLineChars="200"/>
        <w:jc w:val="left"/>
        <w:rPr>
          <w:rFonts w:ascii="楷体" w:hAnsi="楷体" w:cs="楷体"/>
          <w:sz w:val="24"/>
        </w:rPr>
      </w:pPr>
      <w:r>
        <w:rPr>
          <w:rFonts w:hint="eastAsia" w:ascii="楷体" w:hAnsi="楷体" w:cs="楷体"/>
          <w:sz w:val="24"/>
        </w:rPr>
        <w:t>2．甲方的权责</w:t>
      </w:r>
    </w:p>
    <w:p>
      <w:pPr>
        <w:spacing w:line="420" w:lineRule="exact"/>
        <w:ind w:firstLine="480" w:firstLineChars="200"/>
        <w:jc w:val="left"/>
        <w:rPr>
          <w:rFonts w:ascii="楷体" w:hAnsi="楷体" w:cs="楷体"/>
          <w:sz w:val="24"/>
        </w:rPr>
      </w:pPr>
      <w:r>
        <w:rPr>
          <w:rFonts w:hint="eastAsia" w:ascii="楷体" w:hAnsi="楷体" w:cs="楷体"/>
          <w:sz w:val="24"/>
        </w:rPr>
        <w:t>（1）按照</w:t>
      </w:r>
      <w:r>
        <w:rPr>
          <w:rFonts w:hint="eastAsia" w:ascii="楷体" w:hAnsi="楷体" w:cs="楷体"/>
          <w:sz w:val="24"/>
          <w:u w:val="single"/>
        </w:rPr>
        <w:tab/>
      </w:r>
      <w:r>
        <w:rPr>
          <w:rFonts w:hint="eastAsia" w:ascii="楷体" w:hAnsi="楷体" w:cs="楷体"/>
          <w:sz w:val="24"/>
          <w:u w:val="single"/>
        </w:rPr>
        <w:t>（项目名称）</w:t>
      </w:r>
      <w:r>
        <w:rPr>
          <w:rFonts w:hint="eastAsia" w:ascii="楷体" w:hAnsi="楷体" w:cs="楷体"/>
          <w:sz w:val="24"/>
        </w:rPr>
        <w:t>合同有关条款的时间和方式，向乙方支付工程款；</w:t>
      </w:r>
    </w:p>
    <w:p>
      <w:pPr>
        <w:spacing w:line="420" w:lineRule="exact"/>
        <w:ind w:firstLine="480" w:firstLineChars="200"/>
        <w:jc w:val="left"/>
        <w:rPr>
          <w:rFonts w:ascii="楷体" w:hAnsi="楷体" w:cs="楷体"/>
          <w:sz w:val="24"/>
        </w:rPr>
      </w:pPr>
      <w:r>
        <w:rPr>
          <w:rFonts w:hint="eastAsia" w:ascii="楷体" w:hAnsi="楷体" w:cs="楷体"/>
          <w:sz w:val="24"/>
        </w:rPr>
        <w:t>（2）在发现乙方将本项目资金挪用、转移时，甲方有权中止工程支付，直至乙方改正为止；</w:t>
      </w:r>
    </w:p>
    <w:p>
      <w:pPr>
        <w:spacing w:line="420" w:lineRule="exact"/>
        <w:ind w:firstLine="480" w:firstLineChars="200"/>
        <w:jc w:val="left"/>
        <w:rPr>
          <w:rFonts w:ascii="楷体" w:hAnsi="楷体" w:cs="楷体"/>
          <w:sz w:val="24"/>
        </w:rPr>
      </w:pPr>
      <w:r>
        <w:rPr>
          <w:rFonts w:hint="eastAsia" w:ascii="楷体" w:hAnsi="楷体" w:cs="楷体"/>
          <w:sz w:val="24"/>
        </w:rPr>
        <w:t>（3）不定期审查丙方对乙方的资金使用监督情况，如丙方不能履行其责任，甲方有权随时终止本协议；</w:t>
      </w:r>
    </w:p>
    <w:p>
      <w:pPr>
        <w:spacing w:line="420" w:lineRule="exact"/>
        <w:ind w:firstLine="480" w:firstLineChars="200"/>
        <w:jc w:val="left"/>
        <w:rPr>
          <w:rFonts w:ascii="楷体" w:hAnsi="楷体" w:cs="楷体"/>
          <w:sz w:val="24"/>
        </w:rPr>
      </w:pPr>
      <w:r>
        <w:rPr>
          <w:rFonts w:hint="eastAsia" w:ascii="楷体" w:hAnsi="楷体" w:cs="楷体"/>
          <w:sz w:val="24"/>
        </w:rPr>
        <w:t>（4）在乙方、丙方发生争议时，甲方应负责协调、解决。</w:t>
      </w:r>
    </w:p>
    <w:p>
      <w:pPr>
        <w:spacing w:line="420" w:lineRule="exact"/>
        <w:ind w:firstLine="480" w:firstLineChars="200"/>
        <w:jc w:val="left"/>
        <w:rPr>
          <w:rFonts w:ascii="楷体" w:hAnsi="楷体" w:cs="楷体"/>
          <w:sz w:val="24"/>
        </w:rPr>
      </w:pPr>
      <w:r>
        <w:rPr>
          <w:rFonts w:hint="eastAsia" w:ascii="楷体" w:hAnsi="楷体" w:cs="楷体"/>
          <w:sz w:val="24"/>
        </w:rPr>
        <w:t>3．乙方的权责</w:t>
      </w:r>
    </w:p>
    <w:p>
      <w:pPr>
        <w:spacing w:line="420" w:lineRule="exact"/>
        <w:ind w:firstLine="480" w:firstLineChars="200"/>
        <w:jc w:val="left"/>
        <w:rPr>
          <w:rFonts w:ascii="楷体" w:hAnsi="楷体" w:cs="楷体"/>
          <w:sz w:val="24"/>
        </w:rPr>
      </w:pPr>
      <w:r>
        <w:rPr>
          <w:rFonts w:hint="eastAsia" w:ascii="楷体" w:hAnsi="楷体" w:cs="楷体"/>
          <w:sz w:val="24"/>
        </w:rPr>
        <w:t>（1）项目经理部成立后，乙方应尽快在丙方开设基本结算户；</w:t>
      </w:r>
    </w:p>
    <w:p>
      <w:pPr>
        <w:spacing w:line="420" w:lineRule="exact"/>
        <w:ind w:firstLine="480" w:firstLineChars="200"/>
        <w:jc w:val="left"/>
        <w:rPr>
          <w:rFonts w:ascii="楷体" w:hAnsi="楷体" w:cs="楷体"/>
          <w:sz w:val="24"/>
        </w:rPr>
      </w:pPr>
      <w:r>
        <w:rPr>
          <w:rFonts w:hint="eastAsia" w:ascii="楷体" w:hAnsi="楷体" w:cs="楷体"/>
          <w:sz w:val="24"/>
        </w:rPr>
        <w:t>（2）确保本项目资金专款专用，不发生挪用、转移资金的现象；保证不通过权益转让、抵押、担保承担债务等任何其他方式使用基本结算户的资金；</w:t>
      </w:r>
    </w:p>
    <w:p>
      <w:pPr>
        <w:spacing w:line="420" w:lineRule="exact"/>
        <w:ind w:firstLine="480" w:firstLineChars="200"/>
        <w:jc w:val="left"/>
        <w:rPr>
          <w:rFonts w:ascii="楷体" w:hAnsi="楷体" w:cs="楷体"/>
          <w:sz w:val="24"/>
        </w:rPr>
      </w:pPr>
      <w:r>
        <w:rPr>
          <w:rFonts w:hint="eastAsia" w:ascii="楷体" w:hAnsi="楷体" w:cs="楷体"/>
          <w:sz w:val="24"/>
        </w:rPr>
        <w:t>（3）办理材料、设备等采购业务金额在</w:t>
      </w:r>
      <w:r>
        <w:rPr>
          <w:rFonts w:hint="eastAsia" w:ascii="楷体" w:hAnsi="楷体" w:cs="楷体"/>
          <w:sz w:val="24"/>
          <w:u w:val="single"/>
        </w:rPr>
        <w:tab/>
      </w:r>
      <w:r>
        <w:rPr>
          <w:rFonts w:hint="eastAsia" w:ascii="楷体" w:hAnsi="楷体" w:cs="楷体"/>
          <w:sz w:val="24"/>
        </w:rPr>
        <w:t>万元以上的，应出示购货合同、协议  和发票；在办理总额超过</w:t>
      </w:r>
      <w:r>
        <w:rPr>
          <w:rFonts w:hint="eastAsia" w:ascii="楷体" w:hAnsi="楷体" w:cs="楷体"/>
          <w:sz w:val="24"/>
          <w:u w:val="single"/>
        </w:rPr>
        <w:tab/>
      </w:r>
      <w:r>
        <w:rPr>
          <w:rFonts w:hint="eastAsia" w:ascii="楷体" w:hAnsi="楷体" w:cs="楷体"/>
          <w:sz w:val="24"/>
        </w:rPr>
        <w:t>万元以上的采购业务时，应将合同、协议和发票复印件送丙方备案；购买应急材料、设备时可先办理支付手续，但事后必须补备有关资料；</w:t>
      </w:r>
    </w:p>
    <w:p>
      <w:pPr>
        <w:spacing w:line="420" w:lineRule="exact"/>
        <w:ind w:firstLine="480" w:firstLineChars="200"/>
        <w:jc w:val="left"/>
        <w:rPr>
          <w:rFonts w:ascii="楷体" w:hAnsi="楷体" w:cs="楷体"/>
          <w:sz w:val="24"/>
        </w:rPr>
      </w:pPr>
      <w:r>
        <w:rPr>
          <w:rFonts w:hint="eastAsia" w:ascii="楷体" w:hAnsi="楷体" w:cs="楷体"/>
          <w:sz w:val="24"/>
        </w:rPr>
        <w:t>（4）用银行转账支票办理支付款项时，必须将转账支票送交丙方，由丙方负责办理支票转付手续；</w:t>
      </w:r>
    </w:p>
    <w:p>
      <w:pPr>
        <w:spacing w:line="420" w:lineRule="exact"/>
        <w:ind w:firstLine="480" w:firstLineChars="200"/>
        <w:jc w:val="left"/>
        <w:rPr>
          <w:rFonts w:ascii="楷体" w:hAnsi="楷体" w:cs="楷体"/>
          <w:sz w:val="24"/>
        </w:rPr>
      </w:pPr>
      <w:r>
        <w:rPr>
          <w:rFonts w:hint="eastAsia" w:ascii="楷体" w:hAnsi="楷体" w:cs="楷体"/>
          <w:sz w:val="24"/>
        </w:rPr>
        <w:t>（5）向分包单位支付工程进度款时，应附甲方批准分包的文件；</w:t>
      </w:r>
    </w:p>
    <w:p>
      <w:pPr>
        <w:spacing w:line="420" w:lineRule="exact"/>
        <w:ind w:firstLine="480" w:firstLineChars="200"/>
        <w:jc w:val="left"/>
        <w:rPr>
          <w:rFonts w:ascii="楷体" w:hAnsi="楷体" w:cs="楷体"/>
          <w:sz w:val="24"/>
        </w:rPr>
      </w:pPr>
      <w:r>
        <w:rPr>
          <w:rFonts w:hint="eastAsia" w:ascii="楷体" w:hAnsi="楷体" w:cs="楷体"/>
          <w:sz w:val="24"/>
        </w:rPr>
        <w:t>（6）向上级单位缴纳管理费、机械设备及周转材料租赁摊销费等款项时，应附上级单位出具的转账通知等有关资料，以确保资金专款专用。</w:t>
      </w:r>
    </w:p>
    <w:p>
      <w:pPr>
        <w:spacing w:line="420" w:lineRule="exact"/>
        <w:ind w:firstLine="480" w:firstLineChars="200"/>
        <w:jc w:val="left"/>
        <w:rPr>
          <w:rFonts w:ascii="楷体" w:hAnsi="楷体" w:cs="楷体"/>
          <w:sz w:val="24"/>
        </w:rPr>
      </w:pPr>
      <w:r>
        <w:rPr>
          <w:rFonts w:hint="eastAsia" w:ascii="楷体" w:hAnsi="楷体" w:cs="楷体"/>
          <w:sz w:val="24"/>
        </w:rPr>
        <w:t>4．丙方的权责</w:t>
      </w:r>
    </w:p>
    <w:p>
      <w:pPr>
        <w:spacing w:line="420" w:lineRule="exact"/>
        <w:ind w:firstLine="480" w:firstLineChars="200"/>
        <w:jc w:val="left"/>
        <w:rPr>
          <w:rFonts w:ascii="楷体" w:hAnsi="楷体" w:cs="楷体"/>
          <w:sz w:val="24"/>
        </w:rPr>
      </w:pPr>
      <w:r>
        <w:rPr>
          <w:rFonts w:hint="eastAsia" w:ascii="楷体" w:hAnsi="楷体" w:cs="楷体"/>
          <w:sz w:val="24"/>
        </w:rPr>
        <w:t xml:space="preserve">（1）成立 </w:t>
      </w:r>
      <w:r>
        <w:rPr>
          <w:rFonts w:hint="eastAsia" w:ascii="楷体" w:hAnsi="楷体" w:cs="楷体"/>
          <w:sz w:val="24"/>
          <w:u w:val="single"/>
        </w:rPr>
        <w:tab/>
      </w:r>
      <w:r>
        <w:rPr>
          <w:rFonts w:hint="eastAsia" w:ascii="楷体" w:hAnsi="楷体" w:cs="楷体"/>
          <w:sz w:val="24"/>
          <w:u w:val="single"/>
        </w:rPr>
        <w:t>（项目名称）</w:t>
      </w:r>
      <w:r>
        <w:rPr>
          <w:rFonts w:hint="eastAsia" w:ascii="楷体" w:hAnsi="楷体" w:cs="楷体"/>
          <w:sz w:val="24"/>
        </w:rPr>
        <w:t>工程资金管理服务小组，明确业务流程，提高工作效率，杜绝“压票”现象；</w:t>
      </w:r>
    </w:p>
    <w:p>
      <w:pPr>
        <w:spacing w:line="420" w:lineRule="exact"/>
        <w:ind w:firstLine="480" w:firstLineChars="200"/>
        <w:jc w:val="left"/>
        <w:rPr>
          <w:rFonts w:ascii="楷体" w:hAnsi="楷体" w:cs="楷体"/>
          <w:sz w:val="24"/>
        </w:rPr>
      </w:pPr>
      <w:r>
        <w:rPr>
          <w:rFonts w:hint="eastAsia" w:ascii="楷体" w:hAnsi="楷体" w:cs="楷体"/>
          <w:sz w:val="24"/>
        </w:rPr>
        <w:t>（2）根据乙方提供的购货合同、协议和发票，检查其所购材料、设备是否用于</w:t>
      </w:r>
      <w:r>
        <w:rPr>
          <w:rFonts w:hint="eastAsia" w:ascii="楷体" w:hAnsi="楷体" w:cs="楷体"/>
          <w:sz w:val="24"/>
          <w:u w:val="single"/>
        </w:rPr>
        <w:t>（项目名称）</w:t>
      </w:r>
      <w:r>
        <w:rPr>
          <w:rFonts w:hint="eastAsia" w:ascii="楷体" w:hAnsi="楷体" w:cs="楷体"/>
          <w:sz w:val="24"/>
        </w:rPr>
        <w:t>工程建设，对本标段以外的购货款项，有权拒绝办理，并及时报告甲方；</w:t>
      </w:r>
    </w:p>
    <w:p>
      <w:pPr>
        <w:spacing w:line="420" w:lineRule="exact"/>
        <w:ind w:firstLine="480" w:firstLineChars="200"/>
        <w:jc w:val="left"/>
        <w:rPr>
          <w:rFonts w:ascii="楷体" w:hAnsi="楷体" w:cs="楷体"/>
          <w:sz w:val="24"/>
        </w:rPr>
      </w:pPr>
      <w:r>
        <w:rPr>
          <w:rFonts w:hint="eastAsia" w:ascii="楷体" w:hAnsi="楷体" w:cs="楷体"/>
          <w:sz w:val="24"/>
        </w:rPr>
        <w:t>（3）根据乙方与分包单位签订的合同及支付文件，检查其支付款项是否符合有关条件，向分包单位以外单位的支付有权拒绝办理，并及时报告甲方；</w:t>
      </w:r>
    </w:p>
    <w:p>
      <w:pPr>
        <w:spacing w:line="420" w:lineRule="exact"/>
        <w:ind w:firstLine="480" w:firstLineChars="200"/>
        <w:jc w:val="left"/>
        <w:rPr>
          <w:rFonts w:ascii="楷体" w:hAnsi="楷体" w:cs="楷体"/>
          <w:sz w:val="24"/>
        </w:rPr>
      </w:pPr>
      <w:r>
        <w:rPr>
          <w:rFonts w:hint="eastAsia" w:ascii="楷体" w:hAnsi="楷体" w:cs="楷体"/>
          <w:sz w:val="24"/>
        </w:rPr>
        <w:t>（4）根据乙方提供的上级单位出具的转账通知等有关资料，办理管理费、机械设备及周转材料租赁摊销费等款项的支付；对超出转账通知等有关资料以外的支付，有权   拒绝办理，并及时报告甲方；</w:t>
      </w:r>
    </w:p>
    <w:p>
      <w:pPr>
        <w:spacing w:line="420" w:lineRule="exact"/>
        <w:ind w:firstLine="480" w:firstLineChars="200"/>
        <w:jc w:val="left"/>
        <w:rPr>
          <w:rFonts w:ascii="楷体" w:hAnsi="楷体" w:cs="楷体"/>
          <w:sz w:val="24"/>
        </w:rPr>
      </w:pPr>
      <w:r>
        <w:rPr>
          <w:rFonts w:hint="eastAsia" w:ascii="楷体" w:hAnsi="楷体" w:cs="楷体"/>
          <w:sz w:val="24"/>
        </w:rPr>
        <w:t>（5）定期将乙方前一个周期的支付情况，整理后书面报送甲方；乙方复印备案的材料一并送甲方。</w:t>
      </w:r>
    </w:p>
    <w:p>
      <w:pPr>
        <w:spacing w:line="420" w:lineRule="exact"/>
        <w:ind w:firstLine="480" w:firstLineChars="200"/>
        <w:jc w:val="left"/>
        <w:rPr>
          <w:rFonts w:ascii="楷体" w:hAnsi="楷体" w:cs="楷体"/>
          <w:sz w:val="24"/>
        </w:rPr>
      </w:pPr>
      <w:r>
        <w:rPr>
          <w:rFonts w:hint="eastAsia" w:ascii="楷体" w:hAnsi="楷体" w:cs="楷体"/>
          <w:sz w:val="24"/>
        </w:rPr>
        <w:t>5．甲、乙、丙三方都应履行保密责任，不得将其他两方的业务情况透露给三方以外的其他单位或个人。</w:t>
      </w:r>
    </w:p>
    <w:p>
      <w:pPr>
        <w:spacing w:line="420" w:lineRule="exact"/>
        <w:ind w:firstLine="480" w:firstLineChars="200"/>
        <w:jc w:val="left"/>
        <w:rPr>
          <w:rFonts w:ascii="楷体" w:hAnsi="楷体" w:cs="楷体"/>
          <w:sz w:val="24"/>
        </w:rPr>
      </w:pPr>
      <w:r>
        <w:rPr>
          <w:rFonts w:hint="eastAsia" w:ascii="楷体" w:hAnsi="楷体" w:cs="楷体"/>
          <w:sz w:val="24"/>
        </w:rPr>
        <w:t>6．有效期自乙方在丙方开户起，至工程交工验收甲方向乙方颁发交工验收证书后结束。</w:t>
      </w:r>
    </w:p>
    <w:p>
      <w:pPr>
        <w:spacing w:line="420" w:lineRule="exact"/>
        <w:ind w:firstLine="480" w:firstLineChars="200"/>
        <w:jc w:val="left"/>
        <w:rPr>
          <w:rFonts w:ascii="楷体" w:hAnsi="楷体" w:cs="楷体"/>
          <w:sz w:val="24"/>
        </w:rPr>
      </w:pPr>
      <w:r>
        <w:rPr>
          <w:rFonts w:hint="eastAsia" w:ascii="楷体" w:hAnsi="楷体" w:cs="楷体"/>
          <w:sz w:val="24"/>
        </w:rPr>
        <w:t>7．本协议未尽事宜，由甲方牵头，三方协商解决。</w:t>
      </w:r>
    </w:p>
    <w:p>
      <w:pPr>
        <w:spacing w:line="420" w:lineRule="exact"/>
        <w:ind w:firstLine="480" w:firstLineChars="200"/>
        <w:jc w:val="left"/>
        <w:rPr>
          <w:rFonts w:ascii="楷体" w:hAnsi="楷体" w:cs="楷体"/>
          <w:sz w:val="24"/>
        </w:rPr>
      </w:pPr>
      <w:r>
        <w:rPr>
          <w:rFonts w:hint="eastAsia" w:ascii="楷体" w:hAnsi="楷体" w:cs="楷体"/>
          <w:sz w:val="24"/>
        </w:rPr>
        <w:t>8．本协议正本三份、副本份。合同三方各执正本一份、副本份，当正本与副本的内容不一致时，以正本为准。</w:t>
      </w:r>
    </w:p>
    <w:p>
      <w:pPr>
        <w:spacing w:line="420" w:lineRule="exact"/>
        <w:jc w:val="left"/>
        <w:rPr>
          <w:rFonts w:ascii="楷体" w:hAnsi="楷体" w:cs="楷体"/>
          <w:sz w:val="24"/>
        </w:rPr>
      </w:pPr>
    </w:p>
    <w:p>
      <w:pPr>
        <w:spacing w:line="420" w:lineRule="exact"/>
        <w:jc w:val="left"/>
        <w:rPr>
          <w:rFonts w:ascii="楷体" w:hAnsi="楷体" w:cs="楷体"/>
          <w:sz w:val="24"/>
          <w:u w:val="single"/>
        </w:rPr>
      </w:pPr>
      <w:r>
        <w:rPr>
          <w:rFonts w:hint="eastAsia" w:ascii="楷体" w:hAnsi="楷体" w:cs="楷体"/>
          <w:sz w:val="24"/>
        </w:rPr>
        <w:t>发包人：</w:t>
      </w:r>
      <w:r>
        <w:rPr>
          <w:rFonts w:hint="eastAsia" w:ascii="楷体" w:hAnsi="楷体" w:cs="楷体"/>
          <w:sz w:val="24"/>
          <w:u w:val="single"/>
        </w:rPr>
        <w:tab/>
      </w:r>
      <w:r>
        <w:rPr>
          <w:rFonts w:hint="eastAsia" w:ascii="楷体" w:hAnsi="楷体" w:cs="楷体"/>
          <w:sz w:val="24"/>
          <w:u w:val="single"/>
        </w:rPr>
        <w:t>（盖单位章）</w:t>
      </w:r>
      <w:r>
        <w:rPr>
          <w:rFonts w:hint="eastAsia" w:ascii="楷体" w:hAnsi="楷体" w:cs="楷体"/>
          <w:sz w:val="24"/>
          <w:u w:val="single"/>
        </w:rPr>
        <w:tab/>
      </w:r>
      <w:r>
        <w:rPr>
          <w:rFonts w:hint="eastAsia" w:ascii="楷体" w:hAnsi="楷体" w:cs="楷体"/>
          <w:sz w:val="24"/>
        </w:rPr>
        <w:t xml:space="preserve">         承包人：</w:t>
      </w:r>
      <w:r>
        <w:rPr>
          <w:rFonts w:hint="eastAsia" w:ascii="楷体" w:hAnsi="楷体" w:cs="楷体"/>
          <w:sz w:val="24"/>
          <w:u w:val="single"/>
        </w:rPr>
        <w:tab/>
      </w:r>
      <w:r>
        <w:rPr>
          <w:rFonts w:hint="eastAsia" w:ascii="楷体" w:hAnsi="楷体" w:cs="楷体"/>
          <w:sz w:val="24"/>
          <w:u w:val="single"/>
        </w:rPr>
        <w:t xml:space="preserve">（盖单位章） </w:t>
      </w:r>
    </w:p>
    <w:p>
      <w:pPr>
        <w:spacing w:line="420" w:lineRule="exact"/>
        <w:jc w:val="left"/>
        <w:rPr>
          <w:rFonts w:ascii="楷体" w:hAnsi="楷体" w:cs="楷体"/>
          <w:sz w:val="24"/>
        </w:rPr>
      </w:pPr>
      <w:r>
        <w:rPr>
          <w:rFonts w:hint="eastAsia" w:ascii="楷体" w:hAnsi="楷体" w:cs="楷体"/>
          <w:sz w:val="24"/>
        </w:rPr>
        <w:t>法定代表人或其委托代理人：</w:t>
      </w:r>
      <w:r>
        <w:rPr>
          <w:rFonts w:hint="eastAsia" w:ascii="楷体" w:hAnsi="楷体" w:cs="楷体"/>
          <w:sz w:val="24"/>
          <w:u w:val="single"/>
        </w:rPr>
        <w:tab/>
      </w:r>
      <w:r>
        <w:rPr>
          <w:rFonts w:hint="eastAsia" w:ascii="楷体" w:hAnsi="楷体" w:cs="楷体"/>
          <w:sz w:val="24"/>
          <w:u w:val="single"/>
        </w:rPr>
        <w:t>（签字）</w:t>
      </w:r>
      <w:r>
        <w:rPr>
          <w:rFonts w:hint="eastAsia" w:ascii="楷体" w:hAnsi="楷体" w:cs="楷体"/>
          <w:sz w:val="24"/>
        </w:rPr>
        <w:tab/>
      </w:r>
      <w:r>
        <w:rPr>
          <w:rFonts w:hint="eastAsia" w:ascii="楷体" w:hAnsi="楷体" w:cs="楷体"/>
          <w:sz w:val="24"/>
        </w:rPr>
        <w:t>法定代表人或其委托代理人：</w:t>
      </w:r>
      <w:r>
        <w:rPr>
          <w:rFonts w:hint="eastAsia" w:ascii="楷体" w:hAnsi="楷体" w:cs="楷体"/>
          <w:sz w:val="24"/>
          <w:u w:val="single"/>
        </w:rPr>
        <w:tab/>
      </w:r>
      <w:r>
        <w:rPr>
          <w:rFonts w:hint="eastAsia" w:ascii="楷体" w:hAnsi="楷体" w:cs="楷体"/>
          <w:sz w:val="24"/>
          <w:u w:val="single"/>
        </w:rPr>
        <w:t>（签字）</w:t>
      </w:r>
    </w:p>
    <w:p>
      <w:pPr>
        <w:spacing w:line="420" w:lineRule="exact"/>
        <w:ind w:firstLine="480" w:firstLineChars="200"/>
        <w:jc w:val="left"/>
        <w:rPr>
          <w:rFonts w:ascii="楷体" w:hAnsi="楷体" w:cs="楷体"/>
          <w:sz w:val="24"/>
        </w:rPr>
      </w:pPr>
      <w:r>
        <w:rPr>
          <w:rFonts w:hint="eastAsia" w:ascii="楷体" w:hAnsi="楷体" w:cs="楷体"/>
          <w:sz w:val="24"/>
        </w:rPr>
        <w:tab/>
      </w:r>
      <w:r>
        <w:rPr>
          <w:rFonts w:hint="eastAsia" w:ascii="楷体" w:hAnsi="楷体" w:cs="楷体"/>
          <w:sz w:val="24"/>
        </w:rPr>
        <w:t xml:space="preserve">        年 </w:t>
      </w:r>
      <w:r>
        <w:rPr>
          <w:rFonts w:hint="eastAsia" w:ascii="楷体" w:hAnsi="楷体" w:cs="楷体"/>
          <w:sz w:val="24"/>
        </w:rPr>
        <w:tab/>
      </w:r>
      <w:r>
        <w:rPr>
          <w:rFonts w:hint="eastAsia" w:ascii="楷体" w:hAnsi="楷体" w:cs="楷体"/>
          <w:sz w:val="24"/>
        </w:rPr>
        <w:t xml:space="preserve">月  </w:t>
      </w:r>
      <w:r>
        <w:rPr>
          <w:rFonts w:hint="eastAsia" w:ascii="楷体" w:hAnsi="楷体" w:cs="楷体"/>
          <w:sz w:val="24"/>
        </w:rPr>
        <w:tab/>
      </w:r>
      <w:r>
        <w:rPr>
          <w:rFonts w:hint="eastAsia" w:ascii="楷体" w:hAnsi="楷体" w:cs="楷体"/>
          <w:sz w:val="24"/>
        </w:rPr>
        <w:t>日</w:t>
      </w:r>
      <w:r>
        <w:rPr>
          <w:rFonts w:hint="eastAsia" w:ascii="楷体" w:hAnsi="楷体" w:cs="楷体"/>
          <w:sz w:val="24"/>
        </w:rPr>
        <w:tab/>
      </w:r>
      <w:r>
        <w:rPr>
          <w:rFonts w:hint="eastAsia" w:ascii="楷体" w:hAnsi="楷体" w:cs="楷体"/>
          <w:sz w:val="24"/>
        </w:rPr>
        <w:tab/>
      </w:r>
      <w:r>
        <w:rPr>
          <w:rFonts w:hint="eastAsia" w:ascii="楷体" w:hAnsi="楷体" w:cs="楷体"/>
          <w:sz w:val="24"/>
        </w:rPr>
        <w:t xml:space="preserve">年 </w:t>
      </w:r>
      <w:r>
        <w:rPr>
          <w:rFonts w:hint="eastAsia" w:ascii="楷体" w:hAnsi="楷体" w:cs="楷体"/>
          <w:sz w:val="24"/>
        </w:rPr>
        <w:tab/>
      </w:r>
      <w:r>
        <w:rPr>
          <w:rFonts w:hint="eastAsia" w:ascii="楷体" w:hAnsi="楷体" w:cs="楷体"/>
          <w:sz w:val="24"/>
        </w:rPr>
        <w:t xml:space="preserve">月 </w:t>
      </w:r>
      <w:r>
        <w:rPr>
          <w:rFonts w:hint="eastAsia" w:ascii="楷体" w:hAnsi="楷体" w:cs="楷体"/>
          <w:sz w:val="24"/>
        </w:rPr>
        <w:tab/>
      </w:r>
      <w:r>
        <w:rPr>
          <w:rFonts w:hint="eastAsia" w:ascii="楷体" w:hAnsi="楷体" w:cs="楷体"/>
          <w:sz w:val="24"/>
        </w:rPr>
        <w:t>日</w:t>
      </w:r>
    </w:p>
    <w:p>
      <w:pPr>
        <w:spacing w:line="420" w:lineRule="exact"/>
        <w:jc w:val="left"/>
        <w:rPr>
          <w:rFonts w:ascii="楷体" w:hAnsi="楷体" w:cs="楷体"/>
          <w:sz w:val="24"/>
        </w:rPr>
      </w:pPr>
      <w:r>
        <w:rPr>
          <w:rFonts w:hint="eastAsia" w:ascii="楷体" w:hAnsi="楷体" w:cs="楷体"/>
          <w:sz w:val="24"/>
        </w:rPr>
        <w:t>经办银行：</w:t>
      </w:r>
      <w:r>
        <w:rPr>
          <w:rFonts w:hint="eastAsia" w:ascii="楷体" w:hAnsi="楷体" w:cs="楷体"/>
          <w:sz w:val="24"/>
          <w:u w:val="single"/>
        </w:rPr>
        <w:tab/>
      </w:r>
      <w:r>
        <w:rPr>
          <w:rFonts w:hint="eastAsia" w:ascii="楷体" w:hAnsi="楷体" w:cs="楷体"/>
          <w:sz w:val="24"/>
          <w:u w:val="single"/>
        </w:rPr>
        <w:t>（盖单位章）</w:t>
      </w:r>
      <w:r>
        <w:rPr>
          <w:rFonts w:hint="eastAsia" w:ascii="楷体" w:hAnsi="楷体" w:cs="楷体"/>
          <w:sz w:val="24"/>
          <w:u w:val="single"/>
        </w:rPr>
        <w:tab/>
      </w:r>
      <w:r>
        <w:rPr>
          <w:rFonts w:hint="eastAsia" w:ascii="楷体" w:hAnsi="楷体" w:cs="楷体"/>
          <w:sz w:val="24"/>
        </w:rPr>
        <w:tab/>
      </w:r>
      <w:r>
        <w:rPr>
          <w:rFonts w:hint="eastAsia" w:ascii="楷体" w:hAnsi="楷体" w:cs="楷体"/>
          <w:sz w:val="24"/>
        </w:rPr>
        <w:t>法定代表人或其委托代理人：</w:t>
      </w:r>
      <w:r>
        <w:rPr>
          <w:rFonts w:hint="eastAsia" w:ascii="楷体" w:hAnsi="楷体" w:cs="楷体"/>
          <w:sz w:val="24"/>
          <w:u w:val="single"/>
        </w:rPr>
        <w:tab/>
      </w:r>
      <w:r>
        <w:rPr>
          <w:rFonts w:hint="eastAsia" w:ascii="楷体" w:hAnsi="楷体" w:cs="楷体"/>
          <w:sz w:val="24"/>
          <w:u w:val="single"/>
        </w:rPr>
        <w:t xml:space="preserve">（签字）   </w:t>
      </w:r>
    </w:p>
    <w:p>
      <w:pPr>
        <w:spacing w:line="420" w:lineRule="exact"/>
        <w:ind w:firstLine="480" w:firstLineChars="200"/>
        <w:jc w:val="left"/>
        <w:rPr>
          <w:rFonts w:ascii="楷体" w:hAnsi="楷体" w:cs="楷体"/>
          <w:sz w:val="24"/>
        </w:rPr>
      </w:pPr>
      <w:r>
        <w:rPr>
          <w:rFonts w:hint="eastAsia" w:ascii="楷体" w:hAnsi="楷体" w:cs="楷体"/>
          <w:sz w:val="24"/>
        </w:rPr>
        <w:tab/>
      </w:r>
      <w:r>
        <w:rPr>
          <w:rFonts w:hint="eastAsia" w:ascii="楷体" w:hAnsi="楷体" w:cs="楷体"/>
          <w:sz w:val="24"/>
        </w:rPr>
        <w:t xml:space="preserve">  年 </w:t>
      </w:r>
      <w:r>
        <w:rPr>
          <w:rFonts w:hint="eastAsia" w:ascii="楷体" w:hAnsi="楷体" w:cs="楷体"/>
          <w:sz w:val="24"/>
        </w:rPr>
        <w:tab/>
      </w:r>
      <w:r>
        <w:rPr>
          <w:rFonts w:hint="eastAsia" w:ascii="楷体" w:hAnsi="楷体" w:cs="楷体"/>
          <w:sz w:val="24"/>
        </w:rPr>
        <w:t xml:space="preserve">月 </w:t>
      </w:r>
      <w:r>
        <w:rPr>
          <w:rFonts w:hint="eastAsia" w:ascii="楷体" w:hAnsi="楷体" w:cs="楷体"/>
          <w:sz w:val="24"/>
        </w:rPr>
        <w:tab/>
      </w:r>
      <w:r>
        <w:rPr>
          <w:rFonts w:hint="eastAsia" w:ascii="楷体" w:hAnsi="楷体" w:cs="楷体"/>
          <w:sz w:val="24"/>
        </w:rPr>
        <w:t xml:space="preserve"> 日</w:t>
      </w:r>
    </w:p>
    <w:p>
      <w:pPr>
        <w:pStyle w:val="6"/>
        <w:spacing w:before="0" w:after="0" w:line="360" w:lineRule="auto"/>
        <w:rPr>
          <w:rFonts w:ascii="黑体" w:eastAsia="黑体"/>
          <w:bCs w:val="0"/>
          <w:sz w:val="28"/>
          <w:szCs w:val="28"/>
        </w:rPr>
      </w:pPr>
      <w:bookmarkStart w:id="6482" w:name="_Toc10550"/>
      <w:bookmarkStart w:id="6483" w:name="_Toc18075"/>
      <w:bookmarkStart w:id="6484" w:name="_Toc212"/>
      <w:bookmarkStart w:id="6485" w:name="_Toc18827"/>
      <w:bookmarkStart w:id="6486" w:name="_Toc9326"/>
      <w:bookmarkStart w:id="6487" w:name="_Toc3495"/>
      <w:bookmarkStart w:id="6488" w:name="_Toc551"/>
      <w:bookmarkStart w:id="6489" w:name="_Toc1983"/>
      <w:bookmarkStart w:id="6490" w:name="_Toc16572"/>
      <w:bookmarkStart w:id="6491" w:name="_Toc2504"/>
      <w:bookmarkStart w:id="6492" w:name="_Toc14267"/>
      <w:bookmarkStart w:id="6493" w:name="_Toc26559"/>
      <w:bookmarkStart w:id="6494" w:name="_Toc5391"/>
      <w:bookmarkStart w:id="6495" w:name="_Toc1577"/>
      <w:bookmarkStart w:id="6496" w:name="_Toc20958"/>
      <w:bookmarkStart w:id="6497" w:name="_Toc27190"/>
      <w:bookmarkStart w:id="6498" w:name="_Toc28106"/>
      <w:bookmarkStart w:id="6499" w:name="_Toc5581"/>
      <w:r>
        <w:rPr>
          <w:rFonts w:hint="eastAsia" w:ascii="黑体" w:eastAsia="黑体"/>
          <w:bCs w:val="0"/>
          <w:sz w:val="28"/>
          <w:szCs w:val="28"/>
        </w:rPr>
        <w:t>附件十一  农民工劳动合同格式</w:t>
      </w:r>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p>
    <w:p>
      <w:pPr>
        <w:spacing w:line="440" w:lineRule="exact"/>
        <w:ind w:right="84"/>
        <w:jc w:val="center"/>
        <w:rPr>
          <w:rFonts w:ascii="隶书" w:eastAsia="隶书"/>
          <w:sz w:val="44"/>
          <w:szCs w:val="44"/>
        </w:rPr>
      </w:pPr>
    </w:p>
    <w:p>
      <w:pPr>
        <w:spacing w:line="440" w:lineRule="exact"/>
        <w:ind w:right="84"/>
        <w:jc w:val="center"/>
        <w:rPr>
          <w:rFonts w:ascii="黑体" w:eastAsia="黑体"/>
          <w:sz w:val="44"/>
          <w:szCs w:val="44"/>
        </w:rPr>
      </w:pPr>
      <w:r>
        <w:rPr>
          <w:rFonts w:hint="eastAsia" w:ascii="黑体" w:eastAsia="黑体"/>
          <w:sz w:val="44"/>
          <w:szCs w:val="44"/>
        </w:rPr>
        <w:t>浙江省交通建设领域企业农民工劳动合同</w:t>
      </w:r>
    </w:p>
    <w:p>
      <w:pPr>
        <w:spacing w:line="440" w:lineRule="exact"/>
        <w:ind w:right="564" w:firstLine="6752" w:firstLineChars="2402"/>
        <w:rPr>
          <w:rFonts w:ascii="仿宋_GB2312"/>
          <w:b/>
          <w:sz w:val="28"/>
          <w:szCs w:val="28"/>
        </w:rPr>
      </w:pPr>
    </w:p>
    <w:p>
      <w:pPr>
        <w:spacing w:line="440" w:lineRule="exact"/>
        <w:ind w:right="564" w:firstLine="6604" w:firstLineChars="2752"/>
        <w:rPr>
          <w:rFonts w:eastAsia="楷体_GB2312"/>
          <w:sz w:val="24"/>
          <w:u w:val="single"/>
        </w:rPr>
      </w:pPr>
      <w:r>
        <w:rPr>
          <w:rFonts w:hint="eastAsia" w:eastAsia="楷体_GB2312"/>
          <w:sz w:val="24"/>
        </w:rPr>
        <w:t>合同编号：</w:t>
      </w:r>
    </w:p>
    <w:p>
      <w:pPr>
        <w:spacing w:line="440" w:lineRule="exact"/>
        <w:ind w:right="84"/>
        <w:rPr>
          <w:sz w:val="24"/>
        </w:rPr>
      </w:pPr>
    </w:p>
    <w:p>
      <w:pPr>
        <w:spacing w:line="420" w:lineRule="exact"/>
        <w:ind w:right="84"/>
        <w:rPr>
          <w:rFonts w:ascii="楷体" w:hAnsi="楷体" w:cs="楷体"/>
          <w:sz w:val="24"/>
          <w:u w:val="single"/>
        </w:rPr>
      </w:pPr>
      <w:r>
        <w:rPr>
          <w:rFonts w:hint="eastAsia" w:ascii="楷体" w:hAnsi="楷体" w:cs="楷体"/>
          <w:sz w:val="24"/>
        </w:rPr>
        <w:t>甲方（用人单位）全称：</w:t>
      </w:r>
    </w:p>
    <w:p>
      <w:pPr>
        <w:tabs>
          <w:tab w:val="left" w:pos="510"/>
        </w:tabs>
        <w:spacing w:line="420" w:lineRule="exact"/>
        <w:ind w:right="84" w:firstLine="480" w:firstLineChars="200"/>
        <w:jc w:val="left"/>
        <w:rPr>
          <w:rFonts w:ascii="楷体" w:hAnsi="楷体" w:cs="楷体"/>
          <w:sz w:val="24"/>
          <w:u w:val="single"/>
        </w:rPr>
      </w:pPr>
      <w:r>
        <w:rPr>
          <w:rFonts w:hint="eastAsia" w:ascii="楷体" w:hAnsi="楷体" w:cs="楷体"/>
          <w:sz w:val="24"/>
        </w:rPr>
        <w:t>法定代表人：，单位地址：</w:t>
      </w:r>
    </w:p>
    <w:p>
      <w:pPr>
        <w:tabs>
          <w:tab w:val="left" w:pos="510"/>
        </w:tabs>
        <w:spacing w:line="420" w:lineRule="exact"/>
        <w:ind w:right="84" w:firstLine="480" w:firstLineChars="200"/>
        <w:jc w:val="left"/>
        <w:rPr>
          <w:rFonts w:ascii="楷体" w:hAnsi="楷体" w:cs="楷体"/>
          <w:sz w:val="24"/>
        </w:rPr>
      </w:pPr>
      <w:r>
        <w:rPr>
          <w:rFonts w:hint="eastAsia" w:ascii="楷体" w:hAnsi="楷体" w:cs="楷体"/>
          <w:sz w:val="24"/>
        </w:rPr>
        <w:t>委托代理人：，本市（县、区）办公地址：</w:t>
      </w:r>
    </w:p>
    <w:p>
      <w:pPr>
        <w:tabs>
          <w:tab w:val="left" w:pos="510"/>
        </w:tabs>
        <w:spacing w:line="420" w:lineRule="exact"/>
        <w:ind w:right="84"/>
        <w:jc w:val="left"/>
        <w:rPr>
          <w:rFonts w:ascii="楷体" w:hAnsi="楷体" w:cs="楷体"/>
          <w:sz w:val="24"/>
        </w:rPr>
      </w:pPr>
      <w:r>
        <w:rPr>
          <w:rFonts w:hint="eastAsia" w:ascii="楷体" w:hAnsi="楷体" w:cs="楷体"/>
          <w:sz w:val="24"/>
        </w:rPr>
        <w:t>乙方（劳动者）姓名：，居民身份证号码：</w:t>
      </w:r>
    </w:p>
    <w:p>
      <w:pPr>
        <w:tabs>
          <w:tab w:val="left" w:pos="510"/>
        </w:tabs>
        <w:spacing w:line="420" w:lineRule="exact"/>
        <w:ind w:right="84" w:firstLine="480" w:firstLineChars="200"/>
        <w:jc w:val="left"/>
        <w:rPr>
          <w:rFonts w:ascii="楷体" w:hAnsi="楷体" w:cs="楷体"/>
          <w:sz w:val="24"/>
        </w:rPr>
      </w:pPr>
      <w:r>
        <w:rPr>
          <w:rFonts w:hint="eastAsia" w:ascii="楷体" w:hAnsi="楷体" w:cs="楷体"/>
          <w:sz w:val="24"/>
        </w:rPr>
        <w:t>户籍所在地：省（自治区、市）市县（区）乡（镇）村（街）本市（县、区）住址：</w:t>
      </w:r>
    </w:p>
    <w:p>
      <w:pPr>
        <w:pStyle w:val="14"/>
        <w:adjustRightInd w:val="0"/>
        <w:snapToGrid w:val="0"/>
        <w:spacing w:line="420" w:lineRule="exact"/>
        <w:ind w:left="0" w:leftChars="0" w:firstLine="456" w:firstLineChars="200"/>
        <w:rPr>
          <w:rFonts w:ascii="楷体" w:hAnsi="楷体" w:cs="楷体"/>
          <w:sz w:val="24"/>
        </w:rPr>
      </w:pPr>
      <w:r>
        <w:rPr>
          <w:rFonts w:hint="eastAsia" w:ascii="楷体" w:hAnsi="楷体" w:cs="楷体"/>
          <w:sz w:val="24"/>
        </w:rPr>
        <w:t>根据《中华人民共和国劳动法》、《浙江省劳动合同办法》等有关规定，甲乙双方在平等自愿的基础上，经协商一致订立本合同。</w:t>
      </w:r>
    </w:p>
    <w:p>
      <w:pPr>
        <w:tabs>
          <w:tab w:val="left" w:pos="510"/>
        </w:tabs>
        <w:adjustRightInd w:val="0"/>
        <w:snapToGrid w:val="0"/>
        <w:spacing w:line="420" w:lineRule="exact"/>
        <w:ind w:right="84" w:firstLine="480"/>
        <w:rPr>
          <w:rFonts w:ascii="楷体" w:hAnsi="楷体" w:cs="楷体"/>
          <w:sz w:val="24"/>
        </w:rPr>
      </w:pPr>
      <w:r>
        <w:rPr>
          <w:rFonts w:hint="eastAsia" w:ascii="楷体" w:hAnsi="楷体" w:cs="楷体"/>
          <w:sz w:val="24"/>
        </w:rPr>
        <w:t>一、合同期限</w:t>
      </w:r>
    </w:p>
    <w:p>
      <w:pPr>
        <w:tabs>
          <w:tab w:val="left" w:pos="510"/>
        </w:tabs>
        <w:adjustRightInd w:val="0"/>
        <w:snapToGrid w:val="0"/>
        <w:spacing w:line="420" w:lineRule="exact"/>
        <w:ind w:right="84" w:firstLine="482"/>
        <w:jc w:val="left"/>
        <w:rPr>
          <w:rFonts w:ascii="楷体" w:hAnsi="楷体" w:cs="楷体"/>
          <w:sz w:val="24"/>
        </w:rPr>
      </w:pPr>
      <w:r>
        <w:rPr>
          <w:rFonts w:hint="eastAsia" w:ascii="楷体" w:hAnsi="楷体" w:cs="楷体"/>
          <w:b/>
          <w:sz w:val="24"/>
        </w:rPr>
        <w:t>第一条</w:t>
      </w:r>
      <w:r>
        <w:rPr>
          <w:rFonts w:hint="eastAsia" w:ascii="楷体" w:hAnsi="楷体" w:cs="楷体"/>
          <w:sz w:val="24"/>
        </w:rPr>
        <w:t xml:space="preserve"> 本合同期限为（从下列A、B中选择）：</w:t>
      </w:r>
    </w:p>
    <w:p>
      <w:pPr>
        <w:tabs>
          <w:tab w:val="left" w:pos="-105"/>
        </w:tabs>
        <w:adjustRightInd w:val="0"/>
        <w:snapToGrid w:val="0"/>
        <w:spacing w:line="420" w:lineRule="exact"/>
        <w:ind w:firstLine="480" w:firstLineChars="200"/>
        <w:rPr>
          <w:rFonts w:ascii="楷体" w:hAnsi="楷体" w:cs="楷体"/>
          <w:sz w:val="24"/>
        </w:rPr>
      </w:pPr>
      <w:r>
        <w:rPr>
          <w:rFonts w:hint="eastAsia" w:ascii="楷体" w:hAnsi="楷体" w:cs="楷体"/>
          <w:sz w:val="24"/>
        </w:rPr>
        <w:t>A．有固定期限的劳动合同。合同期自年月日起，至年月日止；</w:t>
      </w:r>
    </w:p>
    <w:p>
      <w:pPr>
        <w:tabs>
          <w:tab w:val="left" w:pos="0"/>
        </w:tabs>
        <w:adjustRightInd w:val="0"/>
        <w:snapToGrid w:val="0"/>
        <w:spacing w:line="420" w:lineRule="exact"/>
        <w:ind w:firstLine="480" w:firstLineChars="200"/>
        <w:jc w:val="left"/>
        <w:rPr>
          <w:rFonts w:ascii="楷体" w:hAnsi="楷体" w:cs="楷体"/>
          <w:sz w:val="24"/>
          <w:u w:val="single"/>
        </w:rPr>
      </w:pPr>
      <w:r>
        <w:rPr>
          <w:rFonts w:hint="eastAsia" w:ascii="楷体" w:hAnsi="楷体" w:cs="楷体"/>
          <w:sz w:val="24"/>
        </w:rPr>
        <w:t>B．以完成一定的工作为期限的劳动合同。双方的具体约定为：</w:t>
      </w:r>
    </w:p>
    <w:p>
      <w:pPr>
        <w:tabs>
          <w:tab w:val="left" w:pos="0"/>
        </w:tabs>
        <w:adjustRightInd w:val="0"/>
        <w:snapToGrid w:val="0"/>
        <w:spacing w:line="420" w:lineRule="exact"/>
        <w:ind w:firstLine="480" w:firstLineChars="200"/>
        <w:jc w:val="left"/>
        <w:rPr>
          <w:rFonts w:ascii="楷体" w:hAnsi="楷体" w:cs="楷体"/>
          <w:sz w:val="24"/>
          <w:u w:val="single"/>
        </w:rPr>
      </w:pPr>
    </w:p>
    <w:p>
      <w:pPr>
        <w:tabs>
          <w:tab w:val="left" w:pos="0"/>
        </w:tabs>
        <w:adjustRightInd w:val="0"/>
        <w:snapToGrid w:val="0"/>
        <w:spacing w:line="420" w:lineRule="exact"/>
        <w:ind w:right="84" w:firstLine="480"/>
        <w:jc w:val="left"/>
        <w:rPr>
          <w:rFonts w:ascii="楷体" w:hAnsi="楷体" w:cs="楷体"/>
          <w:sz w:val="24"/>
        </w:rPr>
      </w:pPr>
      <w:r>
        <w:rPr>
          <w:rFonts w:hint="eastAsia" w:ascii="楷体" w:hAnsi="楷体" w:cs="楷体"/>
          <w:b/>
          <w:sz w:val="24"/>
        </w:rPr>
        <w:t>第二条</w:t>
      </w:r>
      <w:r>
        <w:rPr>
          <w:rFonts w:hint="eastAsia" w:ascii="楷体" w:hAnsi="楷体" w:cs="楷体"/>
          <w:sz w:val="24"/>
        </w:rPr>
        <w:t xml:space="preserve"> 试用期约定为（从下列A、B中选择）：</w:t>
      </w:r>
    </w:p>
    <w:p>
      <w:pPr>
        <w:tabs>
          <w:tab w:val="left" w:pos="510"/>
        </w:tabs>
        <w:adjustRightInd w:val="0"/>
        <w:snapToGrid w:val="0"/>
        <w:spacing w:line="420" w:lineRule="exact"/>
        <w:ind w:firstLine="480" w:firstLineChars="200"/>
        <w:jc w:val="left"/>
        <w:rPr>
          <w:rFonts w:ascii="楷体" w:hAnsi="楷体" w:cs="楷体"/>
          <w:sz w:val="24"/>
        </w:rPr>
      </w:pPr>
      <w:r>
        <w:rPr>
          <w:rFonts w:hint="eastAsia" w:ascii="楷体" w:hAnsi="楷体" w:cs="楷体"/>
          <w:sz w:val="24"/>
        </w:rPr>
        <w:t>A．无试用期；</w:t>
      </w:r>
    </w:p>
    <w:p>
      <w:pPr>
        <w:tabs>
          <w:tab w:val="left" w:pos="510"/>
        </w:tabs>
        <w:adjustRightInd w:val="0"/>
        <w:snapToGrid w:val="0"/>
        <w:spacing w:line="420" w:lineRule="exact"/>
        <w:ind w:firstLine="480" w:firstLineChars="200"/>
        <w:jc w:val="left"/>
        <w:rPr>
          <w:rFonts w:ascii="楷体" w:hAnsi="楷体" w:cs="楷体"/>
          <w:sz w:val="24"/>
        </w:rPr>
      </w:pPr>
      <w:r>
        <w:rPr>
          <w:rFonts w:hint="eastAsia" w:ascii="楷体" w:hAnsi="楷体" w:cs="楷体"/>
          <w:sz w:val="24"/>
        </w:rPr>
        <w:t>B．试用期自年月日起，至年月日止。</w:t>
      </w:r>
    </w:p>
    <w:p>
      <w:pPr>
        <w:tabs>
          <w:tab w:val="left" w:pos="510"/>
        </w:tabs>
        <w:adjustRightInd w:val="0"/>
        <w:snapToGrid w:val="0"/>
        <w:spacing w:line="420" w:lineRule="exact"/>
        <w:ind w:right="84" w:firstLine="480"/>
        <w:jc w:val="left"/>
        <w:rPr>
          <w:rFonts w:ascii="楷体" w:hAnsi="楷体" w:cs="楷体"/>
          <w:sz w:val="24"/>
        </w:rPr>
      </w:pPr>
      <w:r>
        <w:rPr>
          <w:rFonts w:hint="eastAsia" w:ascii="楷体" w:hAnsi="楷体" w:cs="楷体"/>
          <w:sz w:val="24"/>
        </w:rPr>
        <w:t>二、劳动岗位和工作内容</w:t>
      </w:r>
    </w:p>
    <w:p>
      <w:pPr>
        <w:tabs>
          <w:tab w:val="left" w:pos="510"/>
        </w:tabs>
        <w:adjustRightInd w:val="0"/>
        <w:snapToGrid w:val="0"/>
        <w:spacing w:line="420" w:lineRule="exact"/>
        <w:ind w:right="84" w:firstLine="482"/>
        <w:jc w:val="left"/>
        <w:rPr>
          <w:rFonts w:ascii="楷体" w:hAnsi="楷体" w:cs="楷体"/>
          <w:sz w:val="24"/>
        </w:rPr>
      </w:pPr>
      <w:r>
        <w:rPr>
          <w:rFonts w:hint="eastAsia" w:ascii="楷体" w:hAnsi="楷体" w:cs="楷体"/>
          <w:b/>
          <w:sz w:val="24"/>
        </w:rPr>
        <w:t>第三条</w:t>
      </w:r>
      <w:r>
        <w:rPr>
          <w:rFonts w:hint="eastAsia" w:ascii="楷体" w:hAnsi="楷体" w:cs="楷体"/>
          <w:sz w:val="24"/>
        </w:rPr>
        <w:t xml:space="preserve">  甲方安排乙方从事工种（岗位）。根据生产经营的需要，在乙方能够胜任的前提下，甲方可以合理变更乙方的工作岗位和任务。乙方应完成甲方合理分配的生产任务。</w:t>
      </w:r>
    </w:p>
    <w:p>
      <w:pPr>
        <w:tabs>
          <w:tab w:val="left" w:pos="510"/>
        </w:tabs>
        <w:adjustRightInd w:val="0"/>
        <w:snapToGrid w:val="0"/>
        <w:spacing w:line="420" w:lineRule="exact"/>
        <w:ind w:right="84" w:firstLine="480"/>
        <w:jc w:val="left"/>
        <w:rPr>
          <w:rFonts w:ascii="楷体" w:hAnsi="楷体" w:cs="楷体"/>
          <w:sz w:val="24"/>
        </w:rPr>
      </w:pPr>
      <w:r>
        <w:rPr>
          <w:rFonts w:hint="eastAsia" w:ascii="楷体" w:hAnsi="楷体" w:cs="楷体"/>
          <w:sz w:val="24"/>
        </w:rPr>
        <w:t>三、劳动报酬</w:t>
      </w:r>
    </w:p>
    <w:p>
      <w:pPr>
        <w:tabs>
          <w:tab w:val="left" w:pos="510"/>
        </w:tabs>
        <w:adjustRightInd w:val="0"/>
        <w:snapToGrid w:val="0"/>
        <w:spacing w:line="420" w:lineRule="exact"/>
        <w:ind w:right="84" w:firstLine="482"/>
        <w:jc w:val="left"/>
        <w:rPr>
          <w:rFonts w:ascii="楷体" w:hAnsi="楷体" w:cs="楷体"/>
          <w:sz w:val="24"/>
        </w:rPr>
      </w:pPr>
      <w:r>
        <w:rPr>
          <w:rFonts w:hint="eastAsia" w:ascii="楷体" w:hAnsi="楷体" w:cs="楷体"/>
          <w:b/>
          <w:sz w:val="24"/>
        </w:rPr>
        <w:t xml:space="preserve">第四条 </w:t>
      </w:r>
      <w:r>
        <w:rPr>
          <w:rFonts w:hint="eastAsia" w:ascii="楷体" w:hAnsi="楷体" w:cs="楷体"/>
          <w:sz w:val="24"/>
        </w:rPr>
        <w:t xml:space="preserve"> 甲方根据国家有关规定和乙方工作岗位，确定乙方工资标准为（从下列A、B、C中选择；无论采用何种标准，每月工资总额均不得低于项目所在地政府规定的最低工资标准）：</w:t>
      </w:r>
    </w:p>
    <w:p>
      <w:pPr>
        <w:tabs>
          <w:tab w:val="left" w:pos="510"/>
        </w:tabs>
        <w:adjustRightInd w:val="0"/>
        <w:snapToGrid w:val="0"/>
        <w:spacing w:line="420" w:lineRule="exact"/>
        <w:ind w:firstLine="480" w:firstLineChars="200"/>
        <w:jc w:val="left"/>
        <w:rPr>
          <w:rFonts w:ascii="楷体" w:hAnsi="楷体" w:cs="楷体"/>
          <w:sz w:val="24"/>
        </w:rPr>
      </w:pPr>
      <w:r>
        <w:rPr>
          <w:rFonts w:hint="eastAsia" w:ascii="楷体" w:hAnsi="楷体" w:cs="楷体"/>
          <w:sz w:val="24"/>
        </w:rPr>
        <w:t>A．按月工资标准计算劳动报酬，每月工资为¥元（人民币大写：）；</w:t>
      </w:r>
    </w:p>
    <w:p>
      <w:pPr>
        <w:tabs>
          <w:tab w:val="left" w:pos="510"/>
        </w:tabs>
        <w:adjustRightInd w:val="0"/>
        <w:snapToGrid w:val="0"/>
        <w:spacing w:line="420" w:lineRule="exact"/>
        <w:ind w:firstLine="480" w:firstLineChars="200"/>
        <w:jc w:val="left"/>
        <w:rPr>
          <w:rFonts w:ascii="楷体" w:hAnsi="楷体" w:cs="楷体"/>
          <w:sz w:val="24"/>
        </w:rPr>
      </w:pPr>
      <w:r>
        <w:rPr>
          <w:rFonts w:hint="eastAsia" w:ascii="楷体" w:hAnsi="楷体" w:cs="楷体"/>
          <w:sz w:val="24"/>
        </w:rPr>
        <w:t>B．按工日工资标准（1工日＝8小时）、根据乙方实际工作时间计算劳动报酬，每工日工资为¥元（人民币大写：）；</w:t>
      </w:r>
    </w:p>
    <w:p>
      <w:pPr>
        <w:tabs>
          <w:tab w:val="left" w:pos="510"/>
        </w:tabs>
        <w:adjustRightInd w:val="0"/>
        <w:snapToGrid w:val="0"/>
        <w:spacing w:line="420" w:lineRule="exact"/>
        <w:ind w:firstLine="480" w:firstLineChars="200"/>
        <w:jc w:val="left"/>
        <w:rPr>
          <w:rFonts w:ascii="楷体" w:hAnsi="楷体" w:cs="楷体"/>
          <w:sz w:val="24"/>
        </w:rPr>
      </w:pPr>
      <w:r>
        <w:rPr>
          <w:rFonts w:hint="eastAsia" w:ascii="楷体" w:hAnsi="楷体" w:cs="楷体"/>
          <w:sz w:val="24"/>
        </w:rPr>
        <w:t>C．根据乙方完成工作量计算劳动报酬，具体标准为：</w:t>
      </w:r>
    </w:p>
    <w:p>
      <w:pPr>
        <w:tabs>
          <w:tab w:val="left" w:pos="510"/>
        </w:tabs>
        <w:adjustRightInd w:val="0"/>
        <w:snapToGrid w:val="0"/>
        <w:spacing w:line="420" w:lineRule="exact"/>
        <w:ind w:firstLine="480" w:firstLineChars="200"/>
        <w:jc w:val="left"/>
        <w:rPr>
          <w:rFonts w:ascii="楷体" w:hAnsi="楷体" w:cs="楷体"/>
          <w:sz w:val="24"/>
          <w:u w:val="single"/>
        </w:rPr>
      </w:pPr>
    </w:p>
    <w:p>
      <w:pPr>
        <w:tabs>
          <w:tab w:val="left" w:pos="510"/>
        </w:tabs>
        <w:adjustRightInd w:val="0"/>
        <w:snapToGrid w:val="0"/>
        <w:spacing w:line="420" w:lineRule="exact"/>
        <w:ind w:firstLine="482" w:firstLineChars="200"/>
        <w:jc w:val="left"/>
        <w:rPr>
          <w:rFonts w:ascii="楷体" w:hAnsi="楷体" w:cs="楷体"/>
          <w:sz w:val="24"/>
        </w:rPr>
      </w:pPr>
      <w:r>
        <w:rPr>
          <w:rFonts w:hint="eastAsia" w:ascii="楷体" w:hAnsi="楷体" w:cs="楷体"/>
          <w:b/>
          <w:sz w:val="24"/>
        </w:rPr>
        <w:t xml:space="preserve">第五条 </w:t>
      </w:r>
      <w:r>
        <w:rPr>
          <w:rFonts w:hint="eastAsia" w:ascii="楷体" w:hAnsi="楷体" w:cs="楷体"/>
          <w:sz w:val="24"/>
        </w:rPr>
        <w:t xml:space="preserve"> 甲方应按本合同附件样式制作记工考勤卡，交乙方保管，作为计算工资的原始凭证。甲方应指定专人作为记工员，对乙方每天工作内容、工作时间（工作量）等在记工考勤卡上予以记录；甲方项目部应当每月对记工考勤卡上的记录进行审核、确认。</w:t>
      </w:r>
    </w:p>
    <w:p>
      <w:pPr>
        <w:tabs>
          <w:tab w:val="left" w:pos="510"/>
        </w:tabs>
        <w:adjustRightInd w:val="0"/>
        <w:snapToGrid w:val="0"/>
        <w:spacing w:line="420" w:lineRule="exact"/>
        <w:ind w:firstLine="482" w:firstLineChars="200"/>
        <w:jc w:val="left"/>
        <w:rPr>
          <w:rFonts w:ascii="楷体" w:hAnsi="楷体" w:cs="楷体"/>
          <w:sz w:val="24"/>
        </w:rPr>
      </w:pPr>
      <w:r>
        <w:rPr>
          <w:rFonts w:hint="eastAsia" w:ascii="楷体" w:hAnsi="楷体" w:cs="楷体"/>
          <w:b/>
          <w:sz w:val="24"/>
        </w:rPr>
        <w:t>第六条</w:t>
      </w:r>
      <w:r>
        <w:rPr>
          <w:rFonts w:hint="eastAsia" w:ascii="楷体" w:hAnsi="楷体" w:cs="楷体"/>
          <w:sz w:val="24"/>
        </w:rPr>
        <w:t xml:space="preserve">  对于乙方非因本人原因而全天不能工作的，甲方按每天¥元（人民币大写：）的标准计算误工费，列入当月工资支付给乙方。</w:t>
      </w:r>
    </w:p>
    <w:p>
      <w:pPr>
        <w:tabs>
          <w:tab w:val="left" w:pos="510"/>
        </w:tabs>
        <w:adjustRightInd w:val="0"/>
        <w:snapToGrid w:val="0"/>
        <w:spacing w:line="420" w:lineRule="exact"/>
        <w:ind w:firstLine="482" w:firstLineChars="200"/>
        <w:jc w:val="left"/>
        <w:rPr>
          <w:rFonts w:ascii="楷体" w:hAnsi="楷体" w:cs="楷体"/>
          <w:sz w:val="24"/>
        </w:rPr>
      </w:pPr>
      <w:r>
        <w:rPr>
          <w:rFonts w:hint="eastAsia" w:ascii="楷体" w:hAnsi="楷体" w:cs="楷体"/>
          <w:b/>
          <w:sz w:val="24"/>
        </w:rPr>
        <w:t>第七条</w:t>
      </w:r>
      <w:r>
        <w:rPr>
          <w:rFonts w:hint="eastAsia" w:ascii="楷体" w:hAnsi="楷体" w:cs="楷体"/>
          <w:sz w:val="24"/>
        </w:rPr>
        <w:t xml:space="preserve">  工资按月支付，具体支付、结算方式为（从下列A、B中选择；无论采用何种支付、结算方式，每月支付额均不得低于项目所在地政府规定的最低工资标准）：</w:t>
      </w:r>
    </w:p>
    <w:p>
      <w:pPr>
        <w:tabs>
          <w:tab w:val="left" w:pos="510"/>
        </w:tabs>
        <w:adjustRightInd w:val="0"/>
        <w:snapToGrid w:val="0"/>
        <w:spacing w:line="420" w:lineRule="exact"/>
        <w:ind w:firstLine="480" w:firstLineChars="200"/>
        <w:jc w:val="left"/>
        <w:rPr>
          <w:rFonts w:ascii="楷体" w:hAnsi="楷体" w:cs="楷体"/>
          <w:sz w:val="24"/>
        </w:rPr>
      </w:pPr>
      <w:r>
        <w:rPr>
          <w:rFonts w:hint="eastAsia" w:ascii="楷体" w:hAnsi="楷体" w:cs="楷体"/>
          <w:sz w:val="24"/>
        </w:rPr>
        <w:t>A．每月日前结算付清上月工资；</w:t>
      </w:r>
    </w:p>
    <w:p>
      <w:pPr>
        <w:tabs>
          <w:tab w:val="left" w:pos="510"/>
        </w:tabs>
        <w:adjustRightInd w:val="0"/>
        <w:snapToGrid w:val="0"/>
        <w:spacing w:line="420" w:lineRule="exact"/>
        <w:ind w:firstLine="480" w:firstLineChars="200"/>
        <w:jc w:val="left"/>
        <w:rPr>
          <w:rFonts w:ascii="楷体" w:hAnsi="楷体" w:cs="楷体"/>
          <w:sz w:val="24"/>
          <w:u w:val="single"/>
        </w:rPr>
      </w:pPr>
      <w:r>
        <w:rPr>
          <w:rFonts w:hint="eastAsia" w:ascii="楷体" w:hAnsi="楷体" w:cs="楷体"/>
          <w:sz w:val="24"/>
        </w:rPr>
        <w:t>B．每月日前支付¥元（人民币大写：），余款按如下约定结算支付：</w:t>
      </w:r>
    </w:p>
    <w:p>
      <w:pPr>
        <w:tabs>
          <w:tab w:val="left" w:pos="510"/>
        </w:tabs>
        <w:adjustRightInd w:val="0"/>
        <w:snapToGrid w:val="0"/>
        <w:spacing w:line="420" w:lineRule="exact"/>
        <w:ind w:firstLine="482" w:firstLineChars="200"/>
        <w:jc w:val="left"/>
        <w:rPr>
          <w:rFonts w:ascii="楷体" w:hAnsi="楷体" w:cs="楷体"/>
          <w:sz w:val="24"/>
        </w:rPr>
      </w:pPr>
      <w:r>
        <w:rPr>
          <w:rFonts w:hint="eastAsia" w:ascii="楷体" w:hAnsi="楷体" w:cs="楷体"/>
          <w:b/>
          <w:sz w:val="24"/>
        </w:rPr>
        <w:t xml:space="preserve">第八条 </w:t>
      </w:r>
      <w:r>
        <w:rPr>
          <w:rFonts w:hint="eastAsia" w:ascii="楷体" w:hAnsi="楷体" w:cs="楷体"/>
          <w:sz w:val="24"/>
        </w:rPr>
        <w:t xml:space="preserve"> 工资发放方式为（从下列A、B中选择）：</w:t>
      </w:r>
    </w:p>
    <w:p>
      <w:pPr>
        <w:tabs>
          <w:tab w:val="left" w:pos="510"/>
        </w:tabs>
        <w:adjustRightInd w:val="0"/>
        <w:snapToGrid w:val="0"/>
        <w:spacing w:line="420" w:lineRule="exact"/>
        <w:ind w:firstLine="480" w:firstLineChars="200"/>
        <w:jc w:val="left"/>
        <w:rPr>
          <w:rFonts w:ascii="楷体" w:hAnsi="楷体" w:cs="楷体"/>
          <w:sz w:val="24"/>
        </w:rPr>
      </w:pPr>
      <w:r>
        <w:rPr>
          <w:rFonts w:hint="eastAsia" w:ascii="楷体" w:hAnsi="楷体" w:cs="楷体"/>
          <w:sz w:val="24"/>
        </w:rPr>
        <w:t>A．银行代发：甲方为乙方在银行开立工资结算账户，工资发放均通过此账户进行；</w:t>
      </w:r>
    </w:p>
    <w:p>
      <w:pPr>
        <w:tabs>
          <w:tab w:val="left" w:pos="510"/>
        </w:tabs>
        <w:adjustRightInd w:val="0"/>
        <w:snapToGrid w:val="0"/>
        <w:spacing w:line="420" w:lineRule="exact"/>
        <w:ind w:firstLine="480" w:firstLineChars="200"/>
        <w:jc w:val="left"/>
        <w:rPr>
          <w:rFonts w:ascii="楷体" w:hAnsi="楷体" w:cs="楷体"/>
          <w:sz w:val="24"/>
        </w:rPr>
      </w:pPr>
      <w:r>
        <w:rPr>
          <w:rFonts w:hint="eastAsia" w:ascii="楷体" w:hAnsi="楷体" w:cs="楷体"/>
          <w:sz w:val="24"/>
        </w:rPr>
        <w:t>B．现金发放：甲方直接向乙方发放现金，乙方本人凭身份证原件领取并签名确认。</w:t>
      </w:r>
    </w:p>
    <w:p>
      <w:pPr>
        <w:spacing w:line="420" w:lineRule="exact"/>
        <w:ind w:firstLine="480" w:firstLineChars="200"/>
        <w:rPr>
          <w:rFonts w:ascii="楷体" w:hAnsi="楷体" w:cs="楷体"/>
          <w:sz w:val="24"/>
        </w:rPr>
      </w:pPr>
      <w:r>
        <w:rPr>
          <w:rFonts w:hint="eastAsia" w:ascii="楷体" w:hAnsi="楷体" w:cs="楷体"/>
          <w:sz w:val="24"/>
        </w:rPr>
        <w:t>四、工作时间</w:t>
      </w:r>
    </w:p>
    <w:p>
      <w:pPr>
        <w:tabs>
          <w:tab w:val="left" w:pos="510"/>
        </w:tabs>
        <w:adjustRightInd w:val="0"/>
        <w:snapToGrid w:val="0"/>
        <w:spacing w:line="420" w:lineRule="exact"/>
        <w:ind w:firstLine="482" w:firstLineChars="200"/>
        <w:jc w:val="left"/>
        <w:rPr>
          <w:rFonts w:ascii="楷体" w:hAnsi="楷体" w:cs="楷体"/>
          <w:sz w:val="24"/>
        </w:rPr>
      </w:pPr>
      <w:r>
        <w:rPr>
          <w:rFonts w:hint="eastAsia" w:ascii="楷体" w:hAnsi="楷体" w:cs="楷体"/>
          <w:b/>
          <w:sz w:val="24"/>
        </w:rPr>
        <w:t xml:space="preserve">第九条 </w:t>
      </w:r>
      <w:r>
        <w:rPr>
          <w:rFonts w:hint="eastAsia" w:ascii="楷体" w:hAnsi="楷体" w:cs="楷体"/>
          <w:sz w:val="24"/>
        </w:rPr>
        <w:t xml:space="preserve"> 工作时间为（从下列A、B中选择）：</w:t>
      </w:r>
    </w:p>
    <w:p>
      <w:pPr>
        <w:tabs>
          <w:tab w:val="left" w:pos="510"/>
        </w:tabs>
        <w:adjustRightInd w:val="0"/>
        <w:snapToGrid w:val="0"/>
        <w:spacing w:line="420" w:lineRule="exact"/>
        <w:ind w:firstLine="480" w:firstLineChars="200"/>
        <w:jc w:val="left"/>
        <w:rPr>
          <w:rFonts w:ascii="楷体" w:hAnsi="楷体" w:cs="楷体"/>
          <w:sz w:val="24"/>
        </w:rPr>
      </w:pPr>
      <w:r>
        <w:rPr>
          <w:rFonts w:hint="eastAsia" w:ascii="楷体" w:hAnsi="楷体" w:cs="楷体"/>
          <w:sz w:val="24"/>
        </w:rPr>
        <w:t>A．实行标准工时制。乙方每天工作8小时，每周工作40小时，休息2天。</w:t>
      </w:r>
    </w:p>
    <w:p>
      <w:pPr>
        <w:tabs>
          <w:tab w:val="left" w:pos="510"/>
        </w:tabs>
        <w:adjustRightInd w:val="0"/>
        <w:snapToGrid w:val="0"/>
        <w:spacing w:line="420" w:lineRule="exact"/>
        <w:ind w:firstLine="480" w:firstLineChars="200"/>
        <w:jc w:val="left"/>
        <w:rPr>
          <w:rFonts w:ascii="楷体" w:hAnsi="楷体" w:cs="楷体"/>
          <w:sz w:val="24"/>
        </w:rPr>
      </w:pPr>
      <w:r>
        <w:rPr>
          <w:rFonts w:hint="eastAsia" w:ascii="楷体" w:hAnsi="楷体" w:cs="楷体"/>
          <w:sz w:val="24"/>
        </w:rPr>
        <w:t>B．甲方根据企业生产特点实行不定时工作制或综合计算工时工作制等其它工作和休息办法，并报劳动部门备案。甲方应按照国家法律、法规和我省有关规定，合理安排乙方的工作和休息时间。</w:t>
      </w:r>
    </w:p>
    <w:p>
      <w:pPr>
        <w:spacing w:line="420" w:lineRule="exact"/>
        <w:ind w:firstLine="480" w:firstLineChars="200"/>
        <w:rPr>
          <w:rFonts w:ascii="楷体" w:hAnsi="楷体" w:cs="楷体"/>
          <w:sz w:val="24"/>
        </w:rPr>
      </w:pPr>
      <w:r>
        <w:rPr>
          <w:rFonts w:hint="eastAsia" w:ascii="楷体" w:hAnsi="楷体" w:cs="楷体"/>
          <w:sz w:val="24"/>
        </w:rPr>
        <w:t>五、社会保险和福利待遇</w:t>
      </w:r>
    </w:p>
    <w:p>
      <w:pPr>
        <w:tabs>
          <w:tab w:val="left" w:pos="510"/>
        </w:tabs>
        <w:adjustRightInd w:val="0"/>
        <w:snapToGrid w:val="0"/>
        <w:spacing w:line="420" w:lineRule="exact"/>
        <w:ind w:firstLine="482" w:firstLineChars="200"/>
        <w:jc w:val="left"/>
        <w:rPr>
          <w:rFonts w:ascii="楷体" w:hAnsi="楷体" w:cs="楷体"/>
          <w:b/>
          <w:sz w:val="24"/>
          <w:u w:val="single"/>
        </w:rPr>
      </w:pPr>
      <w:r>
        <w:rPr>
          <w:rFonts w:hint="eastAsia" w:ascii="楷体" w:hAnsi="楷体" w:cs="楷体"/>
          <w:b/>
          <w:sz w:val="24"/>
        </w:rPr>
        <w:t xml:space="preserve">第十条  </w:t>
      </w:r>
      <w:r>
        <w:rPr>
          <w:rFonts w:hint="eastAsia" w:ascii="楷体" w:hAnsi="楷体" w:cs="楷体"/>
          <w:sz w:val="24"/>
        </w:rPr>
        <w:t>甲方依法参加工伤社会保险，按规定缴纳工伤保险费。其它保险和福利待遇按国家和我省有关规定以及双方约定执行，具体如下：</w:t>
      </w:r>
    </w:p>
    <w:p>
      <w:pPr>
        <w:spacing w:line="420" w:lineRule="exact"/>
        <w:ind w:firstLine="480" w:firstLineChars="200"/>
        <w:rPr>
          <w:rFonts w:ascii="楷体" w:hAnsi="楷体" w:cs="楷体"/>
          <w:sz w:val="24"/>
        </w:rPr>
      </w:pPr>
      <w:r>
        <w:rPr>
          <w:rFonts w:hint="eastAsia" w:ascii="楷体" w:hAnsi="楷体" w:cs="楷体"/>
          <w:sz w:val="24"/>
        </w:rPr>
        <w:t>六、劳动保护</w:t>
      </w:r>
    </w:p>
    <w:p>
      <w:pPr>
        <w:tabs>
          <w:tab w:val="left" w:pos="510"/>
        </w:tabs>
        <w:adjustRightInd w:val="0"/>
        <w:snapToGrid w:val="0"/>
        <w:spacing w:line="420" w:lineRule="exact"/>
        <w:ind w:firstLine="482" w:firstLineChars="200"/>
        <w:jc w:val="left"/>
        <w:rPr>
          <w:rFonts w:ascii="楷体" w:hAnsi="楷体" w:cs="楷体"/>
          <w:sz w:val="24"/>
        </w:rPr>
      </w:pPr>
      <w:r>
        <w:rPr>
          <w:rFonts w:hint="eastAsia" w:ascii="楷体" w:hAnsi="楷体" w:cs="楷体"/>
          <w:b/>
          <w:sz w:val="24"/>
        </w:rPr>
        <w:t xml:space="preserve">第十一条  </w:t>
      </w:r>
      <w:r>
        <w:rPr>
          <w:rFonts w:hint="eastAsia" w:ascii="楷体" w:hAnsi="楷体" w:cs="楷体"/>
          <w:sz w:val="24"/>
        </w:rPr>
        <w:t>甲方应按照国家和行业劳动卫生、安全生产等相关规定，向乙方提供合格的劳动安全卫生条件和必需的劳动工具、劳动保护用品，对从事有职业危害作业的劳动者定期进行健康检查，改善生产、生活条件，保障乙方的安全和健康。</w:t>
      </w:r>
    </w:p>
    <w:p>
      <w:pPr>
        <w:tabs>
          <w:tab w:val="left" w:pos="510"/>
        </w:tabs>
        <w:adjustRightInd w:val="0"/>
        <w:snapToGrid w:val="0"/>
        <w:spacing w:line="420" w:lineRule="exact"/>
        <w:ind w:firstLine="482" w:firstLineChars="200"/>
        <w:jc w:val="left"/>
        <w:rPr>
          <w:rFonts w:ascii="楷体" w:hAnsi="楷体" w:cs="楷体"/>
          <w:sz w:val="24"/>
        </w:rPr>
      </w:pPr>
      <w:r>
        <w:rPr>
          <w:rFonts w:hint="eastAsia" w:ascii="楷体" w:hAnsi="楷体" w:cs="楷体"/>
          <w:b/>
          <w:sz w:val="24"/>
        </w:rPr>
        <w:t>第十二条</w:t>
      </w:r>
      <w:r>
        <w:rPr>
          <w:rFonts w:hint="eastAsia" w:ascii="楷体" w:hAnsi="楷体" w:cs="楷体"/>
          <w:sz w:val="24"/>
        </w:rPr>
        <w:t xml:space="preserve">  甲方应对乙方进行上岗前安全生产教育。乙方从事特种作业的必须经过专门培训并取得特种作业资格后持证上岗。</w:t>
      </w:r>
    </w:p>
    <w:p>
      <w:pPr>
        <w:tabs>
          <w:tab w:val="left" w:pos="510"/>
        </w:tabs>
        <w:adjustRightInd w:val="0"/>
        <w:snapToGrid w:val="0"/>
        <w:spacing w:line="420" w:lineRule="exact"/>
        <w:ind w:firstLine="482" w:firstLineChars="200"/>
        <w:jc w:val="left"/>
        <w:rPr>
          <w:rFonts w:ascii="楷体" w:hAnsi="楷体" w:cs="楷体"/>
          <w:sz w:val="24"/>
        </w:rPr>
      </w:pPr>
      <w:r>
        <w:rPr>
          <w:rFonts w:hint="eastAsia" w:ascii="楷体" w:hAnsi="楷体" w:cs="楷体"/>
          <w:b/>
          <w:sz w:val="24"/>
        </w:rPr>
        <w:t>第十三条</w:t>
      </w:r>
      <w:r>
        <w:rPr>
          <w:rFonts w:hint="eastAsia" w:ascii="楷体" w:hAnsi="楷体" w:cs="楷体"/>
          <w:sz w:val="24"/>
        </w:rPr>
        <w:t xml:space="preserve">  甲方为乙方提供的宿舍、食堂、饮用水、洗浴、公厕等基本生活条件应达到安全、卫生要求。</w:t>
      </w:r>
    </w:p>
    <w:p>
      <w:pPr>
        <w:tabs>
          <w:tab w:val="left" w:pos="510"/>
        </w:tabs>
        <w:adjustRightInd w:val="0"/>
        <w:snapToGrid w:val="0"/>
        <w:spacing w:line="420" w:lineRule="exact"/>
        <w:ind w:firstLine="482" w:firstLineChars="200"/>
        <w:jc w:val="left"/>
        <w:rPr>
          <w:rFonts w:ascii="楷体" w:hAnsi="楷体" w:cs="楷体"/>
          <w:sz w:val="24"/>
        </w:rPr>
      </w:pPr>
      <w:r>
        <w:rPr>
          <w:rFonts w:hint="eastAsia" w:ascii="楷体" w:hAnsi="楷体" w:cs="楷体"/>
          <w:b/>
          <w:sz w:val="24"/>
        </w:rPr>
        <w:t>第十四条</w:t>
      </w:r>
      <w:r>
        <w:rPr>
          <w:rFonts w:hint="eastAsia" w:ascii="楷体" w:hAnsi="楷体" w:cs="楷体"/>
          <w:sz w:val="24"/>
        </w:rPr>
        <w:t xml:space="preserve">  乙方在劳动过程中应严格遵守安全生产、文明施工等制度和各项操作规程，有权拒绝违章指挥和冒险作业，对甲方管理人员漠视职工安全和健康的行为有权进行检举和控告。</w:t>
      </w:r>
    </w:p>
    <w:p>
      <w:pPr>
        <w:spacing w:line="420" w:lineRule="exact"/>
        <w:ind w:firstLine="480" w:firstLineChars="200"/>
        <w:rPr>
          <w:rFonts w:ascii="楷体" w:hAnsi="楷体" w:cs="楷体"/>
          <w:b/>
          <w:sz w:val="24"/>
        </w:rPr>
      </w:pPr>
      <w:r>
        <w:rPr>
          <w:rFonts w:hint="eastAsia" w:ascii="楷体" w:hAnsi="楷体" w:cs="楷体"/>
          <w:sz w:val="24"/>
        </w:rPr>
        <w:t>七、劳动纪律</w:t>
      </w:r>
    </w:p>
    <w:p>
      <w:pPr>
        <w:tabs>
          <w:tab w:val="left" w:pos="510"/>
        </w:tabs>
        <w:adjustRightInd w:val="0"/>
        <w:snapToGrid w:val="0"/>
        <w:spacing w:line="420" w:lineRule="exact"/>
        <w:ind w:firstLine="482" w:firstLineChars="200"/>
        <w:jc w:val="left"/>
        <w:rPr>
          <w:rFonts w:ascii="楷体" w:hAnsi="楷体" w:cs="楷体"/>
          <w:sz w:val="24"/>
        </w:rPr>
      </w:pPr>
      <w:r>
        <w:rPr>
          <w:rFonts w:hint="eastAsia" w:ascii="楷体" w:hAnsi="楷体" w:cs="楷体"/>
          <w:b/>
          <w:sz w:val="24"/>
        </w:rPr>
        <w:t>第十五条</w:t>
      </w:r>
      <w:r>
        <w:rPr>
          <w:rFonts w:hint="eastAsia" w:ascii="楷体" w:hAnsi="楷体" w:cs="楷体"/>
          <w:sz w:val="24"/>
        </w:rPr>
        <w:t xml:space="preserve">  甲方可以依法制定企业规章制度和劳动纪律对乙方实行管理，已经制定的规章制度和劳动纪律应当及时告知乙方。乙方应严格遵守甲方依法制定的各项规章制度和劳动纪律。</w:t>
      </w:r>
    </w:p>
    <w:p>
      <w:pPr>
        <w:spacing w:line="420" w:lineRule="exact"/>
        <w:ind w:firstLine="480" w:firstLineChars="200"/>
        <w:rPr>
          <w:rFonts w:ascii="楷体" w:hAnsi="楷体" w:cs="楷体"/>
          <w:b/>
          <w:sz w:val="24"/>
        </w:rPr>
      </w:pPr>
      <w:r>
        <w:rPr>
          <w:rFonts w:hint="eastAsia" w:ascii="楷体" w:hAnsi="楷体" w:cs="楷体"/>
          <w:sz w:val="24"/>
        </w:rPr>
        <w:t>八、本合同的解除、变更、终止</w:t>
      </w:r>
    </w:p>
    <w:p>
      <w:pPr>
        <w:tabs>
          <w:tab w:val="left" w:pos="510"/>
        </w:tabs>
        <w:adjustRightInd w:val="0"/>
        <w:snapToGrid w:val="0"/>
        <w:spacing w:line="420" w:lineRule="exact"/>
        <w:ind w:firstLine="482" w:firstLineChars="200"/>
        <w:jc w:val="left"/>
        <w:rPr>
          <w:rFonts w:ascii="楷体" w:hAnsi="楷体" w:cs="楷体"/>
          <w:sz w:val="24"/>
        </w:rPr>
      </w:pPr>
      <w:r>
        <w:rPr>
          <w:rFonts w:hint="eastAsia" w:ascii="楷体" w:hAnsi="楷体" w:cs="楷体"/>
          <w:b/>
          <w:sz w:val="24"/>
        </w:rPr>
        <w:t>第十六条</w:t>
      </w:r>
      <w:r>
        <w:rPr>
          <w:rFonts w:hint="eastAsia" w:ascii="楷体" w:hAnsi="楷体" w:cs="楷体"/>
          <w:sz w:val="24"/>
        </w:rPr>
        <w:t xml:space="preserve">  经甲乙双方协商一致，本合同可以变更或解除。</w:t>
      </w:r>
    </w:p>
    <w:p>
      <w:pPr>
        <w:tabs>
          <w:tab w:val="left" w:pos="510"/>
        </w:tabs>
        <w:adjustRightInd w:val="0"/>
        <w:snapToGrid w:val="0"/>
        <w:spacing w:line="420" w:lineRule="exact"/>
        <w:ind w:firstLine="482" w:firstLineChars="200"/>
        <w:jc w:val="left"/>
        <w:rPr>
          <w:rFonts w:ascii="楷体" w:hAnsi="楷体" w:cs="楷体"/>
          <w:sz w:val="24"/>
        </w:rPr>
      </w:pPr>
      <w:r>
        <w:rPr>
          <w:rFonts w:hint="eastAsia" w:ascii="楷体" w:hAnsi="楷体" w:cs="楷体"/>
          <w:b/>
          <w:sz w:val="24"/>
        </w:rPr>
        <w:t xml:space="preserve">第十七条 </w:t>
      </w:r>
      <w:r>
        <w:rPr>
          <w:rFonts w:hint="eastAsia" w:ascii="楷体" w:hAnsi="楷体" w:cs="楷体"/>
          <w:sz w:val="24"/>
        </w:rPr>
        <w:t xml:space="preserve"> 有下列情况之一的，甲方可以随时解除本合同：</w:t>
      </w:r>
    </w:p>
    <w:p>
      <w:pPr>
        <w:tabs>
          <w:tab w:val="left" w:pos="510"/>
        </w:tabs>
        <w:adjustRightInd w:val="0"/>
        <w:snapToGrid w:val="0"/>
        <w:spacing w:line="420" w:lineRule="exact"/>
        <w:ind w:firstLine="480" w:firstLineChars="200"/>
        <w:jc w:val="left"/>
        <w:rPr>
          <w:rFonts w:ascii="楷体" w:hAnsi="楷体" w:cs="楷体"/>
          <w:sz w:val="24"/>
        </w:rPr>
      </w:pPr>
      <w:r>
        <w:rPr>
          <w:rFonts w:hint="eastAsia" w:ascii="楷体" w:hAnsi="楷体" w:cs="楷体"/>
          <w:sz w:val="24"/>
        </w:rPr>
        <w:t>1．乙方在试用期间被证明不符合招用条件的；</w:t>
      </w:r>
    </w:p>
    <w:p>
      <w:pPr>
        <w:tabs>
          <w:tab w:val="left" w:pos="510"/>
        </w:tabs>
        <w:adjustRightInd w:val="0"/>
        <w:snapToGrid w:val="0"/>
        <w:spacing w:line="420" w:lineRule="exact"/>
        <w:ind w:firstLine="480" w:firstLineChars="200"/>
        <w:jc w:val="left"/>
        <w:rPr>
          <w:rFonts w:ascii="楷体" w:hAnsi="楷体" w:cs="楷体"/>
          <w:sz w:val="24"/>
        </w:rPr>
      </w:pPr>
      <w:r>
        <w:rPr>
          <w:rFonts w:hint="eastAsia" w:ascii="楷体" w:hAnsi="楷体" w:cs="楷体"/>
          <w:sz w:val="24"/>
        </w:rPr>
        <w:t>2．乙方提供虚假身份证、资格证、上岗证、劳动关系状况证明的；</w:t>
      </w:r>
    </w:p>
    <w:p>
      <w:pPr>
        <w:tabs>
          <w:tab w:val="left" w:pos="510"/>
        </w:tabs>
        <w:adjustRightInd w:val="0"/>
        <w:snapToGrid w:val="0"/>
        <w:spacing w:line="420" w:lineRule="exact"/>
        <w:ind w:firstLine="480" w:firstLineChars="200"/>
        <w:jc w:val="left"/>
        <w:rPr>
          <w:rFonts w:ascii="楷体" w:hAnsi="楷体" w:cs="楷体"/>
          <w:sz w:val="24"/>
        </w:rPr>
      </w:pPr>
      <w:r>
        <w:rPr>
          <w:rFonts w:hint="eastAsia" w:ascii="楷体" w:hAnsi="楷体" w:cs="楷体"/>
          <w:sz w:val="24"/>
        </w:rPr>
        <w:t>3．乙方严重违反甲方劳动纪律或规章制度的；</w:t>
      </w:r>
    </w:p>
    <w:p>
      <w:pPr>
        <w:tabs>
          <w:tab w:val="left" w:pos="510"/>
        </w:tabs>
        <w:adjustRightInd w:val="0"/>
        <w:snapToGrid w:val="0"/>
        <w:spacing w:line="420" w:lineRule="exact"/>
        <w:ind w:firstLine="480" w:firstLineChars="200"/>
        <w:jc w:val="left"/>
        <w:rPr>
          <w:rFonts w:ascii="楷体" w:hAnsi="楷体" w:cs="楷体"/>
          <w:sz w:val="24"/>
        </w:rPr>
      </w:pPr>
      <w:r>
        <w:rPr>
          <w:rFonts w:hint="eastAsia" w:ascii="楷体" w:hAnsi="楷体" w:cs="楷体"/>
          <w:sz w:val="24"/>
        </w:rPr>
        <w:t>4．乙方有偷窃、打架斗殴、赌博等行为，经教育仍不悔改的；</w:t>
      </w:r>
    </w:p>
    <w:p>
      <w:pPr>
        <w:tabs>
          <w:tab w:val="left" w:pos="510"/>
        </w:tabs>
        <w:adjustRightInd w:val="0"/>
        <w:snapToGrid w:val="0"/>
        <w:spacing w:line="420" w:lineRule="exact"/>
        <w:ind w:firstLine="480" w:firstLineChars="200"/>
        <w:jc w:val="left"/>
        <w:rPr>
          <w:rFonts w:ascii="楷体" w:hAnsi="楷体" w:cs="楷体"/>
          <w:sz w:val="24"/>
        </w:rPr>
      </w:pPr>
      <w:r>
        <w:rPr>
          <w:rFonts w:hint="eastAsia" w:ascii="楷体" w:hAnsi="楷体" w:cs="楷体"/>
          <w:sz w:val="24"/>
        </w:rPr>
        <w:t>5．乙方严重失职、营私舞弊，给甲方利益造成重大损害的；</w:t>
      </w:r>
    </w:p>
    <w:p>
      <w:pPr>
        <w:tabs>
          <w:tab w:val="left" w:pos="510"/>
        </w:tabs>
        <w:adjustRightInd w:val="0"/>
        <w:snapToGrid w:val="0"/>
        <w:spacing w:line="420" w:lineRule="exact"/>
        <w:ind w:firstLine="480" w:firstLineChars="200"/>
        <w:jc w:val="left"/>
        <w:rPr>
          <w:rFonts w:ascii="楷体" w:hAnsi="楷体" w:cs="楷体"/>
          <w:sz w:val="24"/>
        </w:rPr>
      </w:pPr>
      <w:r>
        <w:rPr>
          <w:rFonts w:hint="eastAsia" w:ascii="楷体" w:hAnsi="楷体" w:cs="楷体"/>
          <w:sz w:val="24"/>
        </w:rPr>
        <w:t>6．乙方被依法追究刑事责任的。</w:t>
      </w:r>
    </w:p>
    <w:p>
      <w:pPr>
        <w:tabs>
          <w:tab w:val="left" w:pos="510"/>
        </w:tabs>
        <w:adjustRightInd w:val="0"/>
        <w:snapToGrid w:val="0"/>
        <w:spacing w:line="420" w:lineRule="exact"/>
        <w:ind w:firstLine="482" w:firstLineChars="200"/>
        <w:jc w:val="left"/>
        <w:rPr>
          <w:rFonts w:ascii="楷体" w:hAnsi="楷体" w:cs="楷体"/>
          <w:sz w:val="24"/>
        </w:rPr>
      </w:pPr>
      <w:r>
        <w:rPr>
          <w:rFonts w:hint="eastAsia" w:ascii="楷体" w:hAnsi="楷体" w:cs="楷体"/>
          <w:b/>
          <w:sz w:val="24"/>
        </w:rPr>
        <w:t xml:space="preserve">第十八条  </w:t>
      </w:r>
      <w:r>
        <w:rPr>
          <w:rFonts w:hint="eastAsia" w:ascii="楷体" w:hAnsi="楷体" w:cs="楷体"/>
          <w:sz w:val="24"/>
        </w:rPr>
        <w:t>有下列情况之一的，乙方可以随时通知甲方解除本合同：</w:t>
      </w:r>
    </w:p>
    <w:p>
      <w:pPr>
        <w:tabs>
          <w:tab w:val="left" w:pos="510"/>
        </w:tabs>
        <w:adjustRightInd w:val="0"/>
        <w:snapToGrid w:val="0"/>
        <w:spacing w:line="420" w:lineRule="exact"/>
        <w:ind w:firstLine="480" w:firstLineChars="200"/>
        <w:jc w:val="left"/>
        <w:rPr>
          <w:rFonts w:ascii="楷体" w:hAnsi="楷体" w:cs="楷体"/>
          <w:sz w:val="24"/>
        </w:rPr>
      </w:pPr>
      <w:r>
        <w:rPr>
          <w:rFonts w:hint="eastAsia" w:ascii="楷体" w:hAnsi="楷体" w:cs="楷体"/>
          <w:sz w:val="24"/>
        </w:rPr>
        <w:t>1．在试用期内的；</w:t>
      </w:r>
    </w:p>
    <w:p>
      <w:pPr>
        <w:tabs>
          <w:tab w:val="left" w:pos="510"/>
        </w:tabs>
        <w:adjustRightInd w:val="0"/>
        <w:snapToGrid w:val="0"/>
        <w:spacing w:line="420" w:lineRule="exact"/>
        <w:ind w:firstLine="480" w:firstLineChars="200"/>
        <w:jc w:val="left"/>
        <w:rPr>
          <w:rFonts w:ascii="楷体" w:hAnsi="楷体" w:cs="楷体"/>
          <w:sz w:val="24"/>
        </w:rPr>
      </w:pPr>
      <w:r>
        <w:rPr>
          <w:rFonts w:hint="eastAsia" w:ascii="楷体" w:hAnsi="楷体" w:cs="楷体"/>
          <w:sz w:val="24"/>
        </w:rPr>
        <w:t>2．甲方以暴力、威胁或者非法限制人身自由的手段强迫劳动的；</w:t>
      </w:r>
    </w:p>
    <w:p>
      <w:pPr>
        <w:tabs>
          <w:tab w:val="left" w:pos="510"/>
        </w:tabs>
        <w:adjustRightInd w:val="0"/>
        <w:snapToGrid w:val="0"/>
        <w:spacing w:line="420" w:lineRule="exact"/>
        <w:ind w:firstLine="480" w:firstLineChars="200"/>
        <w:jc w:val="left"/>
        <w:rPr>
          <w:rFonts w:ascii="楷体" w:hAnsi="楷体" w:cs="楷体"/>
          <w:sz w:val="24"/>
        </w:rPr>
      </w:pPr>
      <w:r>
        <w:rPr>
          <w:rFonts w:hint="eastAsia" w:ascii="楷体" w:hAnsi="楷体" w:cs="楷体"/>
          <w:sz w:val="24"/>
        </w:rPr>
        <w:t>3．甲方不能按照劳动合同约定支付劳动报酬的；</w:t>
      </w:r>
    </w:p>
    <w:p>
      <w:pPr>
        <w:tabs>
          <w:tab w:val="left" w:pos="510"/>
        </w:tabs>
        <w:adjustRightInd w:val="0"/>
        <w:snapToGrid w:val="0"/>
        <w:spacing w:line="420" w:lineRule="exact"/>
        <w:ind w:firstLine="480" w:firstLineChars="200"/>
        <w:jc w:val="left"/>
        <w:rPr>
          <w:rFonts w:ascii="楷体" w:hAnsi="楷体" w:cs="楷体"/>
          <w:sz w:val="24"/>
        </w:rPr>
      </w:pPr>
      <w:r>
        <w:rPr>
          <w:rFonts w:hint="eastAsia" w:ascii="楷体" w:hAnsi="楷体" w:cs="楷体"/>
          <w:sz w:val="24"/>
        </w:rPr>
        <w:t>4．甲方不能按照国家规定和本合同约定确保劳动条件的。</w:t>
      </w:r>
    </w:p>
    <w:p>
      <w:pPr>
        <w:pStyle w:val="10"/>
        <w:adjustRightInd w:val="0"/>
        <w:snapToGrid w:val="0"/>
        <w:spacing w:after="0" w:line="420" w:lineRule="exact"/>
        <w:ind w:left="0" w:leftChars="0" w:firstLine="482" w:firstLineChars="200"/>
        <w:rPr>
          <w:rFonts w:ascii="楷体" w:hAnsi="楷体" w:cs="楷体"/>
          <w:sz w:val="24"/>
        </w:rPr>
      </w:pPr>
      <w:r>
        <w:rPr>
          <w:rFonts w:hint="eastAsia" w:ascii="楷体" w:hAnsi="楷体" w:cs="楷体"/>
          <w:b/>
          <w:sz w:val="24"/>
        </w:rPr>
        <w:t>第十九条</w:t>
      </w:r>
      <w:r>
        <w:rPr>
          <w:rFonts w:hint="eastAsia" w:ascii="楷体" w:hAnsi="楷体" w:cs="楷体"/>
          <w:sz w:val="24"/>
        </w:rPr>
        <w:t xml:space="preserve">  有下列情况之一的，劳动合同终止：</w:t>
      </w:r>
    </w:p>
    <w:p>
      <w:pPr>
        <w:pStyle w:val="10"/>
        <w:adjustRightInd w:val="0"/>
        <w:snapToGrid w:val="0"/>
        <w:spacing w:after="0" w:line="420" w:lineRule="exact"/>
        <w:ind w:left="0" w:leftChars="0" w:firstLine="480" w:firstLineChars="200"/>
        <w:rPr>
          <w:rFonts w:ascii="楷体" w:hAnsi="楷体" w:cs="楷体"/>
          <w:sz w:val="24"/>
        </w:rPr>
      </w:pPr>
      <w:r>
        <w:rPr>
          <w:rFonts w:hint="eastAsia" w:ascii="楷体" w:hAnsi="楷体" w:cs="楷体"/>
          <w:sz w:val="24"/>
        </w:rPr>
        <w:t>1．固定期限的劳动合同，合同期满甲乙双方任何一方不再续订的；</w:t>
      </w:r>
    </w:p>
    <w:p>
      <w:pPr>
        <w:pStyle w:val="10"/>
        <w:adjustRightInd w:val="0"/>
        <w:snapToGrid w:val="0"/>
        <w:spacing w:after="0" w:line="420" w:lineRule="exact"/>
        <w:ind w:left="0" w:leftChars="0" w:firstLine="480" w:firstLineChars="200"/>
        <w:rPr>
          <w:rFonts w:ascii="楷体" w:hAnsi="楷体" w:cs="楷体"/>
          <w:sz w:val="24"/>
        </w:rPr>
      </w:pPr>
      <w:r>
        <w:rPr>
          <w:rFonts w:hint="eastAsia" w:ascii="楷体" w:hAnsi="楷体" w:cs="楷体"/>
          <w:sz w:val="24"/>
        </w:rPr>
        <w:t>2．以完成一定的工作为期限的劳动合同，工作完成的。</w:t>
      </w:r>
    </w:p>
    <w:p>
      <w:pPr>
        <w:tabs>
          <w:tab w:val="left" w:pos="510"/>
        </w:tabs>
        <w:adjustRightInd w:val="0"/>
        <w:snapToGrid w:val="0"/>
        <w:spacing w:line="420" w:lineRule="exact"/>
        <w:ind w:firstLine="482" w:firstLineChars="200"/>
        <w:jc w:val="left"/>
        <w:rPr>
          <w:rFonts w:ascii="楷体" w:hAnsi="楷体" w:cs="楷体"/>
          <w:sz w:val="24"/>
        </w:rPr>
      </w:pPr>
      <w:r>
        <w:rPr>
          <w:rFonts w:hint="eastAsia" w:ascii="楷体" w:hAnsi="楷体" w:cs="楷体"/>
          <w:b/>
          <w:sz w:val="24"/>
        </w:rPr>
        <w:t xml:space="preserve">第二十条 </w:t>
      </w:r>
      <w:r>
        <w:rPr>
          <w:rFonts w:hint="eastAsia" w:ascii="楷体" w:hAnsi="楷体" w:cs="楷体"/>
          <w:sz w:val="24"/>
        </w:rPr>
        <w:t xml:space="preserve"> 本合同解除或终止之日起5日内，甲方要与乙方进行工资结算，并一次性付清所有未发放工资。</w:t>
      </w:r>
    </w:p>
    <w:p>
      <w:pPr>
        <w:spacing w:line="420" w:lineRule="exact"/>
        <w:ind w:firstLine="480" w:firstLineChars="200"/>
        <w:rPr>
          <w:rFonts w:ascii="楷体" w:hAnsi="楷体" w:cs="楷体"/>
          <w:sz w:val="24"/>
        </w:rPr>
      </w:pPr>
      <w:r>
        <w:rPr>
          <w:rFonts w:hint="eastAsia" w:ascii="楷体" w:hAnsi="楷体" w:cs="楷体"/>
          <w:sz w:val="24"/>
        </w:rPr>
        <w:t>九、违约责任</w:t>
      </w:r>
    </w:p>
    <w:p>
      <w:pPr>
        <w:tabs>
          <w:tab w:val="left" w:pos="510"/>
        </w:tabs>
        <w:adjustRightInd w:val="0"/>
        <w:snapToGrid w:val="0"/>
        <w:spacing w:line="420" w:lineRule="exact"/>
        <w:ind w:firstLine="482" w:firstLineChars="200"/>
        <w:jc w:val="left"/>
        <w:rPr>
          <w:rFonts w:ascii="楷体" w:hAnsi="楷体" w:cs="楷体"/>
          <w:sz w:val="24"/>
        </w:rPr>
      </w:pPr>
      <w:r>
        <w:rPr>
          <w:rFonts w:hint="eastAsia" w:ascii="楷体" w:hAnsi="楷体" w:cs="楷体"/>
          <w:b/>
          <w:sz w:val="24"/>
        </w:rPr>
        <w:t>第二十一条</w:t>
      </w:r>
      <w:r>
        <w:rPr>
          <w:rFonts w:hint="eastAsia" w:ascii="楷体" w:hAnsi="楷体" w:cs="楷体"/>
          <w:sz w:val="24"/>
        </w:rPr>
        <w:t xml:space="preserve">  违约责任规定如下：</w:t>
      </w:r>
    </w:p>
    <w:p>
      <w:pPr>
        <w:tabs>
          <w:tab w:val="left" w:pos="510"/>
        </w:tabs>
        <w:adjustRightInd w:val="0"/>
        <w:snapToGrid w:val="0"/>
        <w:spacing w:line="420" w:lineRule="exact"/>
        <w:ind w:firstLine="480" w:firstLineChars="200"/>
        <w:jc w:val="left"/>
        <w:rPr>
          <w:rFonts w:ascii="楷体" w:hAnsi="楷体" w:cs="楷体"/>
          <w:sz w:val="24"/>
        </w:rPr>
      </w:pPr>
      <w:r>
        <w:rPr>
          <w:rFonts w:hint="eastAsia" w:ascii="楷体" w:hAnsi="楷体" w:cs="楷体"/>
          <w:sz w:val="24"/>
        </w:rPr>
        <w:t>1．甲方未按本合同规定期限发放工资，且未征得乙方同意的，除须全额补发工资外，还应按每天¥元（人民币大写：）的标准向乙方支付违约金（自本合同第七条约定的发放期限届满之日起算）。</w:t>
      </w:r>
    </w:p>
    <w:p>
      <w:pPr>
        <w:tabs>
          <w:tab w:val="left" w:pos="510"/>
        </w:tabs>
        <w:adjustRightInd w:val="0"/>
        <w:snapToGrid w:val="0"/>
        <w:spacing w:line="420" w:lineRule="exact"/>
        <w:ind w:firstLine="480" w:firstLineChars="200"/>
        <w:jc w:val="left"/>
        <w:rPr>
          <w:rFonts w:ascii="楷体" w:hAnsi="楷体" w:cs="楷体"/>
          <w:sz w:val="24"/>
        </w:rPr>
      </w:pPr>
      <w:r>
        <w:rPr>
          <w:rFonts w:hint="eastAsia" w:ascii="楷体" w:hAnsi="楷体" w:cs="楷体"/>
          <w:sz w:val="24"/>
        </w:rPr>
        <w:t>2．任何一方违反本合同给对方造成损失的，应予赔偿。</w:t>
      </w:r>
    </w:p>
    <w:p>
      <w:pPr>
        <w:tabs>
          <w:tab w:val="left" w:pos="510"/>
        </w:tabs>
        <w:adjustRightInd w:val="0"/>
        <w:snapToGrid w:val="0"/>
        <w:spacing w:line="420" w:lineRule="exact"/>
        <w:ind w:firstLine="480" w:firstLineChars="200"/>
        <w:jc w:val="left"/>
        <w:rPr>
          <w:rFonts w:ascii="楷体" w:hAnsi="楷体" w:cs="楷体"/>
          <w:sz w:val="24"/>
          <w:u w:val="single"/>
        </w:rPr>
      </w:pPr>
      <w:r>
        <w:rPr>
          <w:rFonts w:hint="eastAsia" w:ascii="楷体" w:hAnsi="楷体" w:cs="楷体"/>
          <w:sz w:val="24"/>
        </w:rPr>
        <w:t>3．其它：</w:t>
      </w:r>
    </w:p>
    <w:p>
      <w:pPr>
        <w:spacing w:line="420" w:lineRule="exact"/>
        <w:ind w:firstLine="480" w:firstLineChars="200"/>
        <w:rPr>
          <w:rFonts w:ascii="楷体" w:hAnsi="楷体" w:cs="楷体"/>
          <w:b/>
          <w:sz w:val="24"/>
        </w:rPr>
      </w:pPr>
      <w:r>
        <w:rPr>
          <w:rFonts w:hint="eastAsia" w:ascii="楷体" w:hAnsi="楷体" w:cs="楷体"/>
          <w:sz w:val="24"/>
        </w:rPr>
        <w:t>十、双方约定的其它事项</w:t>
      </w:r>
    </w:p>
    <w:p>
      <w:pPr>
        <w:tabs>
          <w:tab w:val="left" w:pos="510"/>
        </w:tabs>
        <w:adjustRightInd w:val="0"/>
        <w:snapToGrid w:val="0"/>
        <w:spacing w:line="420" w:lineRule="exact"/>
        <w:ind w:firstLine="482" w:firstLineChars="200"/>
        <w:jc w:val="left"/>
        <w:rPr>
          <w:rFonts w:ascii="楷体" w:hAnsi="楷体" w:cs="楷体"/>
          <w:sz w:val="24"/>
          <w:u w:val="single"/>
        </w:rPr>
      </w:pPr>
      <w:r>
        <w:rPr>
          <w:rFonts w:hint="eastAsia" w:ascii="楷体" w:hAnsi="楷体" w:cs="楷体"/>
          <w:b/>
          <w:sz w:val="24"/>
        </w:rPr>
        <w:t>第二十二条</w:t>
      </w:r>
      <w:r>
        <w:rPr>
          <w:rFonts w:hint="eastAsia" w:ascii="楷体" w:hAnsi="楷体" w:cs="楷体"/>
          <w:sz w:val="24"/>
        </w:rPr>
        <w:t xml:space="preserve">  双方约定：</w:t>
      </w:r>
    </w:p>
    <w:p>
      <w:pPr>
        <w:spacing w:line="420" w:lineRule="exact"/>
        <w:ind w:firstLine="480" w:firstLineChars="200"/>
        <w:rPr>
          <w:rFonts w:ascii="楷体" w:hAnsi="楷体" w:cs="楷体"/>
          <w:b/>
          <w:sz w:val="24"/>
        </w:rPr>
      </w:pPr>
      <w:r>
        <w:rPr>
          <w:rFonts w:hint="eastAsia" w:ascii="楷体" w:hAnsi="楷体" w:cs="楷体"/>
          <w:sz w:val="24"/>
        </w:rPr>
        <w:t>十一、劳动争议处理</w:t>
      </w:r>
    </w:p>
    <w:p>
      <w:pPr>
        <w:tabs>
          <w:tab w:val="left" w:pos="510"/>
        </w:tabs>
        <w:adjustRightInd w:val="0"/>
        <w:snapToGrid w:val="0"/>
        <w:spacing w:line="420" w:lineRule="exact"/>
        <w:ind w:firstLine="482" w:firstLineChars="200"/>
        <w:jc w:val="left"/>
        <w:rPr>
          <w:rFonts w:ascii="楷体" w:hAnsi="楷体" w:cs="楷体"/>
          <w:sz w:val="24"/>
        </w:rPr>
      </w:pPr>
      <w:r>
        <w:rPr>
          <w:rFonts w:hint="eastAsia" w:ascii="楷体" w:hAnsi="楷体" w:cs="楷体"/>
          <w:b/>
          <w:sz w:val="24"/>
        </w:rPr>
        <w:t>第二十三条</w:t>
      </w:r>
      <w:r>
        <w:rPr>
          <w:rFonts w:hint="eastAsia" w:ascii="楷体" w:hAnsi="楷体" w:cs="楷体"/>
          <w:sz w:val="24"/>
        </w:rPr>
        <w:t xml:space="preserve"> 甲乙双方因执行本合同发生劳动争议时，可协商解决；协商不成的，任何一方可以在劳动争议发生之日起60日内向项目所在地劳动争议仲裁委员会提出书面仲裁申请。任何一方对仲裁裁决不服的，可以自收到仲裁裁决书之日起15日内向人民法院提起诉讼。</w:t>
      </w:r>
    </w:p>
    <w:p>
      <w:pPr>
        <w:spacing w:line="420" w:lineRule="exact"/>
        <w:ind w:firstLine="480" w:firstLineChars="200"/>
        <w:rPr>
          <w:rFonts w:ascii="楷体" w:hAnsi="楷体" w:cs="楷体"/>
          <w:sz w:val="24"/>
        </w:rPr>
      </w:pPr>
      <w:r>
        <w:rPr>
          <w:rFonts w:hint="eastAsia" w:ascii="楷体" w:hAnsi="楷体" w:cs="楷体"/>
          <w:sz w:val="24"/>
        </w:rPr>
        <w:t>十二、其它事项</w:t>
      </w:r>
    </w:p>
    <w:p>
      <w:pPr>
        <w:tabs>
          <w:tab w:val="left" w:pos="510"/>
        </w:tabs>
        <w:adjustRightInd w:val="0"/>
        <w:snapToGrid w:val="0"/>
        <w:spacing w:line="420" w:lineRule="exact"/>
        <w:ind w:firstLine="482" w:firstLineChars="200"/>
        <w:jc w:val="left"/>
        <w:rPr>
          <w:rFonts w:ascii="楷体" w:hAnsi="楷体" w:cs="楷体"/>
          <w:sz w:val="24"/>
        </w:rPr>
      </w:pPr>
      <w:r>
        <w:rPr>
          <w:rFonts w:hint="eastAsia" w:ascii="楷体" w:hAnsi="楷体" w:cs="楷体"/>
          <w:b/>
          <w:sz w:val="24"/>
        </w:rPr>
        <w:t>第二十四条</w:t>
      </w:r>
      <w:r>
        <w:rPr>
          <w:rFonts w:hint="eastAsia" w:ascii="楷体" w:hAnsi="楷体" w:cs="楷体"/>
          <w:sz w:val="24"/>
        </w:rPr>
        <w:t xml:space="preserve">  本合同未尽事宜，或与现行法律法规、本省规定有抵触的内容，按法律法规和本省规定执行。</w:t>
      </w:r>
    </w:p>
    <w:p>
      <w:pPr>
        <w:tabs>
          <w:tab w:val="left" w:pos="510"/>
        </w:tabs>
        <w:adjustRightInd w:val="0"/>
        <w:snapToGrid w:val="0"/>
        <w:spacing w:line="420" w:lineRule="exact"/>
        <w:ind w:firstLine="482" w:firstLineChars="200"/>
        <w:jc w:val="left"/>
        <w:rPr>
          <w:rFonts w:ascii="楷体" w:hAnsi="楷体" w:cs="楷体"/>
          <w:sz w:val="24"/>
        </w:rPr>
      </w:pPr>
      <w:r>
        <w:rPr>
          <w:rFonts w:hint="eastAsia" w:ascii="楷体" w:hAnsi="楷体" w:cs="楷体"/>
          <w:b/>
          <w:sz w:val="24"/>
        </w:rPr>
        <w:t>第二十五条</w:t>
      </w:r>
      <w:r>
        <w:rPr>
          <w:rFonts w:hint="eastAsia" w:ascii="楷体" w:hAnsi="楷体" w:cs="楷体"/>
          <w:sz w:val="24"/>
        </w:rPr>
        <w:t xml:space="preserve">  本合同经甲乙双方签字盖章后生效，双方必须严格遵守执行。本合同一式三份，甲乙双方各执一份，一份报劳动部门备案。</w:t>
      </w:r>
    </w:p>
    <w:p>
      <w:pPr>
        <w:tabs>
          <w:tab w:val="left" w:pos="510"/>
        </w:tabs>
        <w:spacing w:line="420" w:lineRule="exact"/>
        <w:ind w:right="84"/>
        <w:jc w:val="left"/>
        <w:rPr>
          <w:rFonts w:ascii="楷体" w:hAnsi="楷体" w:cs="楷体"/>
          <w:sz w:val="24"/>
        </w:rPr>
      </w:pPr>
    </w:p>
    <w:p>
      <w:pPr>
        <w:tabs>
          <w:tab w:val="left" w:pos="510"/>
        </w:tabs>
        <w:spacing w:line="420" w:lineRule="exact"/>
        <w:ind w:right="84" w:firstLine="480"/>
        <w:jc w:val="left"/>
        <w:rPr>
          <w:rFonts w:ascii="楷体" w:hAnsi="楷体" w:cs="楷体"/>
          <w:sz w:val="24"/>
        </w:rPr>
      </w:pPr>
      <w:r>
        <w:rPr>
          <w:rFonts w:hint="eastAsia" w:ascii="楷体" w:hAnsi="楷体" w:cs="楷体"/>
          <w:sz w:val="24"/>
        </w:rPr>
        <w:t>甲方（盖章）：                             乙方（签字）：</w:t>
      </w:r>
    </w:p>
    <w:p>
      <w:pPr>
        <w:tabs>
          <w:tab w:val="left" w:pos="510"/>
        </w:tabs>
        <w:spacing w:line="420" w:lineRule="exact"/>
        <w:ind w:right="84"/>
        <w:jc w:val="left"/>
        <w:rPr>
          <w:rFonts w:ascii="楷体" w:hAnsi="楷体" w:cs="楷体"/>
          <w:sz w:val="24"/>
        </w:rPr>
      </w:pPr>
    </w:p>
    <w:p>
      <w:pPr>
        <w:tabs>
          <w:tab w:val="left" w:pos="510"/>
        </w:tabs>
        <w:spacing w:line="420" w:lineRule="exact"/>
        <w:ind w:right="84" w:firstLine="480"/>
        <w:jc w:val="left"/>
        <w:rPr>
          <w:rFonts w:ascii="楷体" w:hAnsi="楷体" w:cs="楷体"/>
          <w:sz w:val="24"/>
        </w:rPr>
      </w:pPr>
      <w:r>
        <w:rPr>
          <w:rFonts w:hint="eastAsia" w:ascii="楷体" w:hAnsi="楷体" w:cs="楷体"/>
          <w:sz w:val="24"/>
        </w:rPr>
        <w:t>甲方法定代表人（委托代理人）：</w:t>
      </w:r>
    </w:p>
    <w:p>
      <w:pPr>
        <w:spacing w:line="420" w:lineRule="exact"/>
        <w:rPr>
          <w:rFonts w:ascii="楷体" w:hAnsi="楷体" w:cs="楷体"/>
          <w:sz w:val="24"/>
        </w:rPr>
      </w:pPr>
      <w:r>
        <w:rPr>
          <w:rFonts w:hint="eastAsia" w:ascii="楷体" w:hAnsi="楷体" w:cs="楷体"/>
          <w:sz w:val="24"/>
        </w:rPr>
        <w:t xml:space="preserve">     （签字或盖章）</w:t>
      </w:r>
    </w:p>
    <w:p>
      <w:pPr>
        <w:tabs>
          <w:tab w:val="left" w:pos="510"/>
        </w:tabs>
        <w:spacing w:line="420" w:lineRule="exact"/>
        <w:ind w:right="84" w:firstLine="1200"/>
        <w:jc w:val="left"/>
        <w:rPr>
          <w:rFonts w:ascii="楷体" w:hAnsi="楷体" w:cs="楷体"/>
          <w:sz w:val="24"/>
        </w:rPr>
      </w:pPr>
      <w:r>
        <w:rPr>
          <w:rFonts w:hint="eastAsia" w:ascii="楷体" w:hAnsi="楷体" w:cs="楷体"/>
          <w:sz w:val="24"/>
        </w:rPr>
        <w:t>年   月   日                             年   月   日</w:t>
      </w:r>
    </w:p>
    <w:p>
      <w:pPr>
        <w:tabs>
          <w:tab w:val="left" w:pos="510"/>
        </w:tabs>
        <w:spacing w:line="420" w:lineRule="exact"/>
        <w:ind w:right="84" w:firstLine="1200"/>
        <w:jc w:val="left"/>
        <w:rPr>
          <w:rFonts w:ascii="楷体" w:hAnsi="楷体" w:cs="楷体"/>
          <w:sz w:val="24"/>
        </w:rPr>
      </w:pPr>
    </w:p>
    <w:p>
      <w:pPr>
        <w:tabs>
          <w:tab w:val="left" w:pos="510"/>
        </w:tabs>
        <w:spacing w:line="420" w:lineRule="exact"/>
        <w:ind w:right="84" w:firstLine="1200"/>
        <w:jc w:val="left"/>
        <w:rPr>
          <w:rFonts w:ascii="楷体" w:hAnsi="楷体" w:cs="楷体"/>
          <w:sz w:val="24"/>
        </w:rPr>
      </w:pPr>
    </w:p>
    <w:p>
      <w:pPr>
        <w:tabs>
          <w:tab w:val="left" w:pos="510"/>
        </w:tabs>
        <w:spacing w:line="420" w:lineRule="exact"/>
        <w:ind w:right="84" w:firstLine="1200"/>
        <w:jc w:val="left"/>
        <w:rPr>
          <w:rFonts w:ascii="楷体" w:hAnsi="楷体" w:cs="楷体"/>
          <w:sz w:val="24"/>
        </w:rPr>
      </w:pPr>
    </w:p>
    <w:p>
      <w:pPr>
        <w:tabs>
          <w:tab w:val="left" w:pos="510"/>
        </w:tabs>
        <w:spacing w:line="420" w:lineRule="exact"/>
        <w:ind w:right="84"/>
        <w:rPr>
          <w:rFonts w:ascii="楷体" w:hAnsi="楷体" w:cs="楷体"/>
          <w:sz w:val="24"/>
        </w:rPr>
      </w:pPr>
      <w:r>
        <w:rPr>
          <w:rFonts w:hint="eastAsia" w:ascii="楷体" w:hAnsi="楷体" w:cs="楷体"/>
          <w:sz w:val="24"/>
        </w:rPr>
        <w:t>———浙江省劳动和社会保障厅、浙江省交通厅监制—</w:t>
      </w:r>
    </w:p>
    <w:p>
      <w:pPr>
        <w:tabs>
          <w:tab w:val="left" w:pos="510"/>
        </w:tabs>
        <w:spacing w:line="420" w:lineRule="exact"/>
        <w:ind w:right="84"/>
        <w:rPr>
          <w:rFonts w:ascii="黑体" w:eastAsia="黑体"/>
          <w:sz w:val="52"/>
          <w:szCs w:val="52"/>
        </w:rPr>
      </w:pPr>
    </w:p>
    <w:p>
      <w:pPr>
        <w:tabs>
          <w:tab w:val="left" w:pos="510"/>
        </w:tabs>
        <w:spacing w:line="420" w:lineRule="exact"/>
        <w:ind w:right="84"/>
        <w:rPr>
          <w:rFonts w:ascii="黑体" w:eastAsia="黑体"/>
          <w:sz w:val="52"/>
          <w:szCs w:val="52"/>
        </w:rPr>
      </w:pPr>
    </w:p>
    <w:p>
      <w:pPr>
        <w:tabs>
          <w:tab w:val="left" w:pos="510"/>
        </w:tabs>
        <w:spacing w:line="420" w:lineRule="exact"/>
        <w:ind w:right="84"/>
        <w:rPr>
          <w:rFonts w:ascii="黑体" w:eastAsia="黑体"/>
          <w:sz w:val="52"/>
          <w:szCs w:val="52"/>
        </w:rPr>
      </w:pPr>
    </w:p>
    <w:p>
      <w:pPr>
        <w:tabs>
          <w:tab w:val="left" w:pos="510"/>
        </w:tabs>
        <w:spacing w:line="420" w:lineRule="exact"/>
        <w:ind w:right="84"/>
        <w:rPr>
          <w:rFonts w:ascii="黑体" w:eastAsia="黑体"/>
          <w:sz w:val="52"/>
          <w:szCs w:val="52"/>
        </w:rPr>
      </w:pPr>
    </w:p>
    <w:p>
      <w:pPr>
        <w:tabs>
          <w:tab w:val="left" w:pos="510"/>
        </w:tabs>
        <w:spacing w:line="420" w:lineRule="exact"/>
        <w:ind w:right="84"/>
        <w:rPr>
          <w:rFonts w:ascii="黑体" w:eastAsia="黑体"/>
          <w:sz w:val="52"/>
          <w:szCs w:val="52"/>
        </w:rPr>
      </w:pPr>
    </w:p>
    <w:p>
      <w:pPr>
        <w:tabs>
          <w:tab w:val="left" w:pos="510"/>
        </w:tabs>
        <w:spacing w:line="420" w:lineRule="exact"/>
        <w:ind w:right="84"/>
        <w:rPr>
          <w:rFonts w:ascii="黑体" w:eastAsia="黑体"/>
          <w:sz w:val="52"/>
          <w:szCs w:val="52"/>
        </w:rPr>
      </w:pPr>
    </w:p>
    <w:p>
      <w:pPr>
        <w:pStyle w:val="4"/>
        <w:numPr>
          <w:ilvl w:val="255"/>
          <w:numId w:val="0"/>
        </w:numPr>
        <w:spacing w:before="0" w:after="0" w:line="240" w:lineRule="auto"/>
        <w:jc w:val="center"/>
        <w:rPr>
          <w:rFonts w:ascii="黑体" w:eastAsia="黑体"/>
          <w:bCs w:val="0"/>
        </w:rPr>
      </w:pPr>
      <w:bookmarkStart w:id="6500" w:name="_Toc16899"/>
      <w:bookmarkStart w:id="6501" w:name="_Toc5862"/>
      <w:bookmarkStart w:id="6502" w:name="_Toc16645"/>
      <w:bookmarkStart w:id="6503" w:name="_Toc71"/>
      <w:bookmarkStart w:id="6504" w:name="_Toc19652"/>
      <w:bookmarkStart w:id="6505" w:name="_Toc31093"/>
      <w:bookmarkStart w:id="6506" w:name="_Toc28386"/>
      <w:bookmarkStart w:id="6507" w:name="_Toc26355"/>
      <w:r>
        <w:rPr>
          <w:rFonts w:hint="eastAsia" w:ascii="黑体" w:eastAsia="黑体"/>
          <w:bCs w:val="0"/>
        </w:rPr>
        <w:t xml:space="preserve">第五章 </w:t>
      </w:r>
      <w:bookmarkStart w:id="6508" w:name="_Toc13656"/>
      <w:bookmarkStart w:id="6509" w:name="_Toc31241"/>
      <w:bookmarkStart w:id="6510" w:name="_Toc19420"/>
      <w:bookmarkStart w:id="6511" w:name="_Toc24062"/>
      <w:bookmarkStart w:id="6512" w:name="_Toc18624"/>
      <w:bookmarkStart w:id="6513" w:name="_Toc15810"/>
      <w:bookmarkStart w:id="6514" w:name="_Toc30986"/>
      <w:bookmarkStart w:id="6515" w:name="_Toc19462"/>
      <w:bookmarkStart w:id="6516" w:name="_Toc544"/>
      <w:bookmarkStart w:id="6517" w:name="_Toc180"/>
      <w:r>
        <w:rPr>
          <w:rFonts w:hint="eastAsia" w:ascii="黑体" w:eastAsia="黑体"/>
          <w:bCs w:val="0"/>
        </w:rPr>
        <w:t>工程量清单</w:t>
      </w:r>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Start w:id="6518" w:name="_Toc288546806"/>
      <w:bookmarkStart w:id="6519" w:name="_Toc282779156"/>
      <w:bookmarkStart w:id="6520" w:name="_Toc288491682"/>
      <w:bookmarkStart w:id="6521" w:name="_Toc283794353"/>
      <w:bookmarkStart w:id="6522" w:name="_Toc287853506"/>
      <w:bookmarkStart w:id="6523" w:name="_Toc282787620"/>
      <w:bookmarkStart w:id="6524" w:name="_Toc282779665"/>
    </w:p>
    <w:p>
      <w:pPr>
        <w:pStyle w:val="4"/>
        <w:spacing w:before="0" w:after="0" w:line="360" w:lineRule="auto"/>
        <w:rPr>
          <w:rFonts w:ascii="Times New Roman" w:hAnsi="Times New Roman"/>
          <w:b w:val="0"/>
          <w:sz w:val="24"/>
        </w:rPr>
      </w:pPr>
      <w:bookmarkStart w:id="6525" w:name="_Toc3878"/>
      <w:bookmarkStart w:id="6526" w:name="_Toc285"/>
      <w:bookmarkStart w:id="6527" w:name="_Toc7239"/>
      <w:bookmarkStart w:id="6528" w:name="_Toc21477"/>
      <w:bookmarkStart w:id="6529" w:name="_Toc26092"/>
      <w:bookmarkStart w:id="6530" w:name="_Toc9082"/>
      <w:bookmarkStart w:id="6531" w:name="_Toc21788"/>
      <w:bookmarkStart w:id="6532" w:name="_Toc19252"/>
      <w:bookmarkStart w:id="6533" w:name="_Toc18024"/>
      <w:bookmarkStart w:id="6534" w:name="_Toc6211"/>
    </w:p>
    <w:p>
      <w:pPr>
        <w:pStyle w:val="4"/>
        <w:spacing w:before="0" w:after="0" w:line="360" w:lineRule="auto"/>
        <w:rPr>
          <w:rFonts w:ascii="楷体" w:hAnsi="楷体" w:cs="楷体"/>
          <w:bCs w:val="0"/>
          <w:sz w:val="24"/>
          <w:szCs w:val="24"/>
        </w:rPr>
      </w:pPr>
      <w:bookmarkStart w:id="6535" w:name="_Toc7895"/>
      <w:bookmarkStart w:id="6536" w:name="_Toc3694"/>
      <w:bookmarkStart w:id="6537" w:name="_Toc24038"/>
      <w:bookmarkStart w:id="6538" w:name="_Toc14027"/>
      <w:bookmarkStart w:id="6539" w:name="_Toc29668"/>
      <w:bookmarkStart w:id="6540" w:name="_Toc23652"/>
      <w:bookmarkStart w:id="6541" w:name="_Toc14036"/>
      <w:bookmarkStart w:id="6542" w:name="_Toc30207"/>
      <w:r>
        <w:rPr>
          <w:rFonts w:hint="eastAsia" w:ascii="楷体" w:hAnsi="楷体" w:cs="楷体"/>
          <w:bCs w:val="0"/>
          <w:sz w:val="24"/>
        </w:rPr>
        <w:t>1．</w:t>
      </w:r>
      <w:r>
        <w:rPr>
          <w:rFonts w:hint="eastAsia" w:ascii="楷体" w:hAnsi="楷体" w:cs="楷体"/>
          <w:bCs w:val="0"/>
          <w:sz w:val="24"/>
          <w:szCs w:val="24"/>
        </w:rPr>
        <w:t>工程量清单说明</w:t>
      </w:r>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p>
    <w:p>
      <w:pPr>
        <w:pStyle w:val="31"/>
        <w:numPr>
          <w:ilvl w:val="1"/>
          <w:numId w:val="0"/>
        </w:numPr>
        <w:spacing w:before="0" w:after="0" w:line="420" w:lineRule="exact"/>
        <w:ind w:firstLine="480" w:firstLineChars="200"/>
        <w:jc w:val="left"/>
        <w:rPr>
          <w:rFonts w:ascii="楷体" w:hAnsi="楷体" w:eastAsia="宋体" w:cs="楷体"/>
          <w:sz w:val="24"/>
          <w:szCs w:val="24"/>
        </w:rPr>
      </w:pPr>
      <w:bookmarkStart w:id="6543" w:name="_Toc20257"/>
      <w:bookmarkStart w:id="6544" w:name="_Toc9705"/>
      <w:bookmarkStart w:id="6545" w:name="_Toc16786"/>
      <w:bookmarkStart w:id="6546" w:name="_Toc2341"/>
      <w:bookmarkStart w:id="6547" w:name="_Toc26460"/>
      <w:bookmarkStart w:id="6548" w:name="_Toc288546807"/>
      <w:bookmarkStart w:id="6549" w:name="_Toc4716"/>
      <w:bookmarkStart w:id="6550" w:name="_Toc31062"/>
      <w:bookmarkStart w:id="6551" w:name="_Toc10509"/>
      <w:bookmarkStart w:id="6552" w:name="_Toc23310"/>
      <w:bookmarkStart w:id="6553" w:name="_Toc283794354"/>
      <w:bookmarkStart w:id="6554" w:name="_Toc31501"/>
      <w:bookmarkStart w:id="6555" w:name="_Toc5315"/>
      <w:bookmarkStart w:id="6556" w:name="_Toc28368"/>
      <w:bookmarkStart w:id="6557" w:name="_Toc14453"/>
      <w:bookmarkStart w:id="6558" w:name="_Toc282787621"/>
      <w:bookmarkStart w:id="6559" w:name="_Toc10691"/>
      <w:bookmarkStart w:id="6560" w:name="_Toc13032"/>
      <w:bookmarkStart w:id="6561" w:name="_Toc8212"/>
      <w:bookmarkStart w:id="6562" w:name="_Toc287853507"/>
      <w:bookmarkStart w:id="6563" w:name="_Toc282779666"/>
      <w:bookmarkStart w:id="6564" w:name="_Toc17176"/>
      <w:bookmarkStart w:id="6565" w:name="_Toc12315"/>
      <w:bookmarkStart w:id="6566" w:name="_Toc4772"/>
      <w:bookmarkStart w:id="6567" w:name="_Toc7785"/>
      <w:bookmarkStart w:id="6568" w:name="_Toc20247"/>
      <w:bookmarkStart w:id="6569" w:name="_Toc2823"/>
      <w:bookmarkStart w:id="6570" w:name="_Toc288491683"/>
      <w:bookmarkStart w:id="6571" w:name="_Toc282779157"/>
      <w:bookmarkStart w:id="6572" w:name="_Toc29761"/>
      <w:bookmarkStart w:id="6573" w:name="_Toc288546295"/>
      <w:bookmarkStart w:id="6574" w:name="_Toc2789"/>
      <w:bookmarkStart w:id="6575" w:name="_Toc29835"/>
      <w:bookmarkStart w:id="6576" w:name="_Toc282784941"/>
      <w:bookmarkStart w:id="6577" w:name="_Toc1928"/>
      <w:bookmarkStart w:id="6578" w:name="_Toc22317"/>
      <w:bookmarkStart w:id="6579" w:name="_Toc5617"/>
      <w:bookmarkStart w:id="6580" w:name="_Toc12127"/>
      <w:bookmarkStart w:id="6581" w:name="_Toc19205"/>
      <w:r>
        <w:rPr>
          <w:rFonts w:hint="eastAsia" w:ascii="楷体" w:hAnsi="楷体" w:eastAsia="宋体" w:cs="楷体"/>
          <w:sz w:val="24"/>
        </w:rPr>
        <w:t>1.1</w:t>
      </w:r>
      <w:r>
        <w:rPr>
          <w:rFonts w:hint="eastAsia" w:ascii="楷体" w:hAnsi="楷体" w:eastAsia="宋体" w:cs="楷体"/>
          <w:sz w:val="24"/>
          <w:szCs w:val="24"/>
        </w:rPr>
        <w:t>本工程量清单是根据招标文件中包括的、有合同约束力的图纸以及有关工程量清单的国家标准、地方标准、行业标准、合同条款中约定的工程量计算规则编制；依据《浙江省公路养护工程施工招标文件范本》（2011 年版）、浙江省《交通养护工程工程量清单计价规范》（DB33/T751-2009）第二部分“公路大中修工程工程量清单计价规范”中的工程量清单计价、工程量清单计价格式和计价要求等进行编制。</w:t>
      </w:r>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p>
    <w:p>
      <w:pPr>
        <w:spacing w:line="420" w:lineRule="exact"/>
        <w:ind w:firstLine="480" w:firstLineChars="200"/>
        <w:jc w:val="left"/>
        <w:rPr>
          <w:rFonts w:ascii="楷体" w:hAnsi="楷体" w:cs="楷体"/>
          <w:sz w:val="24"/>
        </w:rPr>
      </w:pPr>
      <w:r>
        <w:rPr>
          <w:rFonts w:hint="eastAsia" w:ascii="楷体" w:hAnsi="楷体" w:cs="楷体"/>
          <w:sz w:val="24"/>
        </w:rPr>
        <w:t>1.2  本工程量清单应与招标文件中的投标人须知、通用合同条款、专用合同条款、技术规范及图纸等一起阅读和理解。</w:t>
      </w:r>
    </w:p>
    <w:p>
      <w:pPr>
        <w:spacing w:line="420" w:lineRule="exact"/>
        <w:ind w:firstLine="480" w:firstLineChars="200"/>
        <w:rPr>
          <w:rFonts w:ascii="楷体" w:hAnsi="楷体" w:cs="楷体"/>
          <w:sz w:val="24"/>
        </w:rPr>
      </w:pPr>
      <w:r>
        <w:rPr>
          <w:rFonts w:hint="eastAsia" w:ascii="楷体" w:hAnsi="楷体" w:cs="楷体"/>
          <w:sz w:val="24"/>
        </w:rPr>
        <w:t>1.3  本工程量清单中所列工程数量是估算的或是预计的数量，仅作为投标报价的共同基础，不能作为最终结算与支付的依据。实际支付应按实际完成的工程量，由承包人按技术规范规定的计量方法，以监理人认可的尺寸、断面计量，按本工程量清单的单价和总额价计算支付金额；或者，根据具体情况，按合同条款第15.4款的规定，由监理人确定的单价或总额价计算支付额。</w:t>
      </w:r>
    </w:p>
    <w:p>
      <w:pPr>
        <w:spacing w:line="420" w:lineRule="exact"/>
        <w:ind w:firstLine="480" w:firstLineChars="200"/>
        <w:rPr>
          <w:rFonts w:ascii="楷体" w:hAnsi="楷体" w:cs="楷体"/>
          <w:sz w:val="24"/>
        </w:rPr>
      </w:pPr>
      <w:r>
        <w:rPr>
          <w:rFonts w:hint="eastAsia" w:ascii="楷体" w:hAnsi="楷体" w:cs="楷体"/>
          <w:sz w:val="24"/>
        </w:rPr>
        <w:t>1.4  工程量清单各章是按第七章“技术规范”的相应章次编号的。因此，工程量清单中各章的工程子目的范围与计量等应与“技术规范”的相应章节的范围、计量与支付条款结合起来理解或解释。</w:t>
      </w:r>
    </w:p>
    <w:p>
      <w:pPr>
        <w:spacing w:line="420" w:lineRule="exact"/>
        <w:ind w:firstLine="480" w:firstLineChars="200"/>
        <w:rPr>
          <w:rFonts w:ascii="楷体" w:hAnsi="楷体" w:cs="楷体"/>
          <w:sz w:val="24"/>
        </w:rPr>
      </w:pPr>
      <w:r>
        <w:rPr>
          <w:rFonts w:hint="eastAsia" w:ascii="楷体" w:hAnsi="楷体" w:cs="楷体"/>
          <w:sz w:val="24"/>
        </w:rPr>
        <w:t>1.5  工程量清单各章是按第七章“技术规范”的相应章次编号的，“技术规范” 中计量与支付条款中的“支付子目”里所标注的“相应计价规范子目”栏的子目编号，即与《交通养护工程工程量清单计价规范》</w:t>
      </w:r>
      <w:r>
        <w:rPr>
          <w:rFonts w:hint="eastAsia" w:ascii="楷体" w:hAnsi="楷体" w:cs="楷体"/>
          <w:bCs/>
          <w:sz w:val="24"/>
        </w:rPr>
        <w:t xml:space="preserve">第二部分中“公路大中修工程工程量清单计价规范” </w:t>
      </w:r>
      <w:r>
        <w:rPr>
          <w:rFonts w:hint="eastAsia" w:ascii="楷体" w:hAnsi="楷体" w:cs="楷体"/>
          <w:sz w:val="24"/>
        </w:rPr>
        <w:t>的相应细目号相衔接。因此，工程量清单中各章工程子目的范围与计量等应与“技术规范”及</w:t>
      </w:r>
      <w:r>
        <w:rPr>
          <w:rFonts w:hint="eastAsia" w:ascii="楷体" w:hAnsi="楷体" w:cs="楷体"/>
          <w:bCs/>
          <w:sz w:val="24"/>
        </w:rPr>
        <w:t>“公路大中修工程工程量清单计价规范”</w:t>
      </w:r>
      <w:r>
        <w:rPr>
          <w:rFonts w:hint="eastAsia" w:ascii="楷体" w:hAnsi="楷体" w:cs="楷体"/>
          <w:sz w:val="24"/>
        </w:rPr>
        <w:t>的相应细目的范围、计量与支付条款结合起来理解或解释。</w:t>
      </w:r>
    </w:p>
    <w:p>
      <w:pPr>
        <w:spacing w:line="420" w:lineRule="exact"/>
        <w:ind w:firstLine="480" w:firstLineChars="200"/>
        <w:rPr>
          <w:rFonts w:ascii="楷体" w:hAnsi="楷体" w:cs="楷体"/>
          <w:sz w:val="24"/>
        </w:rPr>
      </w:pPr>
      <w:r>
        <w:rPr>
          <w:rFonts w:hint="eastAsia" w:ascii="楷体" w:hAnsi="楷体" w:cs="楷体"/>
          <w:sz w:val="24"/>
        </w:rPr>
        <w:t>1.6 对作业和材料的一般说明或规定，未重复写入工程量清单内，在给工程量清单各子目标价前，应参阅第七章“技术规范”的有关内容。</w:t>
      </w:r>
    </w:p>
    <w:p>
      <w:pPr>
        <w:spacing w:line="420" w:lineRule="exact"/>
        <w:ind w:firstLine="480" w:firstLineChars="200"/>
        <w:rPr>
          <w:rFonts w:ascii="楷体" w:hAnsi="楷体" w:cs="楷体"/>
          <w:sz w:val="24"/>
        </w:rPr>
      </w:pPr>
      <w:r>
        <w:rPr>
          <w:rFonts w:hint="eastAsia" w:ascii="楷体" w:hAnsi="楷体" w:cs="楷体"/>
          <w:sz w:val="24"/>
        </w:rPr>
        <w:t>1.7  工程量清单中所列工程量的变动，丝毫不会降低或影响合同条款的效力，也不免除承包人按规定的标准进行施工和修复缺陷的责任。</w:t>
      </w:r>
    </w:p>
    <w:p>
      <w:pPr>
        <w:spacing w:line="420" w:lineRule="exact"/>
        <w:ind w:firstLine="480" w:firstLineChars="200"/>
        <w:jc w:val="left"/>
        <w:rPr>
          <w:rFonts w:ascii="楷体" w:hAnsi="楷体" w:cs="楷体"/>
          <w:sz w:val="24"/>
        </w:rPr>
      </w:pPr>
      <w:r>
        <w:rPr>
          <w:rFonts w:hint="eastAsia" w:ascii="楷体" w:hAnsi="楷体" w:cs="楷体"/>
          <w:sz w:val="24"/>
        </w:rPr>
        <w:t>1.8  图纸中所列的工程数量表及数量汇总表仅是提供资料，不是工程量清单的外延。当图纸与工程量清单所列数量不一致时，以工程量清单所列数量作为报价的依据。</w:t>
      </w:r>
    </w:p>
    <w:p>
      <w:pPr>
        <w:pStyle w:val="5"/>
        <w:spacing w:before="120" w:after="120" w:line="420" w:lineRule="exact"/>
        <w:rPr>
          <w:rFonts w:ascii="楷体" w:hAnsi="楷体" w:eastAsia="宋体" w:cs="楷体"/>
          <w:bCs w:val="0"/>
          <w:sz w:val="24"/>
          <w:szCs w:val="24"/>
        </w:rPr>
      </w:pPr>
      <w:bookmarkStart w:id="6582" w:name="_Toc288491684"/>
      <w:bookmarkStart w:id="6583" w:name="_Toc233215020"/>
      <w:bookmarkStart w:id="6584" w:name="_Toc233290462"/>
      <w:bookmarkStart w:id="6585" w:name="_Toc17663"/>
      <w:bookmarkStart w:id="6586" w:name="_Toc26360"/>
      <w:bookmarkStart w:id="6587" w:name="_Toc32269"/>
      <w:bookmarkStart w:id="6588" w:name="_Toc1976"/>
      <w:bookmarkStart w:id="6589" w:name="_Toc233429864"/>
      <w:bookmarkStart w:id="6590" w:name="_Toc433"/>
      <w:bookmarkStart w:id="6591" w:name="_Toc7838"/>
      <w:bookmarkStart w:id="6592" w:name="_Toc4091"/>
      <w:bookmarkStart w:id="6593" w:name="_Toc283794355"/>
      <w:bookmarkStart w:id="6594" w:name="_Toc6887"/>
      <w:bookmarkStart w:id="6595" w:name="_Toc282779158"/>
      <w:bookmarkStart w:id="6596" w:name="_Toc288546808"/>
      <w:bookmarkStart w:id="6597" w:name="_Toc8313"/>
      <w:bookmarkStart w:id="6598" w:name="_Toc282779667"/>
      <w:bookmarkStart w:id="6599" w:name="_Toc26592"/>
      <w:bookmarkStart w:id="6600" w:name="_Toc26086"/>
      <w:bookmarkStart w:id="6601" w:name="_Toc8544"/>
      <w:bookmarkStart w:id="6602" w:name="_Toc287853508"/>
      <w:bookmarkStart w:id="6603" w:name="_Toc282787622"/>
      <w:bookmarkStart w:id="6604" w:name="_Toc24069"/>
      <w:bookmarkStart w:id="6605" w:name="_Toc233423347"/>
      <w:bookmarkStart w:id="6606" w:name="_Toc233436003"/>
      <w:bookmarkStart w:id="6607" w:name="_Toc27442"/>
      <w:bookmarkStart w:id="6608" w:name="_Toc23514"/>
      <w:bookmarkStart w:id="6609" w:name="_Toc4002"/>
      <w:bookmarkStart w:id="6610" w:name="_Toc30363"/>
      <w:bookmarkStart w:id="6611" w:name="_Toc1773"/>
      <w:r>
        <w:rPr>
          <w:rFonts w:hint="eastAsia" w:ascii="楷体" w:hAnsi="楷体" w:eastAsia="宋体" w:cs="楷体"/>
          <w:bCs w:val="0"/>
          <w:sz w:val="24"/>
          <w:szCs w:val="24"/>
        </w:rPr>
        <w:t>2．投标报价说明</w:t>
      </w:r>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p>
    <w:p>
      <w:pPr>
        <w:spacing w:line="420" w:lineRule="exact"/>
        <w:ind w:firstLine="480" w:firstLineChars="200"/>
        <w:rPr>
          <w:rFonts w:ascii="楷体" w:hAnsi="楷体" w:cs="楷体"/>
          <w:sz w:val="24"/>
        </w:rPr>
      </w:pPr>
      <w:r>
        <w:rPr>
          <w:rFonts w:hint="eastAsia" w:ascii="楷体" w:hAnsi="楷体" w:cs="楷体"/>
          <w:sz w:val="24"/>
        </w:rPr>
        <w:t>2.1  工程量清单中的每一子目须填入单价或价格，且只允许有一个报价。</w:t>
      </w:r>
    </w:p>
    <w:p>
      <w:pPr>
        <w:spacing w:line="420" w:lineRule="exact"/>
        <w:ind w:firstLine="480" w:firstLineChars="200"/>
        <w:rPr>
          <w:rFonts w:ascii="楷体" w:hAnsi="楷体" w:cs="楷体"/>
          <w:sz w:val="24"/>
        </w:rPr>
      </w:pPr>
      <w:r>
        <w:rPr>
          <w:rFonts w:hint="eastAsia" w:ascii="楷体" w:hAnsi="楷体" w:cs="楷体"/>
          <w:sz w:val="24"/>
        </w:rPr>
        <w:t>2.2  除非合同另有规定，工程量清单中有标价的单价和总额价均已包括了为实施和完成合同工程所需的劳务、材料、机械、质检（自检）、安装、缺陷修复、管理、保险、税费、利润等费用，以及合同明示或暗示的所有责任、义务和一般风险。</w:t>
      </w:r>
    </w:p>
    <w:p>
      <w:pPr>
        <w:spacing w:line="420" w:lineRule="exact"/>
        <w:ind w:firstLine="480" w:firstLineChars="200"/>
        <w:rPr>
          <w:rFonts w:ascii="楷体" w:hAnsi="楷体" w:cs="楷体"/>
          <w:sz w:val="24"/>
        </w:rPr>
      </w:pPr>
      <w:r>
        <w:rPr>
          <w:rFonts w:hint="eastAsia" w:ascii="楷体" w:hAnsi="楷体" w:cs="楷体"/>
          <w:sz w:val="24"/>
        </w:rPr>
        <w:t>2.3  工程量清单中投标人没有填入单价或价格的子目，其费用视为已分摊在工程量清单中其它相关子目的单价或价格之中。承包人必须按监理人指令完成工程量清单中未填入单价或价格的子目，但不能得到结算与支付。</w:t>
      </w:r>
    </w:p>
    <w:p>
      <w:pPr>
        <w:spacing w:line="420" w:lineRule="exact"/>
        <w:ind w:firstLine="480" w:firstLineChars="200"/>
        <w:rPr>
          <w:rFonts w:ascii="楷体" w:hAnsi="楷体" w:cs="楷体"/>
          <w:sz w:val="24"/>
        </w:rPr>
      </w:pPr>
      <w:r>
        <w:rPr>
          <w:rFonts w:hint="eastAsia" w:ascii="楷体" w:hAnsi="楷体" w:cs="楷体"/>
          <w:sz w:val="24"/>
        </w:rPr>
        <w:t>2.4  符合合同条款规定的全部费用应认为已被计入有标价的工程量清单所列各子目之中，未列子目不予计量的工作，其费用应视为已分摊在本合同工程的有关子目的单价或总额价之中。</w:t>
      </w:r>
    </w:p>
    <w:p>
      <w:pPr>
        <w:spacing w:line="420" w:lineRule="exact"/>
        <w:ind w:firstLine="480" w:firstLineChars="200"/>
        <w:rPr>
          <w:rFonts w:ascii="楷体" w:hAnsi="楷体" w:cs="楷体"/>
          <w:sz w:val="24"/>
        </w:rPr>
      </w:pPr>
      <w:r>
        <w:rPr>
          <w:rFonts w:hint="eastAsia" w:ascii="楷体" w:hAnsi="楷体" w:cs="楷体"/>
          <w:sz w:val="24"/>
        </w:rPr>
        <w:t>2.5  承包人用于本合同工程的各类装备的提供、运输、维护、拆卸、拼装等支付的费用，已包括在工程量清单的单价与总额价之中。</w:t>
      </w:r>
    </w:p>
    <w:p>
      <w:pPr>
        <w:spacing w:line="420" w:lineRule="exact"/>
        <w:ind w:firstLine="480" w:firstLineChars="200"/>
        <w:rPr>
          <w:rFonts w:ascii="楷体" w:hAnsi="楷体" w:cs="楷体"/>
          <w:sz w:val="24"/>
        </w:rPr>
      </w:pPr>
      <w:r>
        <w:rPr>
          <w:rFonts w:hint="eastAsia" w:ascii="楷体" w:hAnsi="楷体" w:cs="楷体"/>
          <w:sz w:val="24"/>
        </w:rPr>
        <w:t>2.6  工程量清单中各项金额均以人民币（元）结算。</w:t>
      </w:r>
    </w:p>
    <w:p>
      <w:pPr>
        <w:spacing w:line="420" w:lineRule="exact"/>
        <w:ind w:firstLine="480" w:firstLineChars="200"/>
        <w:rPr>
          <w:rFonts w:ascii="楷体" w:hAnsi="楷体" w:cs="楷体"/>
          <w:sz w:val="24"/>
        </w:rPr>
      </w:pPr>
      <w:r>
        <w:rPr>
          <w:rFonts w:hint="eastAsia" w:ascii="楷体" w:hAnsi="楷体" w:cs="楷体"/>
          <w:sz w:val="24"/>
        </w:rPr>
        <w:t>2.7暂列金额的数量：为第100章至第700章清单合价的0%。</w:t>
      </w:r>
      <w:bookmarkStart w:id="6612" w:name="_Toc282779159"/>
      <w:bookmarkStart w:id="6613" w:name="_Toc233429866"/>
      <w:bookmarkStart w:id="6614" w:name="_Toc5707"/>
      <w:bookmarkStart w:id="6615" w:name="_Toc4651"/>
      <w:bookmarkStart w:id="6616" w:name="_Toc17885"/>
      <w:bookmarkStart w:id="6617" w:name="_Toc25780"/>
      <w:bookmarkStart w:id="6618" w:name="_Toc28774"/>
      <w:bookmarkStart w:id="6619" w:name="_Toc288546809"/>
      <w:bookmarkStart w:id="6620" w:name="_Toc9527"/>
      <w:bookmarkStart w:id="6621" w:name="_Toc29186"/>
      <w:bookmarkStart w:id="6622" w:name="_Toc287853509"/>
      <w:bookmarkStart w:id="6623" w:name="_Toc16337"/>
      <w:bookmarkStart w:id="6624" w:name="_Toc16321"/>
      <w:bookmarkStart w:id="6625" w:name="_Toc282779668"/>
      <w:bookmarkStart w:id="6626" w:name="_Toc26675"/>
      <w:bookmarkStart w:id="6627" w:name="_Toc15752"/>
      <w:bookmarkStart w:id="6628" w:name="_Toc31368"/>
      <w:bookmarkStart w:id="6629" w:name="_Toc23771"/>
      <w:bookmarkStart w:id="6630" w:name="_Toc233436005"/>
      <w:bookmarkStart w:id="6631" w:name="_Toc23419"/>
      <w:bookmarkStart w:id="6632" w:name="_Toc233215022"/>
      <w:bookmarkStart w:id="6633" w:name="_Toc23676"/>
      <w:bookmarkStart w:id="6634" w:name="_Toc11376"/>
      <w:bookmarkStart w:id="6635" w:name="_Toc283794356"/>
      <w:bookmarkStart w:id="6636" w:name="_Toc26070"/>
      <w:bookmarkStart w:id="6637" w:name="_Toc288491685"/>
      <w:bookmarkStart w:id="6638" w:name="_Toc233290464"/>
      <w:bookmarkStart w:id="6639" w:name="_Toc282787623"/>
      <w:bookmarkStart w:id="6640" w:name="_Toc10563"/>
      <w:bookmarkStart w:id="6641" w:name="_Toc233423349"/>
    </w:p>
    <w:p>
      <w:pPr>
        <w:spacing w:line="420" w:lineRule="exact"/>
        <w:ind w:firstLine="480" w:firstLineChars="200"/>
        <w:rPr>
          <w:rFonts w:ascii="楷体" w:hAnsi="楷体" w:cs="楷体"/>
          <w:bCs/>
          <w:sz w:val="24"/>
        </w:rPr>
      </w:pPr>
      <w:r>
        <w:rPr>
          <w:rFonts w:hint="eastAsia" w:ascii="楷体" w:hAnsi="楷体" w:cs="楷体"/>
          <w:bCs/>
          <w:sz w:val="24"/>
        </w:rPr>
        <w:t>3．其它说明</w:t>
      </w:r>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p>
    <w:p>
      <w:pPr>
        <w:spacing w:line="420" w:lineRule="exact"/>
        <w:ind w:firstLine="480" w:firstLineChars="200"/>
        <w:rPr>
          <w:rFonts w:ascii="楷体" w:hAnsi="楷体" w:cs="楷体"/>
          <w:sz w:val="24"/>
        </w:rPr>
      </w:pPr>
      <w:r>
        <w:rPr>
          <w:rFonts w:hint="eastAsia" w:ascii="楷体" w:hAnsi="楷体" w:cs="楷体"/>
          <w:sz w:val="24"/>
        </w:rPr>
        <w:t>3.1 工程量清单及其计价中所有要求署名、盖章处，必须由规定的单位和人员署名、盖章。</w:t>
      </w:r>
    </w:p>
    <w:p>
      <w:pPr>
        <w:spacing w:line="420" w:lineRule="exact"/>
        <w:ind w:firstLine="480" w:firstLineChars="200"/>
        <w:rPr>
          <w:rFonts w:ascii="楷体" w:hAnsi="楷体" w:cs="楷体"/>
          <w:sz w:val="24"/>
        </w:rPr>
      </w:pPr>
      <w:r>
        <w:rPr>
          <w:rFonts w:hint="eastAsia" w:ascii="楷体" w:hAnsi="楷体" w:cs="楷体"/>
          <w:sz w:val="24"/>
        </w:rPr>
        <w:t>3.2 工程量清单中的任何遗漏，不应免除承包人根据图纸规定完成单项工程的义务，并按规定进行计量支付。</w:t>
      </w:r>
    </w:p>
    <w:p>
      <w:pPr>
        <w:spacing w:line="420" w:lineRule="exact"/>
        <w:ind w:firstLine="482" w:firstLineChars="200"/>
        <w:rPr>
          <w:rFonts w:ascii="楷体" w:hAnsi="楷体" w:cs="楷体"/>
          <w:b/>
          <w:bCs/>
          <w:color w:val="0000FF"/>
          <w:sz w:val="24"/>
          <w:highlight w:val="yellow"/>
        </w:rPr>
      </w:pPr>
      <w:r>
        <w:rPr>
          <w:rFonts w:hint="eastAsia" w:ascii="楷体" w:hAnsi="楷体" w:eastAsia="楷体" w:cs="楷体"/>
          <w:b/>
          <w:bCs/>
          <w:color w:val="0000FF"/>
          <w:sz w:val="24"/>
          <w:highlight w:val="yellow"/>
        </w:rPr>
        <w:t>3.3 根据（杭交执法【2021】36号关于印发《杭州市“平安交通建设年”交通建设工程专项整治实施方案》的通知），承包人在施工过程中采取安全保护措施的安全生产费应不低于投标总报价（不含安全生产费、建筑工程一切险及第三者责任险）的2.0%计列。安全生产费的使用和支付按浙交（2021）12号关于印发《浙江省交通建设工程安全生产费用管理办法》的相关要求以及相关最新规定办理。</w:t>
      </w:r>
    </w:p>
    <w:p>
      <w:pPr>
        <w:spacing w:line="420" w:lineRule="exact"/>
        <w:ind w:firstLine="480" w:firstLineChars="200"/>
        <w:rPr>
          <w:rFonts w:ascii="楷体" w:hAnsi="楷体" w:cs="楷体"/>
          <w:sz w:val="24"/>
        </w:rPr>
      </w:pPr>
      <w:bookmarkStart w:id="6642" w:name="_Toc11558"/>
      <w:bookmarkStart w:id="6643" w:name="_Toc21109"/>
      <w:bookmarkStart w:id="6644" w:name="_Toc8431"/>
      <w:r>
        <w:rPr>
          <w:rFonts w:hint="eastAsia" w:ascii="楷体" w:hAnsi="楷体" w:cs="楷体"/>
          <w:sz w:val="24"/>
        </w:rPr>
        <w:t xml:space="preserve">3.4 </w:t>
      </w:r>
      <w:bookmarkEnd w:id="6642"/>
      <w:bookmarkEnd w:id="6643"/>
      <w:bookmarkEnd w:id="6644"/>
      <w:r>
        <w:rPr>
          <w:rFonts w:hint="eastAsia" w:ascii="楷体" w:hAnsi="楷体" w:cs="楷体"/>
          <w:sz w:val="24"/>
        </w:rPr>
        <w:t>在发中标通知书之前，招标人有权对拟中标人投标文件中的明显不平衡报价的子目单价，在投标总报价不变的前提下，协商调整至双方认可的合理范围。</w:t>
      </w:r>
      <w:bookmarkStart w:id="6645" w:name="_Toc25990"/>
      <w:bookmarkStart w:id="6646" w:name="_Toc25021"/>
      <w:bookmarkStart w:id="6647" w:name="_Toc6934"/>
      <w:bookmarkStart w:id="6648" w:name="_Toc27005"/>
      <w:bookmarkStart w:id="6649" w:name="_Toc11808"/>
      <w:bookmarkStart w:id="6650" w:name="_Toc16713"/>
      <w:bookmarkStart w:id="6651" w:name="_Toc28669"/>
      <w:bookmarkStart w:id="6652" w:name="_Toc17675"/>
      <w:bookmarkStart w:id="6653" w:name="_Toc233436006"/>
      <w:bookmarkStart w:id="6654" w:name="_Toc6113"/>
      <w:bookmarkStart w:id="6655" w:name="_Toc15916"/>
      <w:bookmarkStart w:id="6656" w:name="_Toc2441"/>
      <w:bookmarkStart w:id="6657" w:name="_Toc10371"/>
      <w:bookmarkStart w:id="6658" w:name="_Toc32153"/>
    </w:p>
    <w:p>
      <w:pPr>
        <w:pStyle w:val="5"/>
        <w:numPr>
          <w:ilvl w:val="255"/>
          <w:numId w:val="0"/>
        </w:numPr>
        <w:spacing w:before="120" w:after="120" w:line="420" w:lineRule="exact"/>
        <w:rPr>
          <w:rFonts w:ascii="楷体" w:hAnsi="楷体" w:eastAsia="宋体" w:cs="楷体"/>
          <w:bCs w:val="0"/>
          <w:sz w:val="24"/>
          <w:szCs w:val="24"/>
        </w:rPr>
      </w:pPr>
      <w:bookmarkStart w:id="6659" w:name="_Toc23542"/>
      <w:bookmarkStart w:id="6660" w:name="_Toc11074"/>
      <w:bookmarkStart w:id="6661" w:name="_Toc8047"/>
      <w:bookmarkStart w:id="6662" w:name="_Toc31113"/>
      <w:bookmarkStart w:id="6663" w:name="_Toc26721"/>
    </w:p>
    <w:p>
      <w:pPr>
        <w:pStyle w:val="18"/>
      </w:pPr>
    </w:p>
    <w:p>
      <w:pPr>
        <w:pStyle w:val="5"/>
        <w:numPr>
          <w:ilvl w:val="255"/>
          <w:numId w:val="0"/>
        </w:numPr>
        <w:spacing w:before="120" w:after="120" w:line="420" w:lineRule="exact"/>
        <w:rPr>
          <w:rFonts w:ascii="楷体" w:hAnsi="楷体" w:eastAsia="宋体" w:cs="楷体"/>
          <w:bCs w:val="0"/>
          <w:sz w:val="24"/>
          <w:szCs w:val="24"/>
        </w:rPr>
      </w:pPr>
    </w:p>
    <w:p/>
    <w:p>
      <w:pPr>
        <w:pStyle w:val="5"/>
        <w:numPr>
          <w:ilvl w:val="255"/>
          <w:numId w:val="0"/>
        </w:numPr>
        <w:spacing w:before="120" w:after="120" w:line="420" w:lineRule="exact"/>
        <w:rPr>
          <w:rFonts w:ascii="Times New Roman" w:hAnsi="Times New Roman" w:eastAsia="宋体"/>
          <w:b w:val="0"/>
          <w:bCs w:val="0"/>
          <w:spacing w:val="0"/>
          <w:sz w:val="24"/>
          <w:szCs w:val="24"/>
        </w:rPr>
      </w:pPr>
      <w:r>
        <w:rPr>
          <w:rFonts w:ascii="Times New Roman" w:hAnsi="Times New Roman" w:eastAsia="宋体"/>
          <w:b w:val="0"/>
          <w:bCs w:val="0"/>
          <w:spacing w:val="0"/>
          <w:sz w:val="24"/>
          <w:szCs w:val="24"/>
        </w:rPr>
        <w:t xml:space="preserve">4. </w:t>
      </w:r>
      <w:r>
        <w:rPr>
          <w:rFonts w:hint="eastAsia" w:ascii="Times New Roman" w:hAnsi="Times New Roman" w:eastAsia="宋体"/>
          <w:b w:val="0"/>
          <w:bCs w:val="0"/>
          <w:spacing w:val="0"/>
          <w:sz w:val="24"/>
          <w:szCs w:val="24"/>
        </w:rPr>
        <w:t>工程量清单</w:t>
      </w:r>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p>
    <w:p>
      <w:pPr>
        <w:ind w:firstLine="480" w:firstLineChars="200"/>
        <w:rPr>
          <w:sz w:val="24"/>
        </w:rPr>
      </w:pPr>
      <w:r>
        <w:rPr>
          <w:rFonts w:hint="eastAsia"/>
          <w:sz w:val="24"/>
        </w:rPr>
        <w:t>4.1  工程量清单表</w:t>
      </w:r>
    </w:p>
    <w:tbl>
      <w:tblPr>
        <w:tblStyle w:val="20"/>
        <w:tblW w:w="0" w:type="auto"/>
        <w:tblInd w:w="-274" w:type="dxa"/>
        <w:tblLayout w:type="fixed"/>
        <w:tblCellMar>
          <w:top w:w="0" w:type="dxa"/>
          <w:left w:w="0" w:type="dxa"/>
          <w:bottom w:w="0" w:type="dxa"/>
          <w:right w:w="0" w:type="dxa"/>
        </w:tblCellMar>
      </w:tblPr>
      <w:tblGrid>
        <w:gridCol w:w="1218"/>
        <w:gridCol w:w="3998"/>
        <w:gridCol w:w="751"/>
        <w:gridCol w:w="1126"/>
        <w:gridCol w:w="1145"/>
        <w:gridCol w:w="1136"/>
      </w:tblGrid>
      <w:tr>
        <w:tblPrEx>
          <w:tblCellMar>
            <w:top w:w="0" w:type="dxa"/>
            <w:left w:w="0" w:type="dxa"/>
            <w:bottom w:w="0" w:type="dxa"/>
            <w:right w:w="0" w:type="dxa"/>
          </w:tblCellMar>
        </w:tblPrEx>
        <w:trPr>
          <w:trHeight w:val="349" w:hRule="atLeast"/>
        </w:trPr>
        <w:tc>
          <w:tcPr>
            <w:tcW w:w="9374" w:type="dxa"/>
            <w:gridSpan w:val="6"/>
            <w:tcBorders>
              <w:top w:val="nil"/>
              <w:left w:val="nil"/>
              <w:bottom w:val="nil"/>
              <w:right w:val="nil"/>
            </w:tcBorders>
            <w:shd w:val="clear" w:color="auto" w:fill="FFFFFF"/>
            <w:tcMar>
              <w:top w:w="15" w:type="dxa"/>
              <w:left w:w="15" w:type="dxa"/>
              <w:right w:w="15" w:type="dxa"/>
            </w:tcMar>
          </w:tcPr>
          <w:p>
            <w:pPr>
              <w:widowControl/>
              <w:spacing w:line="360" w:lineRule="auto"/>
              <w:jc w:val="center"/>
              <w:textAlignment w:val="top"/>
              <w:rPr>
                <w:rFonts w:ascii="宋体" w:hAnsi="宋体" w:cs="宋体"/>
                <w:b/>
                <w:sz w:val="24"/>
              </w:rPr>
            </w:pPr>
            <w:r>
              <w:rPr>
                <w:rFonts w:hint="eastAsia" w:ascii="宋体" w:hAnsi="宋体" w:cs="宋体"/>
                <w:b/>
                <w:kern w:val="0"/>
                <w:sz w:val="24"/>
              </w:rPr>
              <w:t>工程量清单表</w:t>
            </w:r>
          </w:p>
        </w:tc>
      </w:tr>
      <w:tr>
        <w:tblPrEx>
          <w:tblCellMar>
            <w:top w:w="0" w:type="dxa"/>
            <w:left w:w="0" w:type="dxa"/>
            <w:bottom w:w="0" w:type="dxa"/>
            <w:right w:w="0" w:type="dxa"/>
          </w:tblCellMar>
        </w:tblPrEx>
        <w:trPr>
          <w:trHeight w:val="411" w:hRule="atLeast"/>
        </w:trPr>
        <w:tc>
          <w:tcPr>
            <w:tcW w:w="5216" w:type="dxa"/>
            <w:gridSpan w:val="2"/>
            <w:tcBorders>
              <w:top w:val="nil"/>
              <w:left w:val="nil"/>
              <w:bottom w:val="nil"/>
              <w:right w:val="nil"/>
            </w:tcBorders>
            <w:shd w:val="clear" w:color="auto" w:fill="FFFFFF"/>
            <w:tcMar>
              <w:top w:w="15" w:type="dxa"/>
              <w:left w:w="15" w:type="dxa"/>
              <w:right w:w="15" w:type="dxa"/>
            </w:tcMar>
            <w:vAlign w:val="center"/>
          </w:tcPr>
          <w:p>
            <w:pPr>
              <w:widowControl/>
              <w:spacing w:line="360" w:lineRule="auto"/>
              <w:jc w:val="left"/>
              <w:textAlignment w:val="center"/>
              <w:rPr>
                <w:rFonts w:ascii="宋体" w:hAnsi="宋体" w:cs="宋体"/>
                <w:sz w:val="24"/>
              </w:rPr>
            </w:pPr>
          </w:p>
        </w:tc>
        <w:tc>
          <w:tcPr>
            <w:tcW w:w="3022" w:type="dxa"/>
            <w:gridSpan w:val="3"/>
            <w:tcBorders>
              <w:top w:val="nil"/>
              <w:left w:val="nil"/>
              <w:bottom w:val="nil"/>
              <w:right w:val="nil"/>
            </w:tcBorders>
            <w:shd w:val="clear" w:color="auto" w:fill="FFFFFF"/>
            <w:tcMar>
              <w:top w:w="15" w:type="dxa"/>
              <w:left w:w="15" w:type="dxa"/>
              <w:right w:w="15" w:type="dxa"/>
            </w:tcMar>
            <w:vAlign w:val="center"/>
          </w:tcPr>
          <w:p>
            <w:pPr>
              <w:spacing w:line="360" w:lineRule="auto"/>
              <w:jc w:val="right"/>
              <w:rPr>
                <w:rFonts w:ascii="宋体" w:hAnsi="宋体" w:cs="宋体"/>
                <w:sz w:val="24"/>
              </w:rPr>
            </w:pPr>
          </w:p>
        </w:tc>
        <w:tc>
          <w:tcPr>
            <w:tcW w:w="1136" w:type="dxa"/>
            <w:tcBorders>
              <w:top w:val="nil"/>
              <w:left w:val="nil"/>
              <w:bottom w:val="nil"/>
              <w:right w:val="nil"/>
            </w:tcBorders>
            <w:shd w:val="clear" w:color="auto" w:fill="FFFFFF"/>
            <w:tcMar>
              <w:top w:w="15" w:type="dxa"/>
              <w:left w:w="15" w:type="dxa"/>
              <w:right w:w="15" w:type="dxa"/>
            </w:tcMar>
            <w:vAlign w:val="center"/>
          </w:tcPr>
          <w:p>
            <w:pPr>
              <w:widowControl/>
              <w:spacing w:line="360" w:lineRule="auto"/>
              <w:jc w:val="center"/>
              <w:textAlignment w:val="center"/>
              <w:rPr>
                <w:rFonts w:ascii="宋体" w:hAnsi="宋体" w:cs="宋体"/>
                <w:sz w:val="24"/>
              </w:rPr>
            </w:pPr>
          </w:p>
        </w:tc>
      </w:tr>
      <w:tr>
        <w:tblPrEx>
          <w:tblCellMar>
            <w:top w:w="0" w:type="dxa"/>
            <w:left w:w="0" w:type="dxa"/>
            <w:bottom w:w="0" w:type="dxa"/>
            <w:right w:w="0" w:type="dxa"/>
          </w:tblCellMar>
        </w:tblPrEx>
        <w:trPr>
          <w:trHeight w:val="439" w:hRule="atLeast"/>
        </w:trPr>
        <w:tc>
          <w:tcPr>
            <w:tcW w:w="9374" w:type="dxa"/>
            <w:gridSpan w:val="6"/>
            <w:tcBorders>
              <w:top w:val="single" w:color="000000" w:sz="8" w:space="0"/>
              <w:left w:val="single" w:color="000000" w:sz="8" w:space="0"/>
              <w:bottom w:val="single" w:color="000000" w:sz="4" w:space="0"/>
              <w:right w:val="single" w:color="000000" w:sz="8" w:space="0"/>
            </w:tcBorders>
            <w:shd w:val="clear" w:color="auto" w:fill="FFFFFF"/>
            <w:tcMar>
              <w:top w:w="15" w:type="dxa"/>
              <w:left w:w="15" w:type="dxa"/>
              <w:right w:w="15" w:type="dxa"/>
            </w:tcMar>
            <w:vAlign w:val="center"/>
          </w:tcPr>
          <w:p>
            <w:pPr>
              <w:widowControl/>
              <w:spacing w:line="360" w:lineRule="auto"/>
              <w:jc w:val="center"/>
              <w:textAlignment w:val="center"/>
              <w:rPr>
                <w:rFonts w:ascii="宋体" w:hAnsi="宋体" w:cs="宋体"/>
                <w:bCs/>
                <w:sz w:val="24"/>
              </w:rPr>
            </w:pPr>
            <w:r>
              <w:rPr>
                <w:rFonts w:hint="eastAsia" w:ascii="宋体" w:hAnsi="宋体" w:cs="宋体"/>
                <w:bCs/>
                <w:kern w:val="0"/>
                <w:sz w:val="24"/>
              </w:rPr>
              <w:t>清单第</w:t>
            </w:r>
            <w:r>
              <w:rPr>
                <w:rFonts w:ascii="宋体" w:hAnsi="宋体" w:cs="宋体"/>
                <w:bCs/>
                <w:kern w:val="0"/>
                <w:sz w:val="24"/>
              </w:rPr>
              <w:t xml:space="preserve">100章  </w:t>
            </w:r>
            <w:r>
              <w:rPr>
                <w:rFonts w:hint="eastAsia" w:ascii="宋体" w:hAnsi="宋体" w:cs="宋体"/>
                <w:bCs/>
                <w:kern w:val="0"/>
                <w:sz w:val="24"/>
              </w:rPr>
              <w:t>总则</w:t>
            </w:r>
          </w:p>
        </w:tc>
      </w:tr>
      <w:tr>
        <w:tblPrEx>
          <w:tblCellMar>
            <w:top w:w="0" w:type="dxa"/>
            <w:left w:w="0" w:type="dxa"/>
            <w:bottom w:w="0" w:type="dxa"/>
            <w:right w:w="0" w:type="dxa"/>
          </w:tblCellMar>
        </w:tblPrEx>
        <w:trPr>
          <w:trHeight w:val="342" w:hRule="atLeast"/>
        </w:trPr>
        <w:tc>
          <w:tcPr>
            <w:tcW w:w="1218"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宋体" w:hAnsi="宋体" w:cs="宋体"/>
                <w:bCs/>
                <w:sz w:val="24"/>
              </w:rPr>
            </w:pPr>
            <w:r>
              <w:rPr>
                <w:rFonts w:hint="eastAsia" w:ascii="宋体" w:hAnsi="宋体" w:cs="宋体"/>
                <w:bCs/>
                <w:kern w:val="0"/>
                <w:sz w:val="24"/>
              </w:rPr>
              <w:t>子目号</w:t>
            </w:r>
          </w:p>
        </w:tc>
        <w:tc>
          <w:tcPr>
            <w:tcW w:w="399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宋体" w:hAnsi="宋体" w:cs="宋体"/>
                <w:bCs/>
                <w:sz w:val="24"/>
              </w:rPr>
            </w:pPr>
            <w:r>
              <w:rPr>
                <w:rFonts w:hint="eastAsia" w:ascii="宋体" w:hAnsi="宋体" w:cs="宋体"/>
                <w:bCs/>
                <w:kern w:val="0"/>
                <w:sz w:val="24"/>
              </w:rPr>
              <w:t>子目名称</w:t>
            </w:r>
          </w:p>
        </w:tc>
        <w:tc>
          <w:tcPr>
            <w:tcW w:w="75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宋体" w:hAnsi="宋体" w:cs="宋体"/>
                <w:bCs/>
                <w:sz w:val="24"/>
              </w:rPr>
            </w:pPr>
            <w:r>
              <w:rPr>
                <w:rFonts w:hint="eastAsia" w:ascii="宋体" w:hAnsi="宋体" w:cs="宋体"/>
                <w:bCs/>
                <w:kern w:val="0"/>
                <w:sz w:val="24"/>
              </w:rPr>
              <w:t>单位</w:t>
            </w:r>
          </w:p>
        </w:tc>
        <w:tc>
          <w:tcPr>
            <w:tcW w:w="11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宋体" w:hAnsi="宋体" w:cs="宋体"/>
                <w:bCs/>
                <w:sz w:val="24"/>
              </w:rPr>
            </w:pPr>
            <w:r>
              <w:rPr>
                <w:rFonts w:hint="eastAsia" w:ascii="宋体" w:hAnsi="宋体" w:cs="宋体"/>
                <w:bCs/>
                <w:kern w:val="0"/>
                <w:sz w:val="24"/>
              </w:rPr>
              <w:t>数量</w:t>
            </w:r>
          </w:p>
        </w:tc>
        <w:tc>
          <w:tcPr>
            <w:tcW w:w="114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宋体" w:hAnsi="宋体" w:cs="宋体"/>
                <w:bCs/>
                <w:sz w:val="24"/>
              </w:rPr>
            </w:pPr>
            <w:r>
              <w:rPr>
                <w:rFonts w:hint="eastAsia" w:ascii="宋体" w:hAnsi="宋体" w:cs="宋体"/>
                <w:bCs/>
                <w:kern w:val="0"/>
                <w:sz w:val="24"/>
              </w:rPr>
              <w:t>单价</w:t>
            </w:r>
          </w:p>
        </w:tc>
        <w:tc>
          <w:tcPr>
            <w:tcW w:w="1136" w:type="dxa"/>
            <w:tcBorders>
              <w:top w:val="nil"/>
              <w:left w:val="nil"/>
              <w:bottom w:val="single" w:color="000000" w:sz="4" w:space="0"/>
              <w:right w:val="single" w:color="000000" w:sz="8" w:space="0"/>
            </w:tcBorders>
            <w:shd w:val="clear" w:color="auto" w:fill="FFFFFF"/>
            <w:tcMar>
              <w:top w:w="15" w:type="dxa"/>
              <w:left w:w="15" w:type="dxa"/>
              <w:right w:w="15" w:type="dxa"/>
            </w:tcMar>
            <w:vAlign w:val="center"/>
          </w:tcPr>
          <w:p>
            <w:pPr>
              <w:widowControl/>
              <w:spacing w:line="360" w:lineRule="auto"/>
              <w:jc w:val="center"/>
              <w:textAlignment w:val="center"/>
              <w:rPr>
                <w:rFonts w:ascii="宋体" w:hAnsi="宋体" w:cs="宋体"/>
                <w:bCs/>
                <w:sz w:val="24"/>
              </w:rPr>
            </w:pPr>
            <w:r>
              <w:rPr>
                <w:rFonts w:hint="eastAsia" w:ascii="宋体" w:hAnsi="宋体" w:cs="宋体"/>
                <w:bCs/>
                <w:kern w:val="0"/>
                <w:sz w:val="24"/>
              </w:rPr>
              <w:t>合价</w:t>
            </w:r>
          </w:p>
        </w:tc>
      </w:tr>
      <w:tr>
        <w:tblPrEx>
          <w:tblCellMar>
            <w:top w:w="0" w:type="dxa"/>
            <w:left w:w="0" w:type="dxa"/>
            <w:bottom w:w="0" w:type="dxa"/>
            <w:right w:w="0" w:type="dxa"/>
          </w:tblCellMar>
        </w:tblPrEx>
        <w:trPr>
          <w:trHeight w:val="90" w:hRule="atLeast"/>
        </w:trPr>
        <w:tc>
          <w:tcPr>
            <w:tcW w:w="1218"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宋体" w:hAnsi="宋体" w:cs="宋体"/>
                <w:bCs/>
                <w:sz w:val="24"/>
              </w:rPr>
            </w:pPr>
          </w:p>
        </w:tc>
        <w:tc>
          <w:tcPr>
            <w:tcW w:w="399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left"/>
              <w:textAlignment w:val="center"/>
              <w:rPr>
                <w:rFonts w:ascii="宋体" w:hAnsi="宋体" w:cs="宋体"/>
                <w:bCs/>
                <w:sz w:val="24"/>
              </w:rPr>
            </w:pPr>
          </w:p>
        </w:tc>
        <w:tc>
          <w:tcPr>
            <w:tcW w:w="75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spacing w:line="360" w:lineRule="auto"/>
              <w:jc w:val="center"/>
              <w:rPr>
                <w:rFonts w:ascii="宋体" w:hAnsi="宋体" w:cs="宋体"/>
                <w:bCs/>
                <w:sz w:val="24"/>
              </w:rPr>
            </w:pPr>
          </w:p>
        </w:tc>
        <w:tc>
          <w:tcPr>
            <w:tcW w:w="11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spacing w:line="360" w:lineRule="auto"/>
              <w:jc w:val="right"/>
              <w:rPr>
                <w:rFonts w:ascii="Arial Narrow" w:hAnsi="Arial Narrow" w:eastAsia="Arial Narrow" w:cs="Arial Narrow"/>
                <w:bCs/>
                <w:sz w:val="24"/>
              </w:rPr>
            </w:pPr>
          </w:p>
        </w:tc>
        <w:tc>
          <w:tcPr>
            <w:tcW w:w="114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spacing w:line="360" w:lineRule="auto"/>
              <w:jc w:val="right"/>
              <w:rPr>
                <w:rFonts w:ascii="Arial Narrow" w:hAnsi="Arial Narrow" w:eastAsia="Arial Narrow" w:cs="Arial Narrow"/>
                <w:bCs/>
                <w:sz w:val="24"/>
              </w:rPr>
            </w:pPr>
          </w:p>
        </w:tc>
        <w:tc>
          <w:tcPr>
            <w:tcW w:w="1136" w:type="dxa"/>
            <w:tcBorders>
              <w:top w:val="nil"/>
              <w:left w:val="nil"/>
              <w:bottom w:val="single" w:color="000000" w:sz="4" w:space="0"/>
              <w:right w:val="single" w:color="000000" w:sz="8" w:space="0"/>
            </w:tcBorders>
            <w:shd w:val="clear" w:color="auto" w:fill="FFFFFF"/>
            <w:tcMar>
              <w:top w:w="15" w:type="dxa"/>
              <w:left w:w="15" w:type="dxa"/>
              <w:right w:w="15" w:type="dxa"/>
            </w:tcMar>
            <w:vAlign w:val="center"/>
          </w:tcPr>
          <w:p>
            <w:pPr>
              <w:spacing w:line="360" w:lineRule="auto"/>
              <w:jc w:val="right"/>
              <w:rPr>
                <w:rFonts w:ascii="Arial Narrow" w:hAnsi="Arial Narrow" w:eastAsia="Arial Narrow" w:cs="Arial Narrow"/>
                <w:bCs/>
                <w:sz w:val="24"/>
              </w:rPr>
            </w:pPr>
          </w:p>
        </w:tc>
      </w:tr>
      <w:tr>
        <w:tblPrEx>
          <w:tblCellMar>
            <w:top w:w="0" w:type="dxa"/>
            <w:left w:w="0" w:type="dxa"/>
            <w:bottom w:w="0" w:type="dxa"/>
            <w:right w:w="0" w:type="dxa"/>
          </w:tblCellMar>
        </w:tblPrEx>
        <w:trPr>
          <w:trHeight w:val="430" w:hRule="atLeast"/>
        </w:trPr>
        <w:tc>
          <w:tcPr>
            <w:tcW w:w="1218"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宋体" w:hAnsi="宋体" w:cs="宋体"/>
                <w:bCs/>
                <w:sz w:val="24"/>
              </w:rPr>
            </w:pPr>
          </w:p>
        </w:tc>
        <w:tc>
          <w:tcPr>
            <w:tcW w:w="399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left"/>
              <w:textAlignment w:val="center"/>
              <w:rPr>
                <w:rFonts w:ascii="宋体" w:hAnsi="宋体" w:cs="宋体"/>
                <w:bCs/>
                <w:sz w:val="24"/>
              </w:rPr>
            </w:pPr>
          </w:p>
        </w:tc>
        <w:tc>
          <w:tcPr>
            <w:tcW w:w="75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spacing w:line="360" w:lineRule="auto"/>
              <w:jc w:val="center"/>
              <w:rPr>
                <w:rFonts w:ascii="宋体" w:hAnsi="宋体" w:cs="宋体"/>
                <w:bCs/>
                <w:sz w:val="24"/>
              </w:rPr>
            </w:pPr>
          </w:p>
        </w:tc>
        <w:tc>
          <w:tcPr>
            <w:tcW w:w="11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spacing w:line="360" w:lineRule="auto"/>
              <w:jc w:val="right"/>
              <w:rPr>
                <w:rFonts w:ascii="Arial Narrow" w:hAnsi="Arial Narrow" w:eastAsia="Arial Narrow" w:cs="Arial Narrow"/>
                <w:bCs/>
                <w:sz w:val="24"/>
              </w:rPr>
            </w:pPr>
          </w:p>
        </w:tc>
        <w:tc>
          <w:tcPr>
            <w:tcW w:w="114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spacing w:line="360" w:lineRule="auto"/>
              <w:jc w:val="right"/>
              <w:rPr>
                <w:rFonts w:ascii="Arial Narrow" w:hAnsi="Arial Narrow" w:eastAsia="Arial Narrow" w:cs="Arial Narrow"/>
                <w:bCs/>
                <w:sz w:val="24"/>
              </w:rPr>
            </w:pPr>
          </w:p>
        </w:tc>
        <w:tc>
          <w:tcPr>
            <w:tcW w:w="1136" w:type="dxa"/>
            <w:tcBorders>
              <w:top w:val="nil"/>
              <w:left w:val="nil"/>
              <w:bottom w:val="single" w:color="000000" w:sz="4" w:space="0"/>
              <w:right w:val="single" w:color="000000" w:sz="8" w:space="0"/>
            </w:tcBorders>
            <w:shd w:val="clear" w:color="auto" w:fill="FFFFFF"/>
            <w:tcMar>
              <w:top w:w="15" w:type="dxa"/>
              <w:left w:w="15" w:type="dxa"/>
              <w:right w:w="15" w:type="dxa"/>
            </w:tcMar>
            <w:vAlign w:val="center"/>
          </w:tcPr>
          <w:p>
            <w:pPr>
              <w:spacing w:line="360" w:lineRule="auto"/>
              <w:jc w:val="right"/>
              <w:rPr>
                <w:rFonts w:ascii="Arial Narrow" w:hAnsi="Arial Narrow" w:eastAsia="Arial Narrow" w:cs="Arial Narrow"/>
                <w:bCs/>
                <w:sz w:val="24"/>
              </w:rPr>
            </w:pPr>
          </w:p>
        </w:tc>
      </w:tr>
      <w:tr>
        <w:tblPrEx>
          <w:tblCellMar>
            <w:top w:w="0" w:type="dxa"/>
            <w:left w:w="0" w:type="dxa"/>
            <w:bottom w:w="0" w:type="dxa"/>
            <w:right w:w="0" w:type="dxa"/>
          </w:tblCellMar>
        </w:tblPrEx>
        <w:trPr>
          <w:trHeight w:val="300" w:hRule="atLeast"/>
        </w:trPr>
        <w:tc>
          <w:tcPr>
            <w:tcW w:w="1218"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宋体" w:hAnsi="宋体" w:cs="宋体"/>
                <w:bCs/>
                <w:sz w:val="24"/>
              </w:rPr>
            </w:pPr>
          </w:p>
        </w:tc>
        <w:tc>
          <w:tcPr>
            <w:tcW w:w="399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left"/>
              <w:textAlignment w:val="center"/>
              <w:rPr>
                <w:rFonts w:ascii="宋体" w:hAnsi="宋体" w:cs="宋体"/>
                <w:bCs/>
                <w:sz w:val="24"/>
              </w:rPr>
            </w:pPr>
          </w:p>
        </w:tc>
        <w:tc>
          <w:tcPr>
            <w:tcW w:w="75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宋体" w:hAnsi="宋体" w:cs="宋体"/>
                <w:bCs/>
                <w:sz w:val="24"/>
              </w:rPr>
            </w:pPr>
          </w:p>
        </w:tc>
        <w:tc>
          <w:tcPr>
            <w:tcW w:w="11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宋体" w:hAnsi="宋体" w:cs="Arial Narrow"/>
                <w:bCs/>
                <w:sz w:val="24"/>
              </w:rPr>
            </w:pPr>
          </w:p>
        </w:tc>
        <w:tc>
          <w:tcPr>
            <w:tcW w:w="114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spacing w:line="360" w:lineRule="auto"/>
              <w:ind w:firstLine="240" w:firstLineChars="100"/>
              <w:rPr>
                <w:rFonts w:ascii="宋体" w:hAnsi="宋体" w:cs="Arial Narrow"/>
                <w:bCs/>
                <w:sz w:val="24"/>
              </w:rPr>
            </w:pPr>
          </w:p>
        </w:tc>
        <w:tc>
          <w:tcPr>
            <w:tcW w:w="1136" w:type="dxa"/>
            <w:tcBorders>
              <w:top w:val="nil"/>
              <w:left w:val="nil"/>
              <w:bottom w:val="single" w:color="000000" w:sz="4" w:space="0"/>
              <w:right w:val="single" w:color="000000" w:sz="8" w:space="0"/>
            </w:tcBorders>
            <w:shd w:val="clear" w:color="auto" w:fill="FFFFFF"/>
            <w:tcMar>
              <w:top w:w="15" w:type="dxa"/>
              <w:left w:w="15" w:type="dxa"/>
              <w:right w:w="15" w:type="dxa"/>
            </w:tcMar>
            <w:vAlign w:val="center"/>
          </w:tcPr>
          <w:p>
            <w:pPr>
              <w:spacing w:line="360" w:lineRule="auto"/>
              <w:jc w:val="center"/>
              <w:rPr>
                <w:rFonts w:ascii="宋体" w:hAnsi="宋体" w:cs="Arial Narrow"/>
                <w:bCs/>
                <w:sz w:val="24"/>
              </w:rPr>
            </w:pPr>
          </w:p>
        </w:tc>
      </w:tr>
      <w:tr>
        <w:tblPrEx>
          <w:tblCellMar>
            <w:top w:w="0" w:type="dxa"/>
            <w:left w:w="0" w:type="dxa"/>
            <w:bottom w:w="0" w:type="dxa"/>
            <w:right w:w="0" w:type="dxa"/>
          </w:tblCellMar>
        </w:tblPrEx>
        <w:trPr>
          <w:trHeight w:val="300" w:hRule="atLeast"/>
        </w:trPr>
        <w:tc>
          <w:tcPr>
            <w:tcW w:w="1218"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宋体" w:hAnsi="宋体" w:cs="宋体"/>
                <w:bCs/>
                <w:sz w:val="24"/>
              </w:rPr>
            </w:pPr>
          </w:p>
        </w:tc>
        <w:tc>
          <w:tcPr>
            <w:tcW w:w="399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left"/>
              <w:textAlignment w:val="center"/>
              <w:rPr>
                <w:rFonts w:ascii="宋体" w:hAnsi="宋体" w:cs="宋体"/>
                <w:bCs/>
                <w:sz w:val="24"/>
              </w:rPr>
            </w:pPr>
          </w:p>
        </w:tc>
        <w:tc>
          <w:tcPr>
            <w:tcW w:w="75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宋体" w:hAnsi="宋体" w:cs="宋体"/>
                <w:bCs/>
                <w:sz w:val="24"/>
              </w:rPr>
            </w:pPr>
          </w:p>
        </w:tc>
        <w:tc>
          <w:tcPr>
            <w:tcW w:w="11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宋体" w:hAnsi="宋体" w:cs="Arial Narrow"/>
                <w:bCs/>
                <w:sz w:val="24"/>
              </w:rPr>
            </w:pPr>
          </w:p>
        </w:tc>
        <w:tc>
          <w:tcPr>
            <w:tcW w:w="114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spacing w:line="360" w:lineRule="auto"/>
              <w:jc w:val="center"/>
              <w:rPr>
                <w:rFonts w:ascii="宋体" w:hAnsi="宋体" w:cs="Arial Narrow"/>
                <w:bCs/>
                <w:sz w:val="24"/>
              </w:rPr>
            </w:pPr>
          </w:p>
        </w:tc>
        <w:tc>
          <w:tcPr>
            <w:tcW w:w="1136" w:type="dxa"/>
            <w:tcBorders>
              <w:top w:val="nil"/>
              <w:left w:val="nil"/>
              <w:bottom w:val="single" w:color="000000" w:sz="4" w:space="0"/>
              <w:right w:val="single" w:color="000000" w:sz="8" w:space="0"/>
            </w:tcBorders>
            <w:shd w:val="clear" w:color="auto" w:fill="FFFFFF"/>
            <w:tcMar>
              <w:top w:w="15" w:type="dxa"/>
              <w:left w:w="15" w:type="dxa"/>
              <w:right w:w="15" w:type="dxa"/>
            </w:tcMar>
            <w:vAlign w:val="center"/>
          </w:tcPr>
          <w:p>
            <w:pPr>
              <w:spacing w:line="360" w:lineRule="auto"/>
              <w:jc w:val="center"/>
              <w:rPr>
                <w:rFonts w:ascii="宋体" w:hAnsi="宋体" w:cs="Arial Narrow"/>
                <w:bCs/>
                <w:sz w:val="24"/>
              </w:rPr>
            </w:pPr>
          </w:p>
        </w:tc>
      </w:tr>
      <w:tr>
        <w:tblPrEx>
          <w:tblCellMar>
            <w:top w:w="0" w:type="dxa"/>
            <w:left w:w="0" w:type="dxa"/>
            <w:bottom w:w="0" w:type="dxa"/>
            <w:right w:w="0" w:type="dxa"/>
          </w:tblCellMar>
        </w:tblPrEx>
        <w:trPr>
          <w:trHeight w:val="356" w:hRule="atLeast"/>
        </w:trPr>
        <w:tc>
          <w:tcPr>
            <w:tcW w:w="1218"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宋体" w:hAnsi="宋体" w:cs="宋体"/>
                <w:bCs/>
                <w:sz w:val="24"/>
              </w:rPr>
            </w:pPr>
          </w:p>
        </w:tc>
        <w:tc>
          <w:tcPr>
            <w:tcW w:w="399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left"/>
              <w:textAlignment w:val="center"/>
              <w:rPr>
                <w:rFonts w:ascii="宋体" w:hAnsi="宋体" w:cs="宋体"/>
                <w:bCs/>
                <w:sz w:val="24"/>
              </w:rPr>
            </w:pPr>
          </w:p>
        </w:tc>
        <w:tc>
          <w:tcPr>
            <w:tcW w:w="75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spacing w:line="360" w:lineRule="auto"/>
              <w:jc w:val="center"/>
              <w:rPr>
                <w:rFonts w:ascii="宋体" w:hAnsi="宋体" w:cs="宋体"/>
                <w:bCs/>
                <w:sz w:val="24"/>
              </w:rPr>
            </w:pPr>
          </w:p>
        </w:tc>
        <w:tc>
          <w:tcPr>
            <w:tcW w:w="11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spacing w:line="360" w:lineRule="auto"/>
              <w:jc w:val="center"/>
              <w:rPr>
                <w:rFonts w:ascii="宋体" w:hAnsi="宋体" w:cs="Arial Narrow"/>
                <w:bCs/>
                <w:sz w:val="24"/>
              </w:rPr>
            </w:pPr>
          </w:p>
        </w:tc>
        <w:tc>
          <w:tcPr>
            <w:tcW w:w="114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spacing w:line="360" w:lineRule="auto"/>
              <w:jc w:val="center"/>
              <w:rPr>
                <w:rFonts w:ascii="宋体" w:hAnsi="宋体" w:cs="Arial Narrow"/>
                <w:bCs/>
                <w:sz w:val="24"/>
              </w:rPr>
            </w:pPr>
          </w:p>
        </w:tc>
        <w:tc>
          <w:tcPr>
            <w:tcW w:w="1136" w:type="dxa"/>
            <w:tcBorders>
              <w:top w:val="nil"/>
              <w:left w:val="nil"/>
              <w:bottom w:val="single" w:color="000000" w:sz="4" w:space="0"/>
              <w:right w:val="single" w:color="000000" w:sz="8" w:space="0"/>
            </w:tcBorders>
            <w:shd w:val="clear" w:color="auto" w:fill="FFFFFF"/>
            <w:tcMar>
              <w:top w:w="15" w:type="dxa"/>
              <w:left w:w="15" w:type="dxa"/>
              <w:right w:w="15" w:type="dxa"/>
            </w:tcMar>
            <w:vAlign w:val="center"/>
          </w:tcPr>
          <w:p>
            <w:pPr>
              <w:spacing w:line="360" w:lineRule="auto"/>
              <w:jc w:val="center"/>
              <w:rPr>
                <w:rFonts w:ascii="宋体" w:hAnsi="宋体" w:cs="Arial Narrow"/>
                <w:bCs/>
                <w:sz w:val="24"/>
              </w:rPr>
            </w:pPr>
          </w:p>
        </w:tc>
      </w:tr>
      <w:tr>
        <w:tblPrEx>
          <w:tblCellMar>
            <w:top w:w="0" w:type="dxa"/>
            <w:left w:w="0" w:type="dxa"/>
            <w:bottom w:w="0" w:type="dxa"/>
            <w:right w:w="0" w:type="dxa"/>
          </w:tblCellMar>
        </w:tblPrEx>
        <w:trPr>
          <w:trHeight w:val="300" w:hRule="atLeast"/>
        </w:trPr>
        <w:tc>
          <w:tcPr>
            <w:tcW w:w="1218"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宋体" w:hAnsi="宋体" w:cs="宋体"/>
                <w:bCs/>
                <w:sz w:val="24"/>
              </w:rPr>
            </w:pPr>
          </w:p>
        </w:tc>
        <w:tc>
          <w:tcPr>
            <w:tcW w:w="399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left"/>
              <w:textAlignment w:val="center"/>
              <w:rPr>
                <w:rFonts w:ascii="宋体" w:hAnsi="宋体" w:cs="宋体"/>
                <w:bCs/>
                <w:sz w:val="24"/>
              </w:rPr>
            </w:pPr>
          </w:p>
        </w:tc>
        <w:tc>
          <w:tcPr>
            <w:tcW w:w="75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宋体" w:hAnsi="宋体" w:cs="宋体"/>
                <w:bCs/>
                <w:sz w:val="24"/>
              </w:rPr>
            </w:pPr>
          </w:p>
        </w:tc>
        <w:tc>
          <w:tcPr>
            <w:tcW w:w="11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宋体" w:hAnsi="宋体" w:cs="Arial Narrow"/>
                <w:bCs/>
                <w:sz w:val="24"/>
              </w:rPr>
            </w:pPr>
          </w:p>
        </w:tc>
        <w:tc>
          <w:tcPr>
            <w:tcW w:w="114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spacing w:line="360" w:lineRule="auto"/>
              <w:jc w:val="center"/>
              <w:rPr>
                <w:rFonts w:ascii="宋体" w:hAnsi="宋体" w:cs="Arial Narrow"/>
                <w:bCs/>
                <w:sz w:val="24"/>
              </w:rPr>
            </w:pPr>
          </w:p>
        </w:tc>
        <w:tc>
          <w:tcPr>
            <w:tcW w:w="1136" w:type="dxa"/>
            <w:tcBorders>
              <w:top w:val="nil"/>
              <w:left w:val="nil"/>
              <w:bottom w:val="single" w:color="000000" w:sz="4" w:space="0"/>
              <w:right w:val="single" w:color="000000" w:sz="8" w:space="0"/>
            </w:tcBorders>
            <w:shd w:val="clear" w:color="auto" w:fill="FFFFFF"/>
            <w:tcMar>
              <w:top w:w="15" w:type="dxa"/>
              <w:left w:w="15" w:type="dxa"/>
              <w:right w:w="15" w:type="dxa"/>
            </w:tcMar>
            <w:vAlign w:val="center"/>
          </w:tcPr>
          <w:p>
            <w:pPr>
              <w:spacing w:line="360" w:lineRule="auto"/>
              <w:jc w:val="center"/>
              <w:rPr>
                <w:rFonts w:ascii="宋体" w:hAnsi="宋体" w:cs="Arial Narrow"/>
                <w:bCs/>
                <w:sz w:val="24"/>
              </w:rPr>
            </w:pPr>
          </w:p>
        </w:tc>
      </w:tr>
      <w:tr>
        <w:tblPrEx>
          <w:tblCellMar>
            <w:top w:w="0" w:type="dxa"/>
            <w:left w:w="0" w:type="dxa"/>
            <w:bottom w:w="0" w:type="dxa"/>
            <w:right w:w="0" w:type="dxa"/>
          </w:tblCellMar>
        </w:tblPrEx>
        <w:trPr>
          <w:trHeight w:val="300" w:hRule="atLeast"/>
        </w:trPr>
        <w:tc>
          <w:tcPr>
            <w:tcW w:w="1218"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宋体" w:hAnsi="宋体" w:cs="宋体"/>
                <w:bCs/>
                <w:sz w:val="24"/>
              </w:rPr>
            </w:pPr>
          </w:p>
        </w:tc>
        <w:tc>
          <w:tcPr>
            <w:tcW w:w="399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left"/>
              <w:textAlignment w:val="center"/>
              <w:rPr>
                <w:rFonts w:ascii="宋体" w:hAnsi="宋体" w:cs="宋体"/>
                <w:bCs/>
                <w:sz w:val="24"/>
              </w:rPr>
            </w:pPr>
          </w:p>
        </w:tc>
        <w:tc>
          <w:tcPr>
            <w:tcW w:w="75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宋体" w:hAnsi="宋体" w:cs="宋体"/>
                <w:bCs/>
                <w:sz w:val="24"/>
              </w:rPr>
            </w:pPr>
          </w:p>
        </w:tc>
        <w:tc>
          <w:tcPr>
            <w:tcW w:w="11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宋体" w:hAnsi="宋体" w:cs="Arial Narrow"/>
                <w:bCs/>
                <w:sz w:val="24"/>
              </w:rPr>
            </w:pPr>
          </w:p>
        </w:tc>
        <w:tc>
          <w:tcPr>
            <w:tcW w:w="114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spacing w:line="360" w:lineRule="auto"/>
              <w:jc w:val="center"/>
              <w:rPr>
                <w:rFonts w:ascii="宋体" w:hAnsi="宋体" w:cs="Arial Narrow"/>
                <w:bCs/>
                <w:sz w:val="24"/>
              </w:rPr>
            </w:pPr>
          </w:p>
        </w:tc>
        <w:tc>
          <w:tcPr>
            <w:tcW w:w="1136" w:type="dxa"/>
            <w:tcBorders>
              <w:top w:val="nil"/>
              <w:left w:val="nil"/>
              <w:bottom w:val="single" w:color="000000" w:sz="4" w:space="0"/>
              <w:right w:val="single" w:color="000000" w:sz="8" w:space="0"/>
            </w:tcBorders>
            <w:shd w:val="clear" w:color="auto" w:fill="FFFFFF"/>
            <w:tcMar>
              <w:top w:w="15" w:type="dxa"/>
              <w:left w:w="15" w:type="dxa"/>
              <w:right w:w="15" w:type="dxa"/>
            </w:tcMar>
            <w:vAlign w:val="center"/>
          </w:tcPr>
          <w:p>
            <w:pPr>
              <w:spacing w:line="360" w:lineRule="auto"/>
              <w:jc w:val="center"/>
              <w:rPr>
                <w:rFonts w:ascii="宋体" w:hAnsi="宋体" w:cs="Arial Narrow"/>
                <w:bCs/>
                <w:sz w:val="24"/>
              </w:rPr>
            </w:pPr>
          </w:p>
        </w:tc>
      </w:tr>
      <w:tr>
        <w:tblPrEx>
          <w:tblCellMar>
            <w:top w:w="0" w:type="dxa"/>
            <w:left w:w="0" w:type="dxa"/>
            <w:bottom w:w="0" w:type="dxa"/>
            <w:right w:w="0" w:type="dxa"/>
          </w:tblCellMar>
        </w:tblPrEx>
        <w:trPr>
          <w:trHeight w:val="300" w:hRule="atLeast"/>
        </w:trPr>
        <w:tc>
          <w:tcPr>
            <w:tcW w:w="1218"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宋体" w:hAnsi="宋体" w:cs="宋体"/>
                <w:bCs/>
                <w:sz w:val="24"/>
              </w:rPr>
            </w:pPr>
          </w:p>
        </w:tc>
        <w:tc>
          <w:tcPr>
            <w:tcW w:w="399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left"/>
              <w:textAlignment w:val="center"/>
              <w:rPr>
                <w:rFonts w:ascii="宋体" w:hAnsi="宋体" w:cs="宋体"/>
                <w:bCs/>
                <w:sz w:val="24"/>
              </w:rPr>
            </w:pPr>
          </w:p>
        </w:tc>
        <w:tc>
          <w:tcPr>
            <w:tcW w:w="75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宋体" w:hAnsi="宋体" w:cs="宋体"/>
                <w:bCs/>
                <w:sz w:val="24"/>
              </w:rPr>
            </w:pPr>
          </w:p>
        </w:tc>
        <w:tc>
          <w:tcPr>
            <w:tcW w:w="11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宋体" w:hAnsi="宋体" w:cs="Arial Narrow"/>
                <w:bCs/>
                <w:sz w:val="24"/>
              </w:rPr>
            </w:pPr>
          </w:p>
        </w:tc>
        <w:tc>
          <w:tcPr>
            <w:tcW w:w="114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spacing w:line="360" w:lineRule="auto"/>
              <w:jc w:val="center"/>
              <w:rPr>
                <w:rFonts w:ascii="宋体" w:hAnsi="宋体" w:cs="Arial Narrow"/>
                <w:bCs/>
                <w:sz w:val="24"/>
              </w:rPr>
            </w:pPr>
          </w:p>
        </w:tc>
        <w:tc>
          <w:tcPr>
            <w:tcW w:w="1136" w:type="dxa"/>
            <w:tcBorders>
              <w:top w:val="nil"/>
              <w:left w:val="nil"/>
              <w:bottom w:val="single" w:color="000000" w:sz="4" w:space="0"/>
              <w:right w:val="single" w:color="000000" w:sz="8" w:space="0"/>
            </w:tcBorders>
            <w:shd w:val="clear" w:color="auto" w:fill="FFFFFF"/>
            <w:tcMar>
              <w:top w:w="15" w:type="dxa"/>
              <w:left w:w="15" w:type="dxa"/>
              <w:right w:w="15" w:type="dxa"/>
            </w:tcMar>
            <w:vAlign w:val="center"/>
          </w:tcPr>
          <w:p>
            <w:pPr>
              <w:spacing w:line="360" w:lineRule="auto"/>
              <w:jc w:val="center"/>
              <w:rPr>
                <w:rFonts w:ascii="宋体" w:hAnsi="宋体" w:cs="Arial Narrow"/>
                <w:bCs/>
                <w:sz w:val="24"/>
              </w:rPr>
            </w:pPr>
          </w:p>
        </w:tc>
      </w:tr>
      <w:tr>
        <w:tblPrEx>
          <w:tblCellMar>
            <w:top w:w="0" w:type="dxa"/>
            <w:left w:w="0" w:type="dxa"/>
            <w:bottom w:w="0" w:type="dxa"/>
            <w:right w:w="0" w:type="dxa"/>
          </w:tblCellMar>
        </w:tblPrEx>
        <w:trPr>
          <w:trHeight w:val="300" w:hRule="atLeast"/>
        </w:trPr>
        <w:tc>
          <w:tcPr>
            <w:tcW w:w="1218"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宋体" w:hAnsi="宋体" w:cs="宋体"/>
                <w:bCs/>
                <w:sz w:val="24"/>
              </w:rPr>
            </w:pPr>
          </w:p>
        </w:tc>
        <w:tc>
          <w:tcPr>
            <w:tcW w:w="399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left"/>
              <w:textAlignment w:val="center"/>
              <w:rPr>
                <w:rFonts w:ascii="宋体" w:hAnsi="宋体" w:cs="宋体"/>
                <w:bCs/>
                <w:sz w:val="24"/>
              </w:rPr>
            </w:pPr>
          </w:p>
        </w:tc>
        <w:tc>
          <w:tcPr>
            <w:tcW w:w="75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宋体" w:hAnsi="宋体" w:cs="宋体"/>
                <w:bCs/>
                <w:sz w:val="24"/>
              </w:rPr>
            </w:pPr>
          </w:p>
        </w:tc>
        <w:tc>
          <w:tcPr>
            <w:tcW w:w="11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宋体" w:hAnsi="宋体" w:cs="Arial Narrow"/>
                <w:bCs/>
                <w:sz w:val="24"/>
              </w:rPr>
            </w:pPr>
          </w:p>
        </w:tc>
        <w:tc>
          <w:tcPr>
            <w:tcW w:w="114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spacing w:line="360" w:lineRule="auto"/>
              <w:jc w:val="center"/>
              <w:rPr>
                <w:rFonts w:ascii="宋体" w:hAnsi="宋体" w:cs="Arial Narrow"/>
                <w:bCs/>
                <w:sz w:val="24"/>
              </w:rPr>
            </w:pPr>
          </w:p>
        </w:tc>
        <w:tc>
          <w:tcPr>
            <w:tcW w:w="1136" w:type="dxa"/>
            <w:tcBorders>
              <w:top w:val="nil"/>
              <w:left w:val="nil"/>
              <w:bottom w:val="single" w:color="000000" w:sz="4" w:space="0"/>
              <w:right w:val="single" w:color="000000" w:sz="8" w:space="0"/>
            </w:tcBorders>
            <w:shd w:val="clear" w:color="auto" w:fill="FFFFFF"/>
            <w:tcMar>
              <w:top w:w="15" w:type="dxa"/>
              <w:left w:w="15" w:type="dxa"/>
              <w:right w:w="15" w:type="dxa"/>
            </w:tcMar>
            <w:vAlign w:val="center"/>
          </w:tcPr>
          <w:p>
            <w:pPr>
              <w:spacing w:line="360" w:lineRule="auto"/>
              <w:jc w:val="center"/>
              <w:rPr>
                <w:rFonts w:ascii="宋体" w:hAnsi="宋体" w:cs="Arial Narrow"/>
                <w:bCs/>
                <w:sz w:val="24"/>
              </w:rPr>
            </w:pPr>
          </w:p>
        </w:tc>
      </w:tr>
      <w:tr>
        <w:tblPrEx>
          <w:tblCellMar>
            <w:top w:w="0" w:type="dxa"/>
            <w:left w:w="0" w:type="dxa"/>
            <w:bottom w:w="0" w:type="dxa"/>
            <w:right w:w="0" w:type="dxa"/>
          </w:tblCellMar>
        </w:tblPrEx>
        <w:trPr>
          <w:trHeight w:val="300" w:hRule="atLeast"/>
        </w:trPr>
        <w:tc>
          <w:tcPr>
            <w:tcW w:w="1218"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宋体" w:hAnsi="宋体" w:cs="宋体"/>
                <w:bCs/>
                <w:sz w:val="24"/>
              </w:rPr>
            </w:pPr>
          </w:p>
        </w:tc>
        <w:tc>
          <w:tcPr>
            <w:tcW w:w="399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left"/>
              <w:textAlignment w:val="center"/>
              <w:rPr>
                <w:rFonts w:ascii="宋体" w:hAnsi="宋体" w:cs="宋体"/>
                <w:bCs/>
                <w:sz w:val="24"/>
              </w:rPr>
            </w:pPr>
          </w:p>
        </w:tc>
        <w:tc>
          <w:tcPr>
            <w:tcW w:w="75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spacing w:line="360" w:lineRule="auto"/>
              <w:jc w:val="center"/>
              <w:rPr>
                <w:rFonts w:ascii="宋体" w:hAnsi="宋体" w:cs="宋体"/>
                <w:bCs/>
                <w:sz w:val="24"/>
              </w:rPr>
            </w:pPr>
          </w:p>
        </w:tc>
        <w:tc>
          <w:tcPr>
            <w:tcW w:w="11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spacing w:line="360" w:lineRule="auto"/>
              <w:jc w:val="center"/>
              <w:rPr>
                <w:rFonts w:ascii="宋体" w:hAnsi="宋体" w:cs="Arial Narrow"/>
                <w:bCs/>
                <w:sz w:val="24"/>
              </w:rPr>
            </w:pPr>
          </w:p>
        </w:tc>
        <w:tc>
          <w:tcPr>
            <w:tcW w:w="114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spacing w:line="360" w:lineRule="auto"/>
              <w:jc w:val="center"/>
              <w:rPr>
                <w:rFonts w:ascii="宋体" w:hAnsi="宋体" w:cs="Arial Narrow"/>
                <w:bCs/>
                <w:sz w:val="24"/>
              </w:rPr>
            </w:pPr>
          </w:p>
        </w:tc>
        <w:tc>
          <w:tcPr>
            <w:tcW w:w="1136" w:type="dxa"/>
            <w:tcBorders>
              <w:top w:val="nil"/>
              <w:left w:val="nil"/>
              <w:bottom w:val="single" w:color="000000" w:sz="4" w:space="0"/>
              <w:right w:val="single" w:color="000000" w:sz="8" w:space="0"/>
            </w:tcBorders>
            <w:shd w:val="clear" w:color="auto" w:fill="FFFFFF"/>
            <w:tcMar>
              <w:top w:w="15" w:type="dxa"/>
              <w:left w:w="15" w:type="dxa"/>
              <w:right w:w="15" w:type="dxa"/>
            </w:tcMar>
            <w:vAlign w:val="center"/>
          </w:tcPr>
          <w:p>
            <w:pPr>
              <w:spacing w:line="360" w:lineRule="auto"/>
              <w:jc w:val="center"/>
              <w:rPr>
                <w:rFonts w:ascii="宋体" w:hAnsi="宋体" w:cs="Arial Narrow"/>
                <w:bCs/>
                <w:sz w:val="24"/>
              </w:rPr>
            </w:pPr>
          </w:p>
        </w:tc>
      </w:tr>
      <w:tr>
        <w:tblPrEx>
          <w:tblCellMar>
            <w:top w:w="0" w:type="dxa"/>
            <w:left w:w="0" w:type="dxa"/>
            <w:bottom w:w="0" w:type="dxa"/>
            <w:right w:w="0" w:type="dxa"/>
          </w:tblCellMar>
        </w:tblPrEx>
        <w:trPr>
          <w:trHeight w:val="300" w:hRule="atLeast"/>
        </w:trPr>
        <w:tc>
          <w:tcPr>
            <w:tcW w:w="1218"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宋体" w:hAnsi="宋体" w:cs="宋体"/>
                <w:bCs/>
                <w:sz w:val="24"/>
              </w:rPr>
            </w:pPr>
          </w:p>
        </w:tc>
        <w:tc>
          <w:tcPr>
            <w:tcW w:w="399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left"/>
              <w:textAlignment w:val="center"/>
              <w:rPr>
                <w:rFonts w:ascii="宋体" w:hAnsi="宋体" w:cs="宋体"/>
                <w:bCs/>
                <w:sz w:val="24"/>
              </w:rPr>
            </w:pPr>
          </w:p>
        </w:tc>
        <w:tc>
          <w:tcPr>
            <w:tcW w:w="75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宋体" w:hAnsi="宋体" w:cs="宋体"/>
                <w:bCs/>
                <w:sz w:val="24"/>
              </w:rPr>
            </w:pPr>
          </w:p>
        </w:tc>
        <w:tc>
          <w:tcPr>
            <w:tcW w:w="11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宋体" w:hAnsi="宋体" w:cs="Arial Narrow"/>
                <w:bCs/>
                <w:sz w:val="24"/>
              </w:rPr>
            </w:pPr>
          </w:p>
        </w:tc>
        <w:tc>
          <w:tcPr>
            <w:tcW w:w="114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spacing w:line="360" w:lineRule="auto"/>
              <w:jc w:val="center"/>
              <w:rPr>
                <w:rFonts w:ascii="宋体" w:hAnsi="宋体" w:cs="Arial Narrow"/>
                <w:bCs/>
                <w:sz w:val="24"/>
              </w:rPr>
            </w:pPr>
          </w:p>
        </w:tc>
        <w:tc>
          <w:tcPr>
            <w:tcW w:w="1136" w:type="dxa"/>
            <w:tcBorders>
              <w:top w:val="nil"/>
              <w:left w:val="nil"/>
              <w:bottom w:val="single" w:color="000000" w:sz="4" w:space="0"/>
              <w:right w:val="single" w:color="000000" w:sz="8" w:space="0"/>
            </w:tcBorders>
            <w:shd w:val="clear" w:color="auto" w:fill="FFFFFF"/>
            <w:tcMar>
              <w:top w:w="15" w:type="dxa"/>
              <w:left w:w="15" w:type="dxa"/>
              <w:right w:w="15" w:type="dxa"/>
            </w:tcMar>
            <w:vAlign w:val="center"/>
          </w:tcPr>
          <w:p>
            <w:pPr>
              <w:spacing w:line="360" w:lineRule="auto"/>
              <w:jc w:val="center"/>
              <w:rPr>
                <w:rFonts w:ascii="宋体" w:hAnsi="宋体" w:cs="Arial Narrow"/>
                <w:bCs/>
                <w:sz w:val="24"/>
              </w:rPr>
            </w:pPr>
          </w:p>
        </w:tc>
      </w:tr>
      <w:tr>
        <w:tblPrEx>
          <w:tblCellMar>
            <w:top w:w="0" w:type="dxa"/>
            <w:left w:w="0" w:type="dxa"/>
            <w:bottom w:w="0" w:type="dxa"/>
            <w:right w:w="0" w:type="dxa"/>
          </w:tblCellMar>
        </w:tblPrEx>
        <w:trPr>
          <w:trHeight w:val="300" w:hRule="atLeast"/>
        </w:trPr>
        <w:tc>
          <w:tcPr>
            <w:tcW w:w="1218"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宋体" w:hAnsi="宋体" w:cs="宋体"/>
                <w:bCs/>
                <w:sz w:val="24"/>
              </w:rPr>
            </w:pPr>
          </w:p>
        </w:tc>
        <w:tc>
          <w:tcPr>
            <w:tcW w:w="399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left"/>
              <w:textAlignment w:val="center"/>
              <w:rPr>
                <w:rFonts w:ascii="宋体" w:hAnsi="宋体" w:cs="宋体"/>
                <w:bCs/>
                <w:sz w:val="24"/>
              </w:rPr>
            </w:pPr>
          </w:p>
        </w:tc>
        <w:tc>
          <w:tcPr>
            <w:tcW w:w="75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宋体" w:hAnsi="宋体" w:cs="宋体"/>
                <w:bCs/>
                <w:sz w:val="24"/>
              </w:rPr>
            </w:pPr>
          </w:p>
        </w:tc>
        <w:tc>
          <w:tcPr>
            <w:tcW w:w="11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宋体" w:hAnsi="宋体" w:cs="Arial Narrow"/>
                <w:bCs/>
                <w:sz w:val="24"/>
              </w:rPr>
            </w:pPr>
          </w:p>
        </w:tc>
        <w:tc>
          <w:tcPr>
            <w:tcW w:w="114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spacing w:line="360" w:lineRule="auto"/>
              <w:jc w:val="center"/>
              <w:rPr>
                <w:rFonts w:ascii="宋体" w:hAnsi="宋体" w:cs="Arial Narrow"/>
                <w:bCs/>
                <w:sz w:val="24"/>
              </w:rPr>
            </w:pPr>
          </w:p>
        </w:tc>
        <w:tc>
          <w:tcPr>
            <w:tcW w:w="1136" w:type="dxa"/>
            <w:tcBorders>
              <w:top w:val="nil"/>
              <w:left w:val="nil"/>
              <w:bottom w:val="single" w:color="000000" w:sz="4" w:space="0"/>
              <w:right w:val="single" w:color="000000" w:sz="8" w:space="0"/>
            </w:tcBorders>
            <w:shd w:val="clear" w:color="auto" w:fill="FFFFFF"/>
            <w:tcMar>
              <w:top w:w="15" w:type="dxa"/>
              <w:left w:w="15" w:type="dxa"/>
              <w:right w:w="15" w:type="dxa"/>
            </w:tcMar>
            <w:vAlign w:val="center"/>
          </w:tcPr>
          <w:p>
            <w:pPr>
              <w:spacing w:line="360" w:lineRule="auto"/>
              <w:jc w:val="center"/>
              <w:rPr>
                <w:rFonts w:ascii="宋体" w:hAnsi="宋体" w:cs="Arial Narrow"/>
                <w:bCs/>
                <w:sz w:val="24"/>
              </w:rPr>
            </w:pPr>
          </w:p>
        </w:tc>
      </w:tr>
      <w:tr>
        <w:tblPrEx>
          <w:tblCellMar>
            <w:top w:w="0" w:type="dxa"/>
            <w:left w:w="0" w:type="dxa"/>
            <w:bottom w:w="0" w:type="dxa"/>
            <w:right w:w="0" w:type="dxa"/>
          </w:tblCellMar>
        </w:tblPrEx>
        <w:trPr>
          <w:trHeight w:val="300" w:hRule="atLeast"/>
        </w:trPr>
        <w:tc>
          <w:tcPr>
            <w:tcW w:w="1218"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宋体" w:hAnsi="宋体" w:cs="宋体"/>
                <w:bCs/>
                <w:sz w:val="24"/>
              </w:rPr>
            </w:pPr>
          </w:p>
        </w:tc>
        <w:tc>
          <w:tcPr>
            <w:tcW w:w="399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left"/>
              <w:textAlignment w:val="center"/>
              <w:rPr>
                <w:rFonts w:ascii="宋体" w:hAnsi="宋体" w:cs="宋体"/>
                <w:bCs/>
                <w:sz w:val="24"/>
              </w:rPr>
            </w:pPr>
          </w:p>
        </w:tc>
        <w:tc>
          <w:tcPr>
            <w:tcW w:w="75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宋体" w:hAnsi="宋体" w:cs="宋体"/>
                <w:bCs/>
                <w:sz w:val="24"/>
              </w:rPr>
            </w:pPr>
          </w:p>
        </w:tc>
        <w:tc>
          <w:tcPr>
            <w:tcW w:w="11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宋体" w:hAnsi="宋体" w:cs="Arial Narrow"/>
                <w:bCs/>
                <w:sz w:val="24"/>
              </w:rPr>
            </w:pPr>
          </w:p>
        </w:tc>
        <w:tc>
          <w:tcPr>
            <w:tcW w:w="114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spacing w:line="360" w:lineRule="auto"/>
              <w:jc w:val="center"/>
              <w:rPr>
                <w:rFonts w:ascii="宋体" w:hAnsi="宋体" w:cs="Arial Narrow"/>
                <w:bCs/>
                <w:sz w:val="24"/>
              </w:rPr>
            </w:pPr>
          </w:p>
        </w:tc>
        <w:tc>
          <w:tcPr>
            <w:tcW w:w="1136" w:type="dxa"/>
            <w:tcBorders>
              <w:top w:val="nil"/>
              <w:left w:val="nil"/>
              <w:bottom w:val="single" w:color="000000" w:sz="4" w:space="0"/>
              <w:right w:val="single" w:color="000000" w:sz="8" w:space="0"/>
            </w:tcBorders>
            <w:shd w:val="clear" w:color="auto" w:fill="FFFFFF"/>
            <w:tcMar>
              <w:top w:w="15" w:type="dxa"/>
              <w:left w:w="15" w:type="dxa"/>
              <w:right w:w="15" w:type="dxa"/>
            </w:tcMar>
            <w:vAlign w:val="center"/>
          </w:tcPr>
          <w:p>
            <w:pPr>
              <w:spacing w:line="360" w:lineRule="auto"/>
              <w:jc w:val="center"/>
              <w:rPr>
                <w:rFonts w:ascii="宋体" w:hAnsi="宋体" w:cs="Arial Narrow"/>
                <w:bCs/>
                <w:sz w:val="24"/>
              </w:rPr>
            </w:pPr>
          </w:p>
        </w:tc>
      </w:tr>
      <w:tr>
        <w:tblPrEx>
          <w:tblCellMar>
            <w:top w:w="0" w:type="dxa"/>
            <w:left w:w="0" w:type="dxa"/>
            <w:bottom w:w="0" w:type="dxa"/>
            <w:right w:w="0" w:type="dxa"/>
          </w:tblCellMar>
        </w:tblPrEx>
        <w:trPr>
          <w:trHeight w:val="300" w:hRule="atLeast"/>
        </w:trPr>
        <w:tc>
          <w:tcPr>
            <w:tcW w:w="1218"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宋体" w:hAnsi="宋体" w:cs="宋体"/>
                <w:bCs/>
                <w:sz w:val="24"/>
              </w:rPr>
            </w:pPr>
          </w:p>
        </w:tc>
        <w:tc>
          <w:tcPr>
            <w:tcW w:w="399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left"/>
              <w:textAlignment w:val="center"/>
              <w:rPr>
                <w:rFonts w:ascii="宋体" w:hAnsi="宋体" w:cs="宋体"/>
                <w:bCs/>
                <w:sz w:val="24"/>
              </w:rPr>
            </w:pPr>
          </w:p>
        </w:tc>
        <w:tc>
          <w:tcPr>
            <w:tcW w:w="75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宋体" w:hAnsi="宋体" w:cs="宋体"/>
                <w:bCs/>
                <w:sz w:val="24"/>
              </w:rPr>
            </w:pPr>
          </w:p>
        </w:tc>
        <w:tc>
          <w:tcPr>
            <w:tcW w:w="11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宋体" w:hAnsi="宋体" w:cs="Arial Narrow"/>
                <w:bCs/>
                <w:sz w:val="24"/>
              </w:rPr>
            </w:pPr>
          </w:p>
        </w:tc>
        <w:tc>
          <w:tcPr>
            <w:tcW w:w="114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spacing w:line="360" w:lineRule="auto"/>
              <w:jc w:val="center"/>
              <w:rPr>
                <w:rFonts w:ascii="宋体" w:hAnsi="宋体" w:cs="Arial Narrow"/>
                <w:bCs/>
                <w:sz w:val="24"/>
              </w:rPr>
            </w:pPr>
          </w:p>
        </w:tc>
        <w:tc>
          <w:tcPr>
            <w:tcW w:w="1136" w:type="dxa"/>
            <w:tcBorders>
              <w:top w:val="nil"/>
              <w:left w:val="nil"/>
              <w:bottom w:val="single" w:color="000000" w:sz="4" w:space="0"/>
              <w:right w:val="single" w:color="000000" w:sz="8" w:space="0"/>
            </w:tcBorders>
            <w:shd w:val="clear" w:color="auto" w:fill="FFFFFF"/>
            <w:tcMar>
              <w:top w:w="15" w:type="dxa"/>
              <w:left w:w="15" w:type="dxa"/>
              <w:right w:w="15" w:type="dxa"/>
            </w:tcMar>
            <w:vAlign w:val="center"/>
          </w:tcPr>
          <w:p>
            <w:pPr>
              <w:spacing w:line="360" w:lineRule="auto"/>
              <w:jc w:val="center"/>
              <w:rPr>
                <w:rFonts w:ascii="宋体" w:hAnsi="宋体" w:cs="Arial Narrow"/>
                <w:bCs/>
                <w:sz w:val="24"/>
              </w:rPr>
            </w:pPr>
          </w:p>
        </w:tc>
      </w:tr>
      <w:tr>
        <w:tblPrEx>
          <w:tblCellMar>
            <w:top w:w="0" w:type="dxa"/>
            <w:left w:w="0" w:type="dxa"/>
            <w:bottom w:w="0" w:type="dxa"/>
            <w:right w:w="0" w:type="dxa"/>
          </w:tblCellMar>
        </w:tblPrEx>
        <w:trPr>
          <w:trHeight w:val="300" w:hRule="atLeast"/>
        </w:trPr>
        <w:tc>
          <w:tcPr>
            <w:tcW w:w="1218"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宋体" w:hAnsi="宋体" w:cs="宋体"/>
                <w:bCs/>
                <w:sz w:val="24"/>
              </w:rPr>
            </w:pPr>
          </w:p>
        </w:tc>
        <w:tc>
          <w:tcPr>
            <w:tcW w:w="399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left"/>
              <w:textAlignment w:val="center"/>
              <w:rPr>
                <w:rFonts w:ascii="宋体" w:hAnsi="宋体" w:cs="宋体"/>
                <w:bCs/>
                <w:sz w:val="24"/>
              </w:rPr>
            </w:pPr>
          </w:p>
        </w:tc>
        <w:tc>
          <w:tcPr>
            <w:tcW w:w="75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宋体" w:hAnsi="宋体" w:cs="宋体"/>
                <w:bCs/>
                <w:sz w:val="24"/>
              </w:rPr>
            </w:pPr>
          </w:p>
        </w:tc>
        <w:tc>
          <w:tcPr>
            <w:tcW w:w="11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宋体" w:hAnsi="宋体" w:cs="Arial Narrow"/>
                <w:bCs/>
                <w:sz w:val="24"/>
              </w:rPr>
            </w:pPr>
          </w:p>
        </w:tc>
        <w:tc>
          <w:tcPr>
            <w:tcW w:w="114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spacing w:line="360" w:lineRule="auto"/>
              <w:jc w:val="center"/>
              <w:rPr>
                <w:rFonts w:ascii="宋体" w:hAnsi="宋体" w:cs="Arial Narrow"/>
                <w:bCs/>
                <w:sz w:val="24"/>
              </w:rPr>
            </w:pPr>
          </w:p>
        </w:tc>
        <w:tc>
          <w:tcPr>
            <w:tcW w:w="1136" w:type="dxa"/>
            <w:tcBorders>
              <w:top w:val="nil"/>
              <w:left w:val="nil"/>
              <w:bottom w:val="single" w:color="000000" w:sz="4" w:space="0"/>
              <w:right w:val="single" w:color="000000" w:sz="8" w:space="0"/>
            </w:tcBorders>
            <w:shd w:val="clear" w:color="auto" w:fill="FFFFFF"/>
            <w:tcMar>
              <w:top w:w="15" w:type="dxa"/>
              <w:left w:w="15" w:type="dxa"/>
              <w:right w:w="15" w:type="dxa"/>
            </w:tcMar>
            <w:vAlign w:val="center"/>
          </w:tcPr>
          <w:p>
            <w:pPr>
              <w:spacing w:line="360" w:lineRule="auto"/>
              <w:jc w:val="center"/>
              <w:rPr>
                <w:rFonts w:ascii="宋体" w:hAnsi="宋体" w:cs="Arial Narrow"/>
                <w:bCs/>
                <w:sz w:val="24"/>
              </w:rPr>
            </w:pPr>
          </w:p>
        </w:tc>
      </w:tr>
      <w:tr>
        <w:tblPrEx>
          <w:tblCellMar>
            <w:top w:w="0" w:type="dxa"/>
            <w:left w:w="0" w:type="dxa"/>
            <w:bottom w:w="0" w:type="dxa"/>
            <w:right w:w="0" w:type="dxa"/>
          </w:tblCellMar>
        </w:tblPrEx>
        <w:trPr>
          <w:trHeight w:val="347" w:hRule="atLeast"/>
        </w:trPr>
        <w:tc>
          <w:tcPr>
            <w:tcW w:w="1218"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宋体" w:hAnsi="宋体" w:cs="宋体"/>
                <w:bCs/>
                <w:sz w:val="24"/>
              </w:rPr>
            </w:pPr>
          </w:p>
        </w:tc>
        <w:tc>
          <w:tcPr>
            <w:tcW w:w="399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left"/>
              <w:textAlignment w:val="center"/>
              <w:rPr>
                <w:rFonts w:ascii="宋体" w:hAnsi="宋体" w:cs="宋体"/>
                <w:bCs/>
                <w:sz w:val="24"/>
              </w:rPr>
            </w:pPr>
          </w:p>
        </w:tc>
        <w:tc>
          <w:tcPr>
            <w:tcW w:w="75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spacing w:line="360" w:lineRule="auto"/>
              <w:jc w:val="center"/>
              <w:rPr>
                <w:rFonts w:ascii="宋体" w:hAnsi="宋体" w:cs="宋体"/>
                <w:bCs/>
                <w:sz w:val="24"/>
              </w:rPr>
            </w:pPr>
          </w:p>
        </w:tc>
        <w:tc>
          <w:tcPr>
            <w:tcW w:w="11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spacing w:line="360" w:lineRule="auto"/>
              <w:jc w:val="center"/>
              <w:rPr>
                <w:rFonts w:ascii="宋体" w:hAnsi="宋体" w:cs="Arial Narrow"/>
                <w:bCs/>
                <w:sz w:val="24"/>
              </w:rPr>
            </w:pPr>
          </w:p>
        </w:tc>
        <w:tc>
          <w:tcPr>
            <w:tcW w:w="114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spacing w:line="360" w:lineRule="auto"/>
              <w:jc w:val="center"/>
              <w:rPr>
                <w:rFonts w:ascii="宋体" w:hAnsi="宋体" w:cs="Arial Narrow"/>
                <w:bCs/>
                <w:sz w:val="24"/>
              </w:rPr>
            </w:pPr>
          </w:p>
        </w:tc>
        <w:tc>
          <w:tcPr>
            <w:tcW w:w="1136" w:type="dxa"/>
            <w:tcBorders>
              <w:top w:val="nil"/>
              <w:left w:val="nil"/>
              <w:bottom w:val="single" w:color="000000" w:sz="4" w:space="0"/>
              <w:right w:val="single" w:color="000000" w:sz="8" w:space="0"/>
            </w:tcBorders>
            <w:shd w:val="clear" w:color="auto" w:fill="FFFFFF"/>
            <w:tcMar>
              <w:top w:w="15" w:type="dxa"/>
              <w:left w:w="15" w:type="dxa"/>
              <w:right w:w="15" w:type="dxa"/>
            </w:tcMar>
            <w:vAlign w:val="center"/>
          </w:tcPr>
          <w:p>
            <w:pPr>
              <w:spacing w:line="360" w:lineRule="auto"/>
              <w:jc w:val="center"/>
              <w:rPr>
                <w:rFonts w:ascii="宋体" w:hAnsi="宋体" w:cs="Arial Narrow"/>
                <w:bCs/>
                <w:sz w:val="24"/>
              </w:rPr>
            </w:pPr>
          </w:p>
        </w:tc>
      </w:tr>
      <w:tr>
        <w:tblPrEx>
          <w:tblCellMar>
            <w:top w:w="0" w:type="dxa"/>
            <w:left w:w="0" w:type="dxa"/>
            <w:bottom w:w="0" w:type="dxa"/>
            <w:right w:w="0" w:type="dxa"/>
          </w:tblCellMar>
        </w:tblPrEx>
        <w:trPr>
          <w:trHeight w:val="300" w:hRule="atLeast"/>
        </w:trPr>
        <w:tc>
          <w:tcPr>
            <w:tcW w:w="1218"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宋体" w:hAnsi="宋体" w:cs="宋体"/>
                <w:bCs/>
                <w:sz w:val="24"/>
              </w:rPr>
            </w:pPr>
          </w:p>
        </w:tc>
        <w:tc>
          <w:tcPr>
            <w:tcW w:w="399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left"/>
              <w:textAlignment w:val="center"/>
              <w:rPr>
                <w:rFonts w:ascii="宋体" w:hAnsi="宋体" w:cs="宋体"/>
                <w:bCs/>
                <w:sz w:val="24"/>
              </w:rPr>
            </w:pPr>
          </w:p>
        </w:tc>
        <w:tc>
          <w:tcPr>
            <w:tcW w:w="75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宋体" w:hAnsi="宋体" w:cs="宋体"/>
                <w:bCs/>
                <w:sz w:val="24"/>
              </w:rPr>
            </w:pPr>
          </w:p>
        </w:tc>
        <w:tc>
          <w:tcPr>
            <w:tcW w:w="11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宋体" w:hAnsi="宋体" w:cs="Arial Narrow"/>
                <w:bCs/>
                <w:sz w:val="24"/>
              </w:rPr>
            </w:pPr>
          </w:p>
        </w:tc>
        <w:tc>
          <w:tcPr>
            <w:tcW w:w="114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spacing w:line="360" w:lineRule="auto"/>
              <w:jc w:val="center"/>
              <w:rPr>
                <w:rFonts w:ascii="宋体" w:hAnsi="宋体" w:cs="Arial Narrow"/>
                <w:bCs/>
                <w:sz w:val="24"/>
              </w:rPr>
            </w:pPr>
          </w:p>
        </w:tc>
        <w:tc>
          <w:tcPr>
            <w:tcW w:w="1136" w:type="dxa"/>
            <w:tcBorders>
              <w:top w:val="nil"/>
              <w:left w:val="nil"/>
              <w:bottom w:val="single" w:color="000000" w:sz="4" w:space="0"/>
              <w:right w:val="single" w:color="000000" w:sz="8" w:space="0"/>
            </w:tcBorders>
            <w:shd w:val="clear" w:color="auto" w:fill="FFFFFF"/>
            <w:tcMar>
              <w:top w:w="15" w:type="dxa"/>
              <w:left w:w="15" w:type="dxa"/>
              <w:right w:w="15" w:type="dxa"/>
            </w:tcMar>
            <w:vAlign w:val="center"/>
          </w:tcPr>
          <w:p>
            <w:pPr>
              <w:spacing w:line="360" w:lineRule="auto"/>
              <w:jc w:val="center"/>
              <w:rPr>
                <w:rFonts w:ascii="宋体" w:hAnsi="宋体" w:cs="Arial Narrow"/>
                <w:bCs/>
                <w:sz w:val="24"/>
              </w:rPr>
            </w:pPr>
          </w:p>
        </w:tc>
      </w:tr>
      <w:tr>
        <w:tblPrEx>
          <w:tblCellMar>
            <w:top w:w="0" w:type="dxa"/>
            <w:left w:w="0" w:type="dxa"/>
            <w:bottom w:w="0" w:type="dxa"/>
            <w:right w:w="0" w:type="dxa"/>
          </w:tblCellMar>
        </w:tblPrEx>
        <w:trPr>
          <w:trHeight w:val="275" w:hRule="atLeast"/>
        </w:trPr>
        <w:tc>
          <w:tcPr>
            <w:tcW w:w="9374" w:type="dxa"/>
            <w:gridSpan w:val="6"/>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spacing w:line="360" w:lineRule="auto"/>
              <w:jc w:val="center"/>
              <w:textAlignment w:val="center"/>
              <w:rPr>
                <w:rFonts w:ascii="宋体" w:hAnsi="宋体" w:cs="宋体"/>
                <w:bCs/>
                <w:sz w:val="24"/>
              </w:rPr>
            </w:pPr>
            <w:r>
              <w:rPr>
                <w:rFonts w:hint="eastAsia" w:ascii="宋体" w:hAnsi="宋体" w:cs="宋体"/>
                <w:bCs/>
                <w:kern w:val="0"/>
                <w:sz w:val="24"/>
              </w:rPr>
              <w:t>清单第</w:t>
            </w:r>
            <w:r>
              <w:rPr>
                <w:rFonts w:ascii="宋体" w:hAnsi="宋体" w:cs="宋体"/>
                <w:bCs/>
                <w:kern w:val="0"/>
                <w:sz w:val="24"/>
              </w:rPr>
              <w:t xml:space="preserve">100章  </w:t>
            </w:r>
            <w:r>
              <w:rPr>
                <w:rFonts w:hint="eastAsia" w:ascii="宋体" w:hAnsi="宋体" w:cs="宋体"/>
                <w:bCs/>
                <w:kern w:val="0"/>
                <w:sz w:val="24"/>
              </w:rPr>
              <w:t>合计人民币元</w:t>
            </w:r>
          </w:p>
        </w:tc>
      </w:tr>
    </w:tbl>
    <w:p>
      <w:pPr>
        <w:rPr>
          <w:sz w:val="24"/>
        </w:rPr>
      </w:pPr>
    </w:p>
    <w:p>
      <w:pPr>
        <w:pStyle w:val="18"/>
      </w:pPr>
    </w:p>
    <w:p>
      <w:r>
        <w:br w:type="page"/>
      </w:r>
    </w:p>
    <w:p>
      <w:pPr>
        <w:pStyle w:val="2"/>
      </w:pPr>
    </w:p>
    <w:tbl>
      <w:tblPr>
        <w:tblStyle w:val="20"/>
        <w:tblpPr w:leftFromText="180" w:rightFromText="180" w:vertAnchor="text" w:horzAnchor="page" w:tblpX="1220" w:tblpY="75"/>
        <w:tblOverlap w:val="never"/>
        <w:tblW w:w="9600" w:type="dxa"/>
        <w:tblInd w:w="0" w:type="dxa"/>
        <w:tblLayout w:type="fixed"/>
        <w:tblCellMar>
          <w:top w:w="0" w:type="dxa"/>
          <w:left w:w="0" w:type="dxa"/>
          <w:bottom w:w="0" w:type="dxa"/>
          <w:right w:w="0" w:type="dxa"/>
        </w:tblCellMar>
      </w:tblPr>
      <w:tblGrid>
        <w:gridCol w:w="5405"/>
        <w:gridCol w:w="3048"/>
        <w:gridCol w:w="1147"/>
      </w:tblGrid>
      <w:tr>
        <w:tblPrEx>
          <w:tblCellMar>
            <w:top w:w="0" w:type="dxa"/>
            <w:left w:w="0" w:type="dxa"/>
            <w:bottom w:w="0" w:type="dxa"/>
            <w:right w:w="0" w:type="dxa"/>
          </w:tblCellMar>
        </w:tblPrEx>
        <w:trPr>
          <w:trHeight w:val="131" w:hRule="atLeast"/>
        </w:trPr>
        <w:tc>
          <w:tcPr>
            <w:tcW w:w="9600" w:type="dxa"/>
            <w:gridSpan w:val="3"/>
            <w:tcBorders>
              <w:top w:val="nil"/>
              <w:left w:val="nil"/>
              <w:bottom w:val="nil"/>
              <w:right w:val="nil"/>
            </w:tcBorders>
            <w:shd w:val="clear" w:color="auto" w:fill="FFFFFF"/>
            <w:tcMar>
              <w:top w:w="15" w:type="dxa"/>
              <w:left w:w="15" w:type="dxa"/>
              <w:right w:w="15" w:type="dxa"/>
            </w:tcMar>
          </w:tcPr>
          <w:p/>
          <w:p>
            <w:pPr>
              <w:widowControl/>
              <w:ind w:firstLine="4216" w:firstLineChars="1500"/>
              <w:textAlignment w:val="top"/>
              <w:rPr>
                <w:rFonts w:ascii="宋体" w:hAnsi="宋体" w:cs="宋体"/>
                <w:b/>
                <w:kern w:val="0"/>
                <w:sz w:val="28"/>
                <w:szCs w:val="28"/>
              </w:rPr>
            </w:pPr>
          </w:p>
          <w:p>
            <w:pPr>
              <w:widowControl/>
              <w:ind w:firstLine="4216" w:firstLineChars="1500"/>
              <w:textAlignment w:val="top"/>
              <w:rPr>
                <w:rFonts w:ascii="宋体" w:hAnsi="宋体" w:cs="宋体"/>
                <w:b/>
                <w:sz w:val="24"/>
              </w:rPr>
            </w:pPr>
            <w:r>
              <w:rPr>
                <w:rFonts w:hint="eastAsia" w:ascii="宋体" w:hAnsi="宋体" w:cs="宋体"/>
                <w:b/>
                <w:kern w:val="0"/>
                <w:sz w:val="28"/>
                <w:szCs w:val="28"/>
              </w:rPr>
              <w:t>工程量清单表</w:t>
            </w:r>
          </w:p>
        </w:tc>
      </w:tr>
      <w:tr>
        <w:tblPrEx>
          <w:tblCellMar>
            <w:top w:w="0" w:type="dxa"/>
            <w:left w:w="0" w:type="dxa"/>
            <w:bottom w:w="0" w:type="dxa"/>
            <w:right w:w="0" w:type="dxa"/>
          </w:tblCellMar>
        </w:tblPrEx>
        <w:trPr>
          <w:trHeight w:val="641" w:hRule="atLeast"/>
        </w:trPr>
        <w:tc>
          <w:tcPr>
            <w:tcW w:w="5405" w:type="dxa"/>
            <w:tcBorders>
              <w:top w:val="nil"/>
              <w:left w:val="nil"/>
              <w:bottom w:val="nil"/>
              <w:right w:val="nil"/>
            </w:tcBorders>
            <w:shd w:val="clear" w:color="auto" w:fill="FFFFFF"/>
            <w:tcMar>
              <w:top w:w="15" w:type="dxa"/>
              <w:left w:w="15" w:type="dxa"/>
              <w:right w:w="15" w:type="dxa"/>
            </w:tcMar>
            <w:vAlign w:val="center"/>
          </w:tcPr>
          <w:p>
            <w:pPr>
              <w:widowControl/>
              <w:jc w:val="left"/>
              <w:textAlignment w:val="center"/>
              <w:rPr>
                <w:rFonts w:ascii="宋体" w:hAnsi="宋体" w:cs="宋体"/>
                <w:sz w:val="24"/>
              </w:rPr>
            </w:pPr>
          </w:p>
        </w:tc>
        <w:tc>
          <w:tcPr>
            <w:tcW w:w="3048"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sz w:val="24"/>
              </w:rPr>
            </w:pPr>
          </w:p>
        </w:tc>
        <w:tc>
          <w:tcPr>
            <w:tcW w:w="1147"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hAnsi="宋体" w:cs="宋体"/>
                <w:sz w:val="24"/>
              </w:rPr>
            </w:pPr>
          </w:p>
        </w:tc>
      </w:tr>
    </w:tbl>
    <w:tbl>
      <w:tblPr>
        <w:tblStyle w:val="20"/>
        <w:tblpPr w:leftFromText="180" w:rightFromText="180" w:vertAnchor="text" w:horzAnchor="page" w:tblpX="1450" w:tblpY="56"/>
        <w:tblOverlap w:val="never"/>
        <w:tblW w:w="9120" w:type="dxa"/>
        <w:tblInd w:w="0" w:type="dxa"/>
        <w:tblLayout w:type="autofit"/>
        <w:tblCellMar>
          <w:top w:w="0" w:type="dxa"/>
          <w:left w:w="108" w:type="dxa"/>
          <w:bottom w:w="0" w:type="dxa"/>
          <w:right w:w="108" w:type="dxa"/>
        </w:tblCellMar>
      </w:tblPr>
      <w:tblGrid>
        <w:gridCol w:w="936"/>
        <w:gridCol w:w="3677"/>
        <w:gridCol w:w="912"/>
        <w:gridCol w:w="1351"/>
        <w:gridCol w:w="1120"/>
        <w:gridCol w:w="1124"/>
      </w:tblGrid>
      <w:tr>
        <w:tblPrEx>
          <w:tblCellMar>
            <w:top w:w="0" w:type="dxa"/>
            <w:left w:w="108" w:type="dxa"/>
            <w:bottom w:w="0" w:type="dxa"/>
            <w:right w:w="108" w:type="dxa"/>
          </w:tblCellMar>
        </w:tblPrEx>
        <w:trPr>
          <w:trHeight w:val="549" w:hRule="atLeast"/>
        </w:trPr>
        <w:tc>
          <w:tcPr>
            <w:tcW w:w="9120" w:type="dxa"/>
            <w:gridSpan w:val="6"/>
            <w:tcBorders>
              <w:top w:val="single" w:color="000000" w:sz="8" w:space="0"/>
              <w:left w:val="single" w:color="000000" w:sz="8" w:space="0"/>
              <w:bottom w:val="single" w:color="000000" w:sz="4" w:space="0"/>
              <w:right w:val="single" w:color="000000" w:sz="8" w:space="0"/>
            </w:tcBorders>
            <w:shd w:val="clear" w:color="auto" w:fill="FFFFFF"/>
            <w:vAlign w:val="center"/>
          </w:tcPr>
          <w:p>
            <w:pPr>
              <w:widowControl/>
              <w:jc w:val="center"/>
              <w:textAlignment w:val="center"/>
              <w:rPr>
                <w:rFonts w:ascii="宋体" w:hAnsi="宋体" w:cs="宋体"/>
                <w:b/>
                <w:bCs/>
                <w:sz w:val="24"/>
              </w:rPr>
            </w:pPr>
            <w:r>
              <w:rPr>
                <w:rFonts w:hint="eastAsia" w:ascii="宋体" w:hAnsi="宋体" w:cs="宋体"/>
                <w:b/>
                <w:bCs/>
                <w:kern w:val="0"/>
                <w:sz w:val="24"/>
              </w:rPr>
              <w:t>清单   第300章     路面工程</w:t>
            </w:r>
          </w:p>
        </w:tc>
      </w:tr>
      <w:tr>
        <w:tblPrEx>
          <w:tblCellMar>
            <w:top w:w="0" w:type="dxa"/>
            <w:left w:w="108" w:type="dxa"/>
            <w:bottom w:w="0" w:type="dxa"/>
            <w:right w:w="108" w:type="dxa"/>
          </w:tblCellMar>
        </w:tblPrEx>
        <w:trPr>
          <w:trHeight w:val="568" w:hRule="atLeast"/>
        </w:trPr>
        <w:tc>
          <w:tcPr>
            <w:tcW w:w="936" w:type="dxa"/>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sz w:val="24"/>
              </w:rPr>
            </w:pPr>
            <w:r>
              <w:rPr>
                <w:rFonts w:hint="eastAsia" w:ascii="宋体" w:hAnsi="宋体" w:cs="宋体"/>
                <w:b/>
                <w:bCs/>
                <w:kern w:val="0"/>
                <w:sz w:val="24"/>
              </w:rPr>
              <w:t>子目号</w:t>
            </w:r>
          </w:p>
        </w:tc>
        <w:tc>
          <w:tcPr>
            <w:tcW w:w="3677"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sz w:val="24"/>
              </w:rPr>
            </w:pPr>
            <w:r>
              <w:rPr>
                <w:rFonts w:hint="eastAsia" w:ascii="宋体" w:hAnsi="宋体" w:cs="宋体"/>
                <w:b/>
                <w:bCs/>
                <w:kern w:val="0"/>
                <w:sz w:val="24"/>
              </w:rPr>
              <w:t>子目名称</w:t>
            </w:r>
          </w:p>
        </w:tc>
        <w:tc>
          <w:tcPr>
            <w:tcW w:w="91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sz w:val="24"/>
              </w:rPr>
            </w:pPr>
            <w:r>
              <w:rPr>
                <w:rFonts w:hint="eastAsia" w:ascii="宋体" w:hAnsi="宋体" w:cs="宋体"/>
                <w:b/>
                <w:bCs/>
                <w:kern w:val="0"/>
                <w:sz w:val="24"/>
              </w:rPr>
              <w:t>单位</w:t>
            </w:r>
          </w:p>
        </w:tc>
        <w:tc>
          <w:tcPr>
            <w:tcW w:w="135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sz w:val="24"/>
              </w:rPr>
            </w:pPr>
            <w:r>
              <w:rPr>
                <w:rFonts w:hint="eastAsia" w:ascii="宋体" w:hAnsi="宋体" w:cs="宋体"/>
                <w:b/>
                <w:bCs/>
                <w:kern w:val="0"/>
                <w:sz w:val="24"/>
              </w:rPr>
              <w:t>数量</w:t>
            </w:r>
          </w:p>
        </w:tc>
        <w:tc>
          <w:tcPr>
            <w:tcW w:w="1120"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sz w:val="24"/>
              </w:rPr>
            </w:pPr>
            <w:r>
              <w:rPr>
                <w:rFonts w:hint="eastAsia" w:ascii="宋体" w:hAnsi="宋体" w:cs="宋体"/>
                <w:b/>
                <w:bCs/>
                <w:kern w:val="0"/>
                <w:sz w:val="24"/>
              </w:rPr>
              <w:t>单价（元）</w:t>
            </w:r>
          </w:p>
        </w:tc>
        <w:tc>
          <w:tcPr>
            <w:tcW w:w="1124" w:type="dxa"/>
            <w:tcBorders>
              <w:top w:val="nil"/>
              <w:left w:val="nil"/>
              <w:bottom w:val="single" w:color="000000" w:sz="4" w:space="0"/>
              <w:right w:val="single" w:color="000000" w:sz="8" w:space="0"/>
            </w:tcBorders>
            <w:shd w:val="clear" w:color="auto" w:fill="FFFFFF"/>
            <w:vAlign w:val="center"/>
          </w:tcPr>
          <w:p>
            <w:pPr>
              <w:widowControl/>
              <w:jc w:val="center"/>
              <w:textAlignment w:val="center"/>
              <w:rPr>
                <w:rFonts w:ascii="宋体" w:hAnsi="宋体" w:cs="宋体"/>
                <w:b/>
                <w:bCs/>
                <w:sz w:val="24"/>
              </w:rPr>
            </w:pPr>
            <w:r>
              <w:rPr>
                <w:rFonts w:hint="eastAsia" w:ascii="宋体" w:hAnsi="宋体" w:cs="宋体"/>
                <w:b/>
                <w:bCs/>
                <w:kern w:val="0"/>
                <w:sz w:val="24"/>
              </w:rPr>
              <w:t>合价（元）</w:t>
            </w:r>
          </w:p>
        </w:tc>
      </w:tr>
      <w:tr>
        <w:tblPrEx>
          <w:tblCellMar>
            <w:top w:w="0" w:type="dxa"/>
            <w:left w:w="108" w:type="dxa"/>
            <w:bottom w:w="0" w:type="dxa"/>
            <w:right w:w="108" w:type="dxa"/>
          </w:tblCellMar>
        </w:tblPrEx>
        <w:trPr>
          <w:trHeight w:val="370" w:hRule="atLeast"/>
        </w:trPr>
        <w:tc>
          <w:tcPr>
            <w:tcW w:w="936" w:type="dxa"/>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4"/>
              </w:rPr>
            </w:pPr>
          </w:p>
        </w:tc>
        <w:tc>
          <w:tcPr>
            <w:tcW w:w="3677"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sz w:val="24"/>
              </w:rPr>
            </w:pPr>
          </w:p>
        </w:tc>
        <w:tc>
          <w:tcPr>
            <w:tcW w:w="912" w:type="dxa"/>
            <w:tcBorders>
              <w:top w:val="nil"/>
              <w:left w:val="nil"/>
              <w:bottom w:val="single" w:color="000000" w:sz="4" w:space="0"/>
              <w:right w:val="single" w:color="000000" w:sz="4" w:space="0"/>
            </w:tcBorders>
            <w:shd w:val="clear" w:color="auto" w:fill="FFFFFF"/>
            <w:vAlign w:val="center"/>
          </w:tcPr>
          <w:p>
            <w:pPr>
              <w:jc w:val="center"/>
              <w:rPr>
                <w:rFonts w:ascii="宋体" w:hAnsi="宋体" w:cs="宋体"/>
                <w:sz w:val="24"/>
              </w:rPr>
            </w:pPr>
          </w:p>
        </w:tc>
        <w:tc>
          <w:tcPr>
            <w:tcW w:w="135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sz w:val="24"/>
              </w:rPr>
            </w:pPr>
          </w:p>
        </w:tc>
        <w:tc>
          <w:tcPr>
            <w:tcW w:w="1120"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sz w:val="24"/>
              </w:rPr>
            </w:pPr>
          </w:p>
        </w:tc>
        <w:tc>
          <w:tcPr>
            <w:tcW w:w="1124"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sz w:val="24"/>
              </w:rPr>
            </w:pPr>
          </w:p>
        </w:tc>
      </w:tr>
      <w:tr>
        <w:tblPrEx>
          <w:tblCellMar>
            <w:top w:w="0" w:type="dxa"/>
            <w:left w:w="108" w:type="dxa"/>
            <w:bottom w:w="0" w:type="dxa"/>
            <w:right w:w="108" w:type="dxa"/>
          </w:tblCellMar>
        </w:tblPrEx>
        <w:trPr>
          <w:trHeight w:val="370" w:hRule="atLeast"/>
        </w:trPr>
        <w:tc>
          <w:tcPr>
            <w:tcW w:w="936" w:type="dxa"/>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4"/>
              </w:rPr>
            </w:pPr>
          </w:p>
        </w:tc>
        <w:tc>
          <w:tcPr>
            <w:tcW w:w="3677"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sz w:val="24"/>
              </w:rPr>
            </w:pPr>
          </w:p>
        </w:tc>
        <w:tc>
          <w:tcPr>
            <w:tcW w:w="912" w:type="dxa"/>
            <w:tcBorders>
              <w:top w:val="nil"/>
              <w:left w:val="nil"/>
              <w:bottom w:val="single" w:color="000000" w:sz="4" w:space="0"/>
              <w:right w:val="single" w:color="000000" w:sz="4" w:space="0"/>
            </w:tcBorders>
            <w:shd w:val="clear" w:color="auto" w:fill="FFFFFF"/>
            <w:vAlign w:val="center"/>
          </w:tcPr>
          <w:p>
            <w:pPr>
              <w:jc w:val="center"/>
              <w:rPr>
                <w:rFonts w:ascii="宋体" w:hAnsi="宋体" w:cs="宋体"/>
                <w:sz w:val="24"/>
              </w:rPr>
            </w:pPr>
          </w:p>
        </w:tc>
        <w:tc>
          <w:tcPr>
            <w:tcW w:w="135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sz w:val="24"/>
              </w:rPr>
            </w:pPr>
          </w:p>
        </w:tc>
        <w:tc>
          <w:tcPr>
            <w:tcW w:w="1120"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sz w:val="24"/>
              </w:rPr>
            </w:pPr>
          </w:p>
        </w:tc>
        <w:tc>
          <w:tcPr>
            <w:tcW w:w="1124"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sz w:val="24"/>
              </w:rPr>
            </w:pPr>
          </w:p>
        </w:tc>
      </w:tr>
      <w:tr>
        <w:tblPrEx>
          <w:tblCellMar>
            <w:top w:w="0" w:type="dxa"/>
            <w:left w:w="108" w:type="dxa"/>
            <w:bottom w:w="0" w:type="dxa"/>
            <w:right w:w="108" w:type="dxa"/>
          </w:tblCellMar>
        </w:tblPrEx>
        <w:trPr>
          <w:trHeight w:val="370" w:hRule="atLeast"/>
        </w:trPr>
        <w:tc>
          <w:tcPr>
            <w:tcW w:w="936" w:type="dxa"/>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4"/>
              </w:rPr>
            </w:pPr>
          </w:p>
        </w:tc>
        <w:tc>
          <w:tcPr>
            <w:tcW w:w="3677"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sz w:val="24"/>
              </w:rPr>
            </w:pPr>
          </w:p>
        </w:tc>
        <w:tc>
          <w:tcPr>
            <w:tcW w:w="91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4"/>
              </w:rPr>
            </w:pPr>
          </w:p>
        </w:tc>
        <w:tc>
          <w:tcPr>
            <w:tcW w:w="135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ascii="Arial Narrow" w:hAnsi="Arial Narrow" w:eastAsia="Arial Narrow" w:cs="Arial Narrow"/>
                <w:sz w:val="24"/>
              </w:rPr>
            </w:pPr>
          </w:p>
        </w:tc>
        <w:tc>
          <w:tcPr>
            <w:tcW w:w="1120"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sz w:val="24"/>
              </w:rPr>
            </w:pPr>
          </w:p>
        </w:tc>
        <w:tc>
          <w:tcPr>
            <w:tcW w:w="1124"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sz w:val="24"/>
              </w:rPr>
            </w:pPr>
          </w:p>
        </w:tc>
      </w:tr>
      <w:tr>
        <w:tblPrEx>
          <w:tblCellMar>
            <w:top w:w="0" w:type="dxa"/>
            <w:left w:w="108" w:type="dxa"/>
            <w:bottom w:w="0" w:type="dxa"/>
            <w:right w:w="108" w:type="dxa"/>
          </w:tblCellMar>
        </w:tblPrEx>
        <w:trPr>
          <w:trHeight w:val="370" w:hRule="atLeast"/>
        </w:trPr>
        <w:tc>
          <w:tcPr>
            <w:tcW w:w="936" w:type="dxa"/>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4"/>
              </w:rPr>
            </w:pPr>
          </w:p>
        </w:tc>
        <w:tc>
          <w:tcPr>
            <w:tcW w:w="3677"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sz w:val="24"/>
              </w:rPr>
            </w:pPr>
          </w:p>
        </w:tc>
        <w:tc>
          <w:tcPr>
            <w:tcW w:w="91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4"/>
              </w:rPr>
            </w:pPr>
          </w:p>
        </w:tc>
        <w:tc>
          <w:tcPr>
            <w:tcW w:w="135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ascii="Arial Narrow" w:hAnsi="Arial Narrow" w:eastAsia="Arial Narrow" w:cs="Arial Narrow"/>
                <w:sz w:val="24"/>
              </w:rPr>
            </w:pPr>
          </w:p>
        </w:tc>
        <w:tc>
          <w:tcPr>
            <w:tcW w:w="1120"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sz w:val="24"/>
              </w:rPr>
            </w:pPr>
          </w:p>
        </w:tc>
        <w:tc>
          <w:tcPr>
            <w:tcW w:w="1124"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sz w:val="24"/>
              </w:rPr>
            </w:pPr>
          </w:p>
        </w:tc>
      </w:tr>
      <w:tr>
        <w:tblPrEx>
          <w:tblCellMar>
            <w:top w:w="0" w:type="dxa"/>
            <w:left w:w="108" w:type="dxa"/>
            <w:bottom w:w="0" w:type="dxa"/>
            <w:right w:w="108" w:type="dxa"/>
          </w:tblCellMar>
        </w:tblPrEx>
        <w:trPr>
          <w:trHeight w:val="370" w:hRule="atLeast"/>
        </w:trPr>
        <w:tc>
          <w:tcPr>
            <w:tcW w:w="936" w:type="dxa"/>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4"/>
              </w:rPr>
            </w:pPr>
          </w:p>
        </w:tc>
        <w:tc>
          <w:tcPr>
            <w:tcW w:w="3677"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sz w:val="24"/>
              </w:rPr>
            </w:pPr>
          </w:p>
        </w:tc>
        <w:tc>
          <w:tcPr>
            <w:tcW w:w="91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4"/>
              </w:rPr>
            </w:pPr>
          </w:p>
        </w:tc>
        <w:tc>
          <w:tcPr>
            <w:tcW w:w="135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ascii="Arial Narrow" w:hAnsi="Arial Narrow" w:eastAsia="Arial Narrow" w:cs="Arial Narrow"/>
                <w:sz w:val="24"/>
              </w:rPr>
            </w:pPr>
          </w:p>
        </w:tc>
        <w:tc>
          <w:tcPr>
            <w:tcW w:w="1120"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sz w:val="24"/>
              </w:rPr>
            </w:pPr>
          </w:p>
        </w:tc>
        <w:tc>
          <w:tcPr>
            <w:tcW w:w="1124"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sz w:val="24"/>
              </w:rPr>
            </w:pPr>
          </w:p>
        </w:tc>
      </w:tr>
      <w:tr>
        <w:tblPrEx>
          <w:tblCellMar>
            <w:top w:w="0" w:type="dxa"/>
            <w:left w:w="108" w:type="dxa"/>
            <w:bottom w:w="0" w:type="dxa"/>
            <w:right w:w="108" w:type="dxa"/>
          </w:tblCellMar>
        </w:tblPrEx>
        <w:trPr>
          <w:trHeight w:val="370" w:hRule="atLeast"/>
        </w:trPr>
        <w:tc>
          <w:tcPr>
            <w:tcW w:w="936" w:type="dxa"/>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4"/>
              </w:rPr>
            </w:pPr>
          </w:p>
        </w:tc>
        <w:tc>
          <w:tcPr>
            <w:tcW w:w="3677"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sz w:val="24"/>
              </w:rPr>
            </w:pPr>
          </w:p>
        </w:tc>
        <w:tc>
          <w:tcPr>
            <w:tcW w:w="91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4"/>
              </w:rPr>
            </w:pPr>
          </w:p>
        </w:tc>
        <w:tc>
          <w:tcPr>
            <w:tcW w:w="135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ascii="Arial Narrow" w:hAnsi="Arial Narrow" w:eastAsia="Arial Narrow" w:cs="Arial Narrow"/>
                <w:sz w:val="24"/>
              </w:rPr>
            </w:pPr>
          </w:p>
        </w:tc>
        <w:tc>
          <w:tcPr>
            <w:tcW w:w="1120"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sz w:val="24"/>
              </w:rPr>
            </w:pPr>
          </w:p>
        </w:tc>
        <w:tc>
          <w:tcPr>
            <w:tcW w:w="1124"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sz w:val="24"/>
              </w:rPr>
            </w:pPr>
          </w:p>
        </w:tc>
      </w:tr>
      <w:tr>
        <w:tblPrEx>
          <w:tblCellMar>
            <w:top w:w="0" w:type="dxa"/>
            <w:left w:w="108" w:type="dxa"/>
            <w:bottom w:w="0" w:type="dxa"/>
            <w:right w:w="108" w:type="dxa"/>
          </w:tblCellMar>
        </w:tblPrEx>
        <w:trPr>
          <w:trHeight w:val="370" w:hRule="atLeast"/>
        </w:trPr>
        <w:tc>
          <w:tcPr>
            <w:tcW w:w="936" w:type="dxa"/>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4"/>
              </w:rPr>
            </w:pPr>
          </w:p>
        </w:tc>
        <w:tc>
          <w:tcPr>
            <w:tcW w:w="3677"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sz w:val="24"/>
              </w:rPr>
            </w:pPr>
          </w:p>
        </w:tc>
        <w:tc>
          <w:tcPr>
            <w:tcW w:w="91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4"/>
              </w:rPr>
            </w:pPr>
          </w:p>
        </w:tc>
        <w:tc>
          <w:tcPr>
            <w:tcW w:w="135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ascii="Arial Narrow" w:hAnsi="Arial Narrow" w:eastAsia="Arial Narrow" w:cs="Arial Narrow"/>
                <w:sz w:val="24"/>
              </w:rPr>
            </w:pPr>
          </w:p>
        </w:tc>
        <w:tc>
          <w:tcPr>
            <w:tcW w:w="1120"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sz w:val="24"/>
              </w:rPr>
            </w:pPr>
          </w:p>
        </w:tc>
        <w:tc>
          <w:tcPr>
            <w:tcW w:w="1124"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sz w:val="24"/>
              </w:rPr>
            </w:pPr>
          </w:p>
        </w:tc>
      </w:tr>
      <w:tr>
        <w:tblPrEx>
          <w:tblCellMar>
            <w:top w:w="0" w:type="dxa"/>
            <w:left w:w="108" w:type="dxa"/>
            <w:bottom w:w="0" w:type="dxa"/>
            <w:right w:w="108" w:type="dxa"/>
          </w:tblCellMar>
        </w:tblPrEx>
        <w:trPr>
          <w:trHeight w:val="370" w:hRule="atLeast"/>
        </w:trPr>
        <w:tc>
          <w:tcPr>
            <w:tcW w:w="936" w:type="dxa"/>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4"/>
              </w:rPr>
            </w:pPr>
          </w:p>
        </w:tc>
        <w:tc>
          <w:tcPr>
            <w:tcW w:w="3677"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sz w:val="24"/>
              </w:rPr>
            </w:pPr>
          </w:p>
        </w:tc>
        <w:tc>
          <w:tcPr>
            <w:tcW w:w="912" w:type="dxa"/>
            <w:tcBorders>
              <w:top w:val="nil"/>
              <w:left w:val="nil"/>
              <w:bottom w:val="single" w:color="000000" w:sz="4" w:space="0"/>
              <w:right w:val="single" w:color="000000" w:sz="4" w:space="0"/>
            </w:tcBorders>
            <w:shd w:val="clear" w:color="auto" w:fill="FFFFFF"/>
            <w:vAlign w:val="center"/>
          </w:tcPr>
          <w:p>
            <w:pPr>
              <w:jc w:val="center"/>
              <w:rPr>
                <w:rFonts w:ascii="宋体" w:hAnsi="宋体" w:cs="宋体"/>
                <w:sz w:val="24"/>
              </w:rPr>
            </w:pPr>
          </w:p>
        </w:tc>
        <w:tc>
          <w:tcPr>
            <w:tcW w:w="135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sz w:val="24"/>
              </w:rPr>
            </w:pPr>
          </w:p>
        </w:tc>
        <w:tc>
          <w:tcPr>
            <w:tcW w:w="1120"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sz w:val="24"/>
              </w:rPr>
            </w:pPr>
          </w:p>
        </w:tc>
        <w:tc>
          <w:tcPr>
            <w:tcW w:w="1124"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sz w:val="24"/>
              </w:rPr>
            </w:pPr>
          </w:p>
        </w:tc>
      </w:tr>
      <w:tr>
        <w:tblPrEx>
          <w:tblCellMar>
            <w:top w:w="0" w:type="dxa"/>
            <w:left w:w="108" w:type="dxa"/>
            <w:bottom w:w="0" w:type="dxa"/>
            <w:right w:w="108" w:type="dxa"/>
          </w:tblCellMar>
        </w:tblPrEx>
        <w:trPr>
          <w:trHeight w:val="370" w:hRule="atLeast"/>
        </w:trPr>
        <w:tc>
          <w:tcPr>
            <w:tcW w:w="936" w:type="dxa"/>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4"/>
              </w:rPr>
            </w:pPr>
          </w:p>
        </w:tc>
        <w:tc>
          <w:tcPr>
            <w:tcW w:w="3677"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sz w:val="24"/>
              </w:rPr>
            </w:pPr>
          </w:p>
        </w:tc>
        <w:tc>
          <w:tcPr>
            <w:tcW w:w="91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4"/>
              </w:rPr>
            </w:pPr>
          </w:p>
        </w:tc>
        <w:tc>
          <w:tcPr>
            <w:tcW w:w="135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ascii="Arial Narrow" w:hAnsi="Arial Narrow" w:eastAsia="Arial Narrow" w:cs="Arial Narrow"/>
                <w:sz w:val="24"/>
              </w:rPr>
            </w:pPr>
          </w:p>
        </w:tc>
        <w:tc>
          <w:tcPr>
            <w:tcW w:w="1120"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sz w:val="24"/>
              </w:rPr>
            </w:pPr>
          </w:p>
        </w:tc>
        <w:tc>
          <w:tcPr>
            <w:tcW w:w="1124"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sz w:val="24"/>
              </w:rPr>
            </w:pPr>
          </w:p>
        </w:tc>
      </w:tr>
      <w:tr>
        <w:tblPrEx>
          <w:tblCellMar>
            <w:top w:w="0" w:type="dxa"/>
            <w:left w:w="108" w:type="dxa"/>
            <w:bottom w:w="0" w:type="dxa"/>
            <w:right w:w="108" w:type="dxa"/>
          </w:tblCellMar>
        </w:tblPrEx>
        <w:trPr>
          <w:trHeight w:val="370" w:hRule="atLeast"/>
        </w:trPr>
        <w:tc>
          <w:tcPr>
            <w:tcW w:w="936" w:type="dxa"/>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4"/>
              </w:rPr>
            </w:pPr>
          </w:p>
        </w:tc>
        <w:tc>
          <w:tcPr>
            <w:tcW w:w="3677"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sz w:val="24"/>
              </w:rPr>
            </w:pPr>
          </w:p>
        </w:tc>
        <w:tc>
          <w:tcPr>
            <w:tcW w:w="912" w:type="dxa"/>
            <w:tcBorders>
              <w:top w:val="nil"/>
              <w:left w:val="nil"/>
              <w:bottom w:val="single" w:color="000000" w:sz="4" w:space="0"/>
              <w:right w:val="single" w:color="000000" w:sz="4" w:space="0"/>
            </w:tcBorders>
            <w:shd w:val="clear" w:color="auto" w:fill="FFFFFF"/>
            <w:vAlign w:val="center"/>
          </w:tcPr>
          <w:p>
            <w:pPr>
              <w:jc w:val="center"/>
              <w:rPr>
                <w:rFonts w:ascii="宋体" w:hAnsi="宋体" w:cs="宋体"/>
                <w:sz w:val="24"/>
              </w:rPr>
            </w:pPr>
          </w:p>
        </w:tc>
        <w:tc>
          <w:tcPr>
            <w:tcW w:w="135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sz w:val="24"/>
              </w:rPr>
            </w:pPr>
          </w:p>
        </w:tc>
        <w:tc>
          <w:tcPr>
            <w:tcW w:w="1120"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sz w:val="24"/>
              </w:rPr>
            </w:pPr>
          </w:p>
        </w:tc>
        <w:tc>
          <w:tcPr>
            <w:tcW w:w="1124"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sz w:val="24"/>
              </w:rPr>
            </w:pPr>
          </w:p>
        </w:tc>
      </w:tr>
      <w:tr>
        <w:tblPrEx>
          <w:tblCellMar>
            <w:top w:w="0" w:type="dxa"/>
            <w:left w:w="108" w:type="dxa"/>
            <w:bottom w:w="0" w:type="dxa"/>
            <w:right w:w="108" w:type="dxa"/>
          </w:tblCellMar>
        </w:tblPrEx>
        <w:trPr>
          <w:trHeight w:val="370" w:hRule="atLeast"/>
        </w:trPr>
        <w:tc>
          <w:tcPr>
            <w:tcW w:w="936" w:type="dxa"/>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4"/>
              </w:rPr>
            </w:pPr>
          </w:p>
        </w:tc>
        <w:tc>
          <w:tcPr>
            <w:tcW w:w="3677"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sz w:val="24"/>
              </w:rPr>
            </w:pPr>
          </w:p>
        </w:tc>
        <w:tc>
          <w:tcPr>
            <w:tcW w:w="91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4"/>
              </w:rPr>
            </w:pPr>
          </w:p>
        </w:tc>
        <w:tc>
          <w:tcPr>
            <w:tcW w:w="135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ascii="Arial Narrow" w:hAnsi="Arial Narrow" w:eastAsia="Arial Narrow" w:cs="Arial Narrow"/>
                <w:sz w:val="24"/>
              </w:rPr>
            </w:pPr>
          </w:p>
        </w:tc>
        <w:tc>
          <w:tcPr>
            <w:tcW w:w="1120"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sz w:val="24"/>
              </w:rPr>
            </w:pPr>
          </w:p>
        </w:tc>
        <w:tc>
          <w:tcPr>
            <w:tcW w:w="1124"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sz w:val="24"/>
              </w:rPr>
            </w:pPr>
          </w:p>
        </w:tc>
      </w:tr>
      <w:tr>
        <w:tblPrEx>
          <w:tblCellMar>
            <w:top w:w="0" w:type="dxa"/>
            <w:left w:w="108" w:type="dxa"/>
            <w:bottom w:w="0" w:type="dxa"/>
            <w:right w:w="108" w:type="dxa"/>
          </w:tblCellMar>
        </w:tblPrEx>
        <w:trPr>
          <w:trHeight w:val="370" w:hRule="atLeast"/>
        </w:trPr>
        <w:tc>
          <w:tcPr>
            <w:tcW w:w="936" w:type="dxa"/>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4"/>
              </w:rPr>
            </w:pPr>
          </w:p>
        </w:tc>
        <w:tc>
          <w:tcPr>
            <w:tcW w:w="3677"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sz w:val="24"/>
              </w:rPr>
            </w:pPr>
          </w:p>
        </w:tc>
        <w:tc>
          <w:tcPr>
            <w:tcW w:w="912" w:type="dxa"/>
            <w:tcBorders>
              <w:top w:val="nil"/>
              <w:left w:val="nil"/>
              <w:bottom w:val="single" w:color="000000" w:sz="4" w:space="0"/>
              <w:right w:val="single" w:color="000000" w:sz="4" w:space="0"/>
            </w:tcBorders>
            <w:shd w:val="clear" w:color="auto" w:fill="FFFFFF"/>
            <w:vAlign w:val="center"/>
          </w:tcPr>
          <w:p>
            <w:pPr>
              <w:jc w:val="center"/>
              <w:rPr>
                <w:rFonts w:ascii="宋体" w:hAnsi="宋体" w:cs="宋体"/>
                <w:sz w:val="24"/>
              </w:rPr>
            </w:pPr>
          </w:p>
        </w:tc>
        <w:tc>
          <w:tcPr>
            <w:tcW w:w="135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sz w:val="24"/>
              </w:rPr>
            </w:pPr>
          </w:p>
        </w:tc>
        <w:tc>
          <w:tcPr>
            <w:tcW w:w="1120"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sz w:val="24"/>
              </w:rPr>
            </w:pPr>
          </w:p>
        </w:tc>
        <w:tc>
          <w:tcPr>
            <w:tcW w:w="1124"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sz w:val="24"/>
              </w:rPr>
            </w:pPr>
          </w:p>
        </w:tc>
      </w:tr>
      <w:tr>
        <w:tblPrEx>
          <w:tblCellMar>
            <w:top w:w="0" w:type="dxa"/>
            <w:left w:w="108" w:type="dxa"/>
            <w:bottom w:w="0" w:type="dxa"/>
            <w:right w:w="108" w:type="dxa"/>
          </w:tblCellMar>
        </w:tblPrEx>
        <w:trPr>
          <w:trHeight w:val="370" w:hRule="atLeast"/>
        </w:trPr>
        <w:tc>
          <w:tcPr>
            <w:tcW w:w="936" w:type="dxa"/>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4"/>
              </w:rPr>
            </w:pPr>
          </w:p>
        </w:tc>
        <w:tc>
          <w:tcPr>
            <w:tcW w:w="3677"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sz w:val="24"/>
              </w:rPr>
            </w:pPr>
          </w:p>
        </w:tc>
        <w:tc>
          <w:tcPr>
            <w:tcW w:w="912" w:type="dxa"/>
            <w:tcBorders>
              <w:top w:val="nil"/>
              <w:left w:val="nil"/>
              <w:bottom w:val="single" w:color="000000" w:sz="4" w:space="0"/>
              <w:right w:val="single" w:color="000000" w:sz="4" w:space="0"/>
            </w:tcBorders>
            <w:shd w:val="clear" w:color="auto" w:fill="FFFFFF"/>
            <w:vAlign w:val="center"/>
          </w:tcPr>
          <w:p>
            <w:pPr>
              <w:jc w:val="center"/>
              <w:rPr>
                <w:rFonts w:ascii="宋体" w:hAnsi="宋体" w:cs="宋体"/>
                <w:sz w:val="24"/>
              </w:rPr>
            </w:pPr>
          </w:p>
        </w:tc>
        <w:tc>
          <w:tcPr>
            <w:tcW w:w="135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sz w:val="24"/>
              </w:rPr>
            </w:pPr>
          </w:p>
        </w:tc>
        <w:tc>
          <w:tcPr>
            <w:tcW w:w="1120"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sz w:val="24"/>
              </w:rPr>
            </w:pPr>
          </w:p>
        </w:tc>
        <w:tc>
          <w:tcPr>
            <w:tcW w:w="1124"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sz w:val="24"/>
              </w:rPr>
            </w:pPr>
          </w:p>
        </w:tc>
      </w:tr>
      <w:tr>
        <w:tblPrEx>
          <w:tblCellMar>
            <w:top w:w="0" w:type="dxa"/>
            <w:left w:w="108" w:type="dxa"/>
            <w:bottom w:w="0" w:type="dxa"/>
            <w:right w:w="108" w:type="dxa"/>
          </w:tblCellMar>
        </w:tblPrEx>
        <w:trPr>
          <w:trHeight w:val="370" w:hRule="atLeast"/>
        </w:trPr>
        <w:tc>
          <w:tcPr>
            <w:tcW w:w="936" w:type="dxa"/>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4"/>
              </w:rPr>
            </w:pPr>
          </w:p>
        </w:tc>
        <w:tc>
          <w:tcPr>
            <w:tcW w:w="3677"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sz w:val="24"/>
              </w:rPr>
            </w:pPr>
          </w:p>
        </w:tc>
        <w:tc>
          <w:tcPr>
            <w:tcW w:w="91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4"/>
              </w:rPr>
            </w:pPr>
          </w:p>
        </w:tc>
        <w:tc>
          <w:tcPr>
            <w:tcW w:w="135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ascii="Arial Narrow" w:hAnsi="Arial Narrow" w:eastAsia="Arial Narrow" w:cs="Arial Narrow"/>
                <w:sz w:val="24"/>
              </w:rPr>
            </w:pPr>
          </w:p>
        </w:tc>
        <w:tc>
          <w:tcPr>
            <w:tcW w:w="1120"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sz w:val="24"/>
              </w:rPr>
            </w:pPr>
          </w:p>
        </w:tc>
        <w:tc>
          <w:tcPr>
            <w:tcW w:w="1124"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sz w:val="24"/>
              </w:rPr>
            </w:pPr>
          </w:p>
        </w:tc>
      </w:tr>
      <w:tr>
        <w:tblPrEx>
          <w:tblCellMar>
            <w:top w:w="0" w:type="dxa"/>
            <w:left w:w="108" w:type="dxa"/>
            <w:bottom w:w="0" w:type="dxa"/>
            <w:right w:w="108" w:type="dxa"/>
          </w:tblCellMar>
        </w:tblPrEx>
        <w:trPr>
          <w:trHeight w:val="370" w:hRule="atLeast"/>
        </w:trPr>
        <w:tc>
          <w:tcPr>
            <w:tcW w:w="936" w:type="dxa"/>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4"/>
              </w:rPr>
            </w:pPr>
          </w:p>
        </w:tc>
        <w:tc>
          <w:tcPr>
            <w:tcW w:w="3677"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sz w:val="24"/>
              </w:rPr>
            </w:pPr>
          </w:p>
        </w:tc>
        <w:tc>
          <w:tcPr>
            <w:tcW w:w="91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4"/>
              </w:rPr>
            </w:pPr>
          </w:p>
        </w:tc>
        <w:tc>
          <w:tcPr>
            <w:tcW w:w="135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ascii="Arial Narrow" w:hAnsi="Arial Narrow" w:eastAsia="Arial Narrow" w:cs="Arial Narrow"/>
                <w:sz w:val="24"/>
              </w:rPr>
            </w:pPr>
          </w:p>
        </w:tc>
        <w:tc>
          <w:tcPr>
            <w:tcW w:w="1120"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sz w:val="24"/>
              </w:rPr>
            </w:pPr>
          </w:p>
        </w:tc>
        <w:tc>
          <w:tcPr>
            <w:tcW w:w="1124"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sz w:val="24"/>
              </w:rPr>
            </w:pPr>
          </w:p>
        </w:tc>
      </w:tr>
      <w:tr>
        <w:tblPrEx>
          <w:tblCellMar>
            <w:top w:w="0" w:type="dxa"/>
            <w:left w:w="108" w:type="dxa"/>
            <w:bottom w:w="0" w:type="dxa"/>
            <w:right w:w="108" w:type="dxa"/>
          </w:tblCellMar>
        </w:tblPrEx>
        <w:trPr>
          <w:trHeight w:val="370" w:hRule="atLeast"/>
        </w:trPr>
        <w:tc>
          <w:tcPr>
            <w:tcW w:w="936" w:type="dxa"/>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4"/>
              </w:rPr>
            </w:pPr>
          </w:p>
        </w:tc>
        <w:tc>
          <w:tcPr>
            <w:tcW w:w="3677"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sz w:val="24"/>
              </w:rPr>
            </w:pPr>
          </w:p>
        </w:tc>
        <w:tc>
          <w:tcPr>
            <w:tcW w:w="912" w:type="dxa"/>
            <w:tcBorders>
              <w:top w:val="nil"/>
              <w:left w:val="nil"/>
              <w:bottom w:val="single" w:color="000000" w:sz="4" w:space="0"/>
              <w:right w:val="single" w:color="000000" w:sz="4" w:space="0"/>
            </w:tcBorders>
            <w:shd w:val="clear" w:color="auto" w:fill="FFFFFF"/>
            <w:vAlign w:val="center"/>
          </w:tcPr>
          <w:p>
            <w:pPr>
              <w:jc w:val="center"/>
              <w:rPr>
                <w:rFonts w:ascii="宋体" w:hAnsi="宋体" w:cs="宋体"/>
                <w:sz w:val="24"/>
              </w:rPr>
            </w:pPr>
          </w:p>
        </w:tc>
        <w:tc>
          <w:tcPr>
            <w:tcW w:w="135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sz w:val="24"/>
              </w:rPr>
            </w:pPr>
          </w:p>
        </w:tc>
        <w:tc>
          <w:tcPr>
            <w:tcW w:w="1120"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sz w:val="24"/>
              </w:rPr>
            </w:pPr>
          </w:p>
        </w:tc>
        <w:tc>
          <w:tcPr>
            <w:tcW w:w="1124"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sz w:val="24"/>
              </w:rPr>
            </w:pPr>
          </w:p>
        </w:tc>
      </w:tr>
      <w:tr>
        <w:tblPrEx>
          <w:tblCellMar>
            <w:top w:w="0" w:type="dxa"/>
            <w:left w:w="108" w:type="dxa"/>
            <w:bottom w:w="0" w:type="dxa"/>
            <w:right w:w="108" w:type="dxa"/>
          </w:tblCellMar>
        </w:tblPrEx>
        <w:trPr>
          <w:trHeight w:val="370" w:hRule="atLeast"/>
        </w:trPr>
        <w:tc>
          <w:tcPr>
            <w:tcW w:w="936" w:type="dxa"/>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4"/>
              </w:rPr>
            </w:pPr>
          </w:p>
        </w:tc>
        <w:tc>
          <w:tcPr>
            <w:tcW w:w="3677"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sz w:val="24"/>
              </w:rPr>
            </w:pPr>
          </w:p>
        </w:tc>
        <w:tc>
          <w:tcPr>
            <w:tcW w:w="91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4"/>
              </w:rPr>
            </w:pPr>
          </w:p>
        </w:tc>
        <w:tc>
          <w:tcPr>
            <w:tcW w:w="135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ascii="Arial Narrow" w:hAnsi="Arial Narrow" w:eastAsia="Arial Narrow" w:cs="Arial Narrow"/>
                <w:sz w:val="24"/>
              </w:rPr>
            </w:pPr>
          </w:p>
        </w:tc>
        <w:tc>
          <w:tcPr>
            <w:tcW w:w="1120"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sz w:val="24"/>
              </w:rPr>
            </w:pPr>
          </w:p>
        </w:tc>
        <w:tc>
          <w:tcPr>
            <w:tcW w:w="1124"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sz w:val="24"/>
              </w:rPr>
            </w:pPr>
          </w:p>
        </w:tc>
      </w:tr>
      <w:tr>
        <w:tblPrEx>
          <w:tblCellMar>
            <w:top w:w="0" w:type="dxa"/>
            <w:left w:w="108" w:type="dxa"/>
            <w:bottom w:w="0" w:type="dxa"/>
            <w:right w:w="108" w:type="dxa"/>
          </w:tblCellMar>
        </w:tblPrEx>
        <w:trPr>
          <w:trHeight w:val="370" w:hRule="atLeast"/>
        </w:trPr>
        <w:tc>
          <w:tcPr>
            <w:tcW w:w="936" w:type="dxa"/>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4"/>
              </w:rPr>
            </w:pPr>
          </w:p>
        </w:tc>
        <w:tc>
          <w:tcPr>
            <w:tcW w:w="3677"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sz w:val="24"/>
              </w:rPr>
            </w:pPr>
          </w:p>
        </w:tc>
        <w:tc>
          <w:tcPr>
            <w:tcW w:w="912" w:type="dxa"/>
            <w:tcBorders>
              <w:top w:val="nil"/>
              <w:left w:val="nil"/>
              <w:bottom w:val="single" w:color="000000" w:sz="4" w:space="0"/>
              <w:right w:val="single" w:color="000000" w:sz="4" w:space="0"/>
            </w:tcBorders>
            <w:shd w:val="clear" w:color="auto" w:fill="FFFFFF"/>
            <w:vAlign w:val="center"/>
          </w:tcPr>
          <w:p>
            <w:pPr>
              <w:jc w:val="center"/>
              <w:rPr>
                <w:rFonts w:ascii="宋体" w:hAnsi="宋体" w:cs="宋体"/>
                <w:sz w:val="24"/>
              </w:rPr>
            </w:pPr>
          </w:p>
        </w:tc>
        <w:tc>
          <w:tcPr>
            <w:tcW w:w="135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sz w:val="24"/>
              </w:rPr>
            </w:pPr>
          </w:p>
        </w:tc>
        <w:tc>
          <w:tcPr>
            <w:tcW w:w="1120"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sz w:val="24"/>
              </w:rPr>
            </w:pPr>
          </w:p>
        </w:tc>
        <w:tc>
          <w:tcPr>
            <w:tcW w:w="1124"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sz w:val="24"/>
              </w:rPr>
            </w:pPr>
          </w:p>
        </w:tc>
      </w:tr>
      <w:tr>
        <w:tblPrEx>
          <w:tblCellMar>
            <w:top w:w="0" w:type="dxa"/>
            <w:left w:w="108" w:type="dxa"/>
            <w:bottom w:w="0" w:type="dxa"/>
            <w:right w:w="108" w:type="dxa"/>
          </w:tblCellMar>
        </w:tblPrEx>
        <w:trPr>
          <w:trHeight w:val="370" w:hRule="atLeast"/>
        </w:trPr>
        <w:tc>
          <w:tcPr>
            <w:tcW w:w="936" w:type="dxa"/>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4"/>
              </w:rPr>
            </w:pPr>
          </w:p>
        </w:tc>
        <w:tc>
          <w:tcPr>
            <w:tcW w:w="3677"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sz w:val="24"/>
              </w:rPr>
            </w:pPr>
          </w:p>
        </w:tc>
        <w:tc>
          <w:tcPr>
            <w:tcW w:w="912" w:type="dxa"/>
            <w:tcBorders>
              <w:top w:val="nil"/>
              <w:left w:val="nil"/>
              <w:bottom w:val="single" w:color="000000" w:sz="4" w:space="0"/>
              <w:right w:val="single" w:color="000000" w:sz="4" w:space="0"/>
            </w:tcBorders>
            <w:shd w:val="clear" w:color="auto" w:fill="FFFFFF"/>
            <w:vAlign w:val="center"/>
          </w:tcPr>
          <w:p>
            <w:pPr>
              <w:jc w:val="center"/>
              <w:rPr>
                <w:rFonts w:ascii="宋体" w:hAnsi="宋体" w:cs="宋体"/>
                <w:sz w:val="24"/>
              </w:rPr>
            </w:pPr>
          </w:p>
        </w:tc>
        <w:tc>
          <w:tcPr>
            <w:tcW w:w="135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sz w:val="24"/>
              </w:rPr>
            </w:pPr>
          </w:p>
        </w:tc>
        <w:tc>
          <w:tcPr>
            <w:tcW w:w="1120"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sz w:val="24"/>
              </w:rPr>
            </w:pPr>
          </w:p>
        </w:tc>
        <w:tc>
          <w:tcPr>
            <w:tcW w:w="1124"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sz w:val="24"/>
              </w:rPr>
            </w:pPr>
          </w:p>
        </w:tc>
      </w:tr>
      <w:tr>
        <w:tblPrEx>
          <w:tblCellMar>
            <w:top w:w="0" w:type="dxa"/>
            <w:left w:w="108" w:type="dxa"/>
            <w:bottom w:w="0" w:type="dxa"/>
            <w:right w:w="108" w:type="dxa"/>
          </w:tblCellMar>
        </w:tblPrEx>
        <w:trPr>
          <w:trHeight w:val="370" w:hRule="atLeast"/>
        </w:trPr>
        <w:tc>
          <w:tcPr>
            <w:tcW w:w="936" w:type="dxa"/>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4"/>
              </w:rPr>
            </w:pPr>
          </w:p>
        </w:tc>
        <w:tc>
          <w:tcPr>
            <w:tcW w:w="3677"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sz w:val="24"/>
              </w:rPr>
            </w:pPr>
          </w:p>
        </w:tc>
        <w:tc>
          <w:tcPr>
            <w:tcW w:w="91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4"/>
              </w:rPr>
            </w:pPr>
          </w:p>
        </w:tc>
        <w:tc>
          <w:tcPr>
            <w:tcW w:w="135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ascii="Arial Narrow" w:hAnsi="Arial Narrow" w:eastAsia="Arial Narrow" w:cs="Arial Narrow"/>
                <w:sz w:val="24"/>
              </w:rPr>
            </w:pPr>
          </w:p>
        </w:tc>
        <w:tc>
          <w:tcPr>
            <w:tcW w:w="1120"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sz w:val="24"/>
              </w:rPr>
            </w:pPr>
          </w:p>
        </w:tc>
        <w:tc>
          <w:tcPr>
            <w:tcW w:w="1124"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sz w:val="24"/>
              </w:rPr>
            </w:pPr>
          </w:p>
        </w:tc>
      </w:tr>
      <w:tr>
        <w:tblPrEx>
          <w:tblCellMar>
            <w:top w:w="0" w:type="dxa"/>
            <w:left w:w="108" w:type="dxa"/>
            <w:bottom w:w="0" w:type="dxa"/>
            <w:right w:w="108" w:type="dxa"/>
          </w:tblCellMar>
        </w:tblPrEx>
        <w:trPr>
          <w:trHeight w:val="370" w:hRule="atLeast"/>
        </w:trPr>
        <w:tc>
          <w:tcPr>
            <w:tcW w:w="936" w:type="dxa"/>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4"/>
              </w:rPr>
            </w:pPr>
          </w:p>
        </w:tc>
        <w:tc>
          <w:tcPr>
            <w:tcW w:w="3677"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sz w:val="24"/>
              </w:rPr>
            </w:pPr>
          </w:p>
        </w:tc>
        <w:tc>
          <w:tcPr>
            <w:tcW w:w="912" w:type="dxa"/>
            <w:tcBorders>
              <w:top w:val="nil"/>
              <w:left w:val="nil"/>
              <w:bottom w:val="single" w:color="000000" w:sz="4" w:space="0"/>
              <w:right w:val="single" w:color="000000" w:sz="4" w:space="0"/>
            </w:tcBorders>
            <w:shd w:val="clear" w:color="auto" w:fill="FFFFFF"/>
            <w:vAlign w:val="center"/>
          </w:tcPr>
          <w:p>
            <w:pPr>
              <w:jc w:val="center"/>
              <w:rPr>
                <w:rFonts w:ascii="宋体" w:hAnsi="宋体" w:cs="宋体"/>
                <w:sz w:val="24"/>
              </w:rPr>
            </w:pPr>
          </w:p>
        </w:tc>
        <w:tc>
          <w:tcPr>
            <w:tcW w:w="135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sz w:val="24"/>
              </w:rPr>
            </w:pPr>
          </w:p>
        </w:tc>
        <w:tc>
          <w:tcPr>
            <w:tcW w:w="1120"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sz w:val="24"/>
              </w:rPr>
            </w:pPr>
          </w:p>
        </w:tc>
        <w:tc>
          <w:tcPr>
            <w:tcW w:w="1124"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sz w:val="24"/>
              </w:rPr>
            </w:pPr>
          </w:p>
        </w:tc>
      </w:tr>
      <w:tr>
        <w:tblPrEx>
          <w:tblCellMar>
            <w:top w:w="0" w:type="dxa"/>
            <w:left w:w="108" w:type="dxa"/>
            <w:bottom w:w="0" w:type="dxa"/>
            <w:right w:w="108" w:type="dxa"/>
          </w:tblCellMar>
        </w:tblPrEx>
        <w:trPr>
          <w:trHeight w:val="568" w:hRule="atLeast"/>
        </w:trPr>
        <w:tc>
          <w:tcPr>
            <w:tcW w:w="936" w:type="dxa"/>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4"/>
              </w:rPr>
            </w:pPr>
          </w:p>
        </w:tc>
        <w:tc>
          <w:tcPr>
            <w:tcW w:w="3677"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sz w:val="24"/>
              </w:rPr>
            </w:pPr>
          </w:p>
        </w:tc>
        <w:tc>
          <w:tcPr>
            <w:tcW w:w="91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4"/>
              </w:rPr>
            </w:pPr>
          </w:p>
        </w:tc>
        <w:tc>
          <w:tcPr>
            <w:tcW w:w="135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ascii="Arial Narrow" w:hAnsi="Arial Narrow" w:eastAsia="Arial Narrow" w:cs="Arial Narrow"/>
                <w:sz w:val="24"/>
              </w:rPr>
            </w:pPr>
          </w:p>
        </w:tc>
        <w:tc>
          <w:tcPr>
            <w:tcW w:w="1120"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sz w:val="24"/>
              </w:rPr>
            </w:pPr>
          </w:p>
        </w:tc>
        <w:tc>
          <w:tcPr>
            <w:tcW w:w="1124"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sz w:val="24"/>
              </w:rPr>
            </w:pPr>
          </w:p>
        </w:tc>
      </w:tr>
      <w:tr>
        <w:tblPrEx>
          <w:tblCellMar>
            <w:top w:w="0" w:type="dxa"/>
            <w:left w:w="108" w:type="dxa"/>
            <w:bottom w:w="0" w:type="dxa"/>
            <w:right w:w="108" w:type="dxa"/>
          </w:tblCellMar>
        </w:tblPrEx>
        <w:trPr>
          <w:trHeight w:val="568" w:hRule="atLeast"/>
        </w:trPr>
        <w:tc>
          <w:tcPr>
            <w:tcW w:w="936" w:type="dxa"/>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4"/>
              </w:rPr>
            </w:pPr>
          </w:p>
        </w:tc>
        <w:tc>
          <w:tcPr>
            <w:tcW w:w="3677"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sz w:val="24"/>
              </w:rPr>
            </w:pPr>
          </w:p>
        </w:tc>
        <w:tc>
          <w:tcPr>
            <w:tcW w:w="91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4"/>
              </w:rPr>
            </w:pPr>
          </w:p>
        </w:tc>
        <w:tc>
          <w:tcPr>
            <w:tcW w:w="135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ascii="Arial Narrow" w:hAnsi="Arial Narrow" w:eastAsia="Arial Narrow" w:cs="Arial Narrow"/>
                <w:sz w:val="24"/>
              </w:rPr>
            </w:pPr>
          </w:p>
        </w:tc>
        <w:tc>
          <w:tcPr>
            <w:tcW w:w="1120"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sz w:val="24"/>
              </w:rPr>
            </w:pPr>
          </w:p>
        </w:tc>
        <w:tc>
          <w:tcPr>
            <w:tcW w:w="1124"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sz w:val="24"/>
              </w:rPr>
            </w:pPr>
          </w:p>
        </w:tc>
      </w:tr>
      <w:tr>
        <w:tblPrEx>
          <w:tblCellMar>
            <w:top w:w="0" w:type="dxa"/>
            <w:left w:w="108" w:type="dxa"/>
            <w:bottom w:w="0" w:type="dxa"/>
            <w:right w:w="108" w:type="dxa"/>
          </w:tblCellMar>
        </w:tblPrEx>
        <w:trPr>
          <w:trHeight w:val="370" w:hRule="atLeast"/>
        </w:trPr>
        <w:tc>
          <w:tcPr>
            <w:tcW w:w="936" w:type="dxa"/>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4"/>
              </w:rPr>
            </w:pPr>
          </w:p>
        </w:tc>
        <w:tc>
          <w:tcPr>
            <w:tcW w:w="3677"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sz w:val="24"/>
              </w:rPr>
            </w:pPr>
          </w:p>
        </w:tc>
        <w:tc>
          <w:tcPr>
            <w:tcW w:w="912" w:type="dxa"/>
            <w:tcBorders>
              <w:top w:val="nil"/>
              <w:left w:val="nil"/>
              <w:bottom w:val="single" w:color="000000" w:sz="4" w:space="0"/>
              <w:right w:val="single" w:color="000000" w:sz="4" w:space="0"/>
            </w:tcBorders>
            <w:shd w:val="clear" w:color="auto" w:fill="FFFFFF"/>
            <w:vAlign w:val="center"/>
          </w:tcPr>
          <w:p>
            <w:pPr>
              <w:jc w:val="center"/>
              <w:rPr>
                <w:rFonts w:ascii="宋体" w:hAnsi="宋体" w:cs="宋体"/>
                <w:sz w:val="24"/>
              </w:rPr>
            </w:pPr>
          </w:p>
        </w:tc>
        <w:tc>
          <w:tcPr>
            <w:tcW w:w="135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sz w:val="24"/>
              </w:rPr>
            </w:pPr>
          </w:p>
        </w:tc>
        <w:tc>
          <w:tcPr>
            <w:tcW w:w="1120"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sz w:val="24"/>
              </w:rPr>
            </w:pPr>
          </w:p>
        </w:tc>
        <w:tc>
          <w:tcPr>
            <w:tcW w:w="1124"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sz w:val="24"/>
              </w:rPr>
            </w:pPr>
          </w:p>
        </w:tc>
      </w:tr>
      <w:tr>
        <w:tblPrEx>
          <w:tblCellMar>
            <w:top w:w="0" w:type="dxa"/>
            <w:left w:w="108" w:type="dxa"/>
            <w:bottom w:w="0" w:type="dxa"/>
            <w:right w:w="108" w:type="dxa"/>
          </w:tblCellMar>
        </w:tblPrEx>
        <w:trPr>
          <w:trHeight w:val="370" w:hRule="atLeast"/>
        </w:trPr>
        <w:tc>
          <w:tcPr>
            <w:tcW w:w="936" w:type="dxa"/>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4"/>
              </w:rPr>
            </w:pPr>
          </w:p>
        </w:tc>
        <w:tc>
          <w:tcPr>
            <w:tcW w:w="3677"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sz w:val="24"/>
              </w:rPr>
            </w:pPr>
          </w:p>
        </w:tc>
        <w:tc>
          <w:tcPr>
            <w:tcW w:w="91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4"/>
              </w:rPr>
            </w:pPr>
          </w:p>
        </w:tc>
        <w:tc>
          <w:tcPr>
            <w:tcW w:w="135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ascii="Arial Narrow" w:hAnsi="Arial Narrow" w:eastAsia="Arial Narrow" w:cs="Arial Narrow"/>
                <w:sz w:val="24"/>
              </w:rPr>
            </w:pPr>
          </w:p>
        </w:tc>
        <w:tc>
          <w:tcPr>
            <w:tcW w:w="1120"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sz w:val="24"/>
              </w:rPr>
            </w:pPr>
          </w:p>
        </w:tc>
        <w:tc>
          <w:tcPr>
            <w:tcW w:w="1124"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sz w:val="24"/>
              </w:rPr>
            </w:pPr>
          </w:p>
        </w:tc>
      </w:tr>
      <w:tr>
        <w:tblPrEx>
          <w:tblCellMar>
            <w:top w:w="0" w:type="dxa"/>
            <w:left w:w="108" w:type="dxa"/>
            <w:bottom w:w="0" w:type="dxa"/>
            <w:right w:w="108" w:type="dxa"/>
          </w:tblCellMar>
        </w:tblPrEx>
        <w:trPr>
          <w:trHeight w:val="382" w:hRule="atLeast"/>
        </w:trPr>
        <w:tc>
          <w:tcPr>
            <w:tcW w:w="9120" w:type="dxa"/>
            <w:gridSpan w:val="6"/>
            <w:tcBorders>
              <w:top w:val="nil"/>
              <w:left w:val="single" w:color="000000" w:sz="8" w:space="0"/>
              <w:bottom w:val="single" w:color="000000" w:sz="4" w:space="0"/>
              <w:right w:val="single" w:color="000000" w:sz="8" w:space="0"/>
            </w:tcBorders>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rPr>
              <w:t>清单第</w:t>
            </w:r>
            <w:r>
              <w:rPr>
                <w:rFonts w:ascii="宋体" w:hAnsi="宋体" w:cs="宋体"/>
                <w:kern w:val="0"/>
                <w:sz w:val="24"/>
              </w:rPr>
              <w:t xml:space="preserve">300章  </w:t>
            </w:r>
            <w:r>
              <w:rPr>
                <w:rFonts w:hint="eastAsia" w:ascii="宋体" w:hAnsi="宋体" w:cs="宋体"/>
                <w:kern w:val="0"/>
                <w:sz w:val="24"/>
              </w:rPr>
              <w:t>合计元</w:t>
            </w:r>
          </w:p>
        </w:tc>
      </w:tr>
    </w:tbl>
    <w:p/>
    <w:tbl>
      <w:tblPr>
        <w:tblStyle w:val="20"/>
        <w:tblpPr w:leftFromText="180" w:rightFromText="180" w:vertAnchor="text" w:horzAnchor="page" w:tblpX="1374" w:tblpY="190"/>
        <w:tblOverlap w:val="never"/>
        <w:tblW w:w="9600" w:type="dxa"/>
        <w:tblInd w:w="0" w:type="dxa"/>
        <w:tblLayout w:type="fixed"/>
        <w:tblCellMar>
          <w:top w:w="0" w:type="dxa"/>
          <w:left w:w="0" w:type="dxa"/>
          <w:bottom w:w="0" w:type="dxa"/>
          <w:right w:w="0" w:type="dxa"/>
        </w:tblCellMar>
      </w:tblPr>
      <w:tblGrid>
        <w:gridCol w:w="5405"/>
        <w:gridCol w:w="3048"/>
        <w:gridCol w:w="1147"/>
      </w:tblGrid>
      <w:tr>
        <w:tblPrEx>
          <w:tblCellMar>
            <w:top w:w="0" w:type="dxa"/>
            <w:left w:w="0" w:type="dxa"/>
            <w:bottom w:w="0" w:type="dxa"/>
            <w:right w:w="0" w:type="dxa"/>
          </w:tblCellMar>
        </w:tblPrEx>
        <w:trPr>
          <w:trHeight w:val="617" w:hRule="atLeast"/>
        </w:trPr>
        <w:tc>
          <w:tcPr>
            <w:tcW w:w="9600" w:type="dxa"/>
            <w:gridSpan w:val="3"/>
            <w:tcBorders>
              <w:top w:val="nil"/>
              <w:left w:val="nil"/>
              <w:bottom w:val="nil"/>
              <w:right w:val="nil"/>
            </w:tcBorders>
            <w:shd w:val="clear" w:color="auto" w:fill="FFFFFF"/>
            <w:tcMar>
              <w:top w:w="15" w:type="dxa"/>
              <w:left w:w="15" w:type="dxa"/>
              <w:right w:w="15" w:type="dxa"/>
            </w:tcMar>
          </w:tcPr>
          <w:p>
            <w:pPr>
              <w:widowControl/>
              <w:textAlignment w:val="top"/>
              <w:rPr>
                <w:rFonts w:ascii="宋体" w:hAnsi="宋体" w:cs="宋体"/>
                <w:b/>
                <w:kern w:val="0"/>
                <w:sz w:val="28"/>
                <w:szCs w:val="28"/>
              </w:rPr>
            </w:pPr>
          </w:p>
          <w:p>
            <w:pPr>
              <w:widowControl/>
              <w:ind w:firstLine="4216" w:firstLineChars="1500"/>
              <w:textAlignment w:val="top"/>
              <w:rPr>
                <w:rFonts w:ascii="宋体" w:hAnsi="宋体" w:cs="宋体"/>
                <w:b/>
                <w:kern w:val="0"/>
                <w:sz w:val="28"/>
                <w:szCs w:val="28"/>
              </w:rPr>
            </w:pPr>
          </w:p>
          <w:p>
            <w:pPr>
              <w:widowControl/>
              <w:ind w:firstLine="4216" w:firstLineChars="1500"/>
              <w:textAlignment w:val="top"/>
              <w:rPr>
                <w:rFonts w:ascii="宋体" w:hAnsi="宋体" w:cs="宋体"/>
                <w:b/>
                <w:sz w:val="24"/>
              </w:rPr>
            </w:pPr>
            <w:r>
              <w:rPr>
                <w:rFonts w:hint="eastAsia" w:ascii="宋体" w:hAnsi="宋体" w:cs="宋体"/>
                <w:b/>
                <w:kern w:val="0"/>
                <w:sz w:val="28"/>
                <w:szCs w:val="28"/>
              </w:rPr>
              <w:t>工程量清单表</w:t>
            </w:r>
          </w:p>
        </w:tc>
      </w:tr>
      <w:tr>
        <w:tblPrEx>
          <w:tblCellMar>
            <w:top w:w="0" w:type="dxa"/>
            <w:left w:w="0" w:type="dxa"/>
            <w:bottom w:w="0" w:type="dxa"/>
            <w:right w:w="0" w:type="dxa"/>
          </w:tblCellMar>
        </w:tblPrEx>
        <w:trPr>
          <w:trHeight w:val="641" w:hRule="atLeast"/>
        </w:trPr>
        <w:tc>
          <w:tcPr>
            <w:tcW w:w="5405" w:type="dxa"/>
            <w:tcBorders>
              <w:top w:val="nil"/>
              <w:left w:val="nil"/>
              <w:bottom w:val="nil"/>
              <w:right w:val="nil"/>
            </w:tcBorders>
            <w:shd w:val="clear" w:color="auto" w:fill="FFFFFF"/>
            <w:tcMar>
              <w:top w:w="15" w:type="dxa"/>
              <w:left w:w="15" w:type="dxa"/>
              <w:right w:w="15" w:type="dxa"/>
            </w:tcMar>
            <w:vAlign w:val="center"/>
          </w:tcPr>
          <w:p>
            <w:pPr>
              <w:widowControl/>
              <w:jc w:val="left"/>
              <w:textAlignment w:val="center"/>
              <w:rPr>
                <w:rFonts w:ascii="宋体" w:hAnsi="宋体" w:cs="宋体"/>
                <w:sz w:val="24"/>
              </w:rPr>
            </w:pPr>
          </w:p>
        </w:tc>
        <w:tc>
          <w:tcPr>
            <w:tcW w:w="3048"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sz w:val="24"/>
              </w:rPr>
            </w:pPr>
          </w:p>
        </w:tc>
        <w:tc>
          <w:tcPr>
            <w:tcW w:w="1147"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hAnsi="宋体" w:cs="宋体"/>
                <w:sz w:val="24"/>
              </w:rPr>
            </w:pPr>
          </w:p>
        </w:tc>
      </w:tr>
    </w:tbl>
    <w:tbl>
      <w:tblPr>
        <w:tblStyle w:val="20"/>
        <w:tblpPr w:leftFromText="180" w:rightFromText="180" w:vertAnchor="text" w:horzAnchor="page" w:tblpX="1709" w:tblpY="69"/>
        <w:tblOverlap w:val="never"/>
        <w:tblW w:w="9040" w:type="dxa"/>
        <w:tblInd w:w="0" w:type="dxa"/>
        <w:tblLayout w:type="autofit"/>
        <w:tblCellMar>
          <w:top w:w="0" w:type="dxa"/>
          <w:left w:w="108" w:type="dxa"/>
          <w:bottom w:w="0" w:type="dxa"/>
          <w:right w:w="108" w:type="dxa"/>
        </w:tblCellMar>
      </w:tblPr>
      <w:tblGrid>
        <w:gridCol w:w="1105"/>
        <w:gridCol w:w="3554"/>
        <w:gridCol w:w="923"/>
        <w:gridCol w:w="1218"/>
        <w:gridCol w:w="1118"/>
        <w:gridCol w:w="1122"/>
      </w:tblGrid>
      <w:tr>
        <w:tblPrEx>
          <w:tblCellMar>
            <w:top w:w="0" w:type="dxa"/>
            <w:left w:w="108" w:type="dxa"/>
            <w:bottom w:w="0" w:type="dxa"/>
            <w:right w:w="108" w:type="dxa"/>
          </w:tblCellMar>
        </w:tblPrEx>
        <w:trPr>
          <w:trHeight w:val="770" w:hRule="atLeast"/>
        </w:trPr>
        <w:tc>
          <w:tcPr>
            <w:tcW w:w="9040" w:type="dxa"/>
            <w:gridSpan w:val="6"/>
            <w:tcBorders>
              <w:top w:val="single" w:color="000000" w:sz="8" w:space="0"/>
              <w:left w:val="single" w:color="000000" w:sz="8" w:space="0"/>
              <w:bottom w:val="single" w:color="000000" w:sz="4" w:space="0"/>
              <w:right w:val="single" w:color="000000" w:sz="8" w:space="0"/>
            </w:tcBorders>
            <w:shd w:val="clear" w:color="auto" w:fill="FFFFFF"/>
            <w:vAlign w:val="center"/>
          </w:tcPr>
          <w:p>
            <w:pPr>
              <w:widowControl/>
              <w:jc w:val="center"/>
              <w:textAlignment w:val="center"/>
              <w:rPr>
                <w:rFonts w:ascii="宋体" w:hAnsi="宋体" w:cs="宋体"/>
                <w:b/>
                <w:bCs/>
                <w:sz w:val="24"/>
              </w:rPr>
            </w:pPr>
            <w:r>
              <w:rPr>
                <w:rFonts w:hint="eastAsia" w:ascii="宋体" w:hAnsi="宋体" w:cs="宋体"/>
                <w:b/>
                <w:bCs/>
                <w:kern w:val="0"/>
                <w:sz w:val="24"/>
              </w:rPr>
              <w:t>清单   第600章     交通安全设施</w:t>
            </w:r>
          </w:p>
        </w:tc>
      </w:tr>
      <w:tr>
        <w:tblPrEx>
          <w:tblCellMar>
            <w:top w:w="0" w:type="dxa"/>
            <w:left w:w="108" w:type="dxa"/>
            <w:bottom w:w="0" w:type="dxa"/>
            <w:right w:w="108" w:type="dxa"/>
          </w:tblCellMar>
        </w:tblPrEx>
        <w:trPr>
          <w:trHeight w:val="797" w:hRule="atLeast"/>
        </w:trPr>
        <w:tc>
          <w:tcPr>
            <w:tcW w:w="1105" w:type="dxa"/>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sz w:val="24"/>
              </w:rPr>
            </w:pPr>
            <w:r>
              <w:rPr>
                <w:rFonts w:hint="eastAsia" w:ascii="宋体" w:hAnsi="宋体" w:cs="宋体"/>
                <w:b/>
                <w:bCs/>
                <w:kern w:val="0"/>
                <w:sz w:val="24"/>
              </w:rPr>
              <w:t>子目号</w:t>
            </w:r>
          </w:p>
        </w:tc>
        <w:tc>
          <w:tcPr>
            <w:tcW w:w="3554"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sz w:val="24"/>
              </w:rPr>
            </w:pPr>
            <w:r>
              <w:rPr>
                <w:rFonts w:hint="eastAsia" w:ascii="宋体" w:hAnsi="宋体" w:cs="宋体"/>
                <w:b/>
                <w:bCs/>
                <w:kern w:val="0"/>
                <w:sz w:val="24"/>
              </w:rPr>
              <w:t>子目名称</w:t>
            </w:r>
          </w:p>
        </w:tc>
        <w:tc>
          <w:tcPr>
            <w:tcW w:w="923"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sz w:val="24"/>
              </w:rPr>
            </w:pPr>
            <w:r>
              <w:rPr>
                <w:rFonts w:hint="eastAsia" w:ascii="宋体" w:hAnsi="宋体" w:cs="宋体"/>
                <w:b/>
                <w:bCs/>
                <w:kern w:val="0"/>
                <w:sz w:val="24"/>
              </w:rPr>
              <w:t>单位</w:t>
            </w:r>
          </w:p>
        </w:tc>
        <w:tc>
          <w:tcPr>
            <w:tcW w:w="1218"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sz w:val="24"/>
              </w:rPr>
            </w:pPr>
            <w:r>
              <w:rPr>
                <w:rFonts w:hint="eastAsia" w:ascii="宋体" w:hAnsi="宋体" w:cs="宋体"/>
                <w:b/>
                <w:bCs/>
                <w:kern w:val="0"/>
                <w:sz w:val="24"/>
              </w:rPr>
              <w:t>数量</w:t>
            </w:r>
          </w:p>
        </w:tc>
        <w:tc>
          <w:tcPr>
            <w:tcW w:w="1118"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sz w:val="24"/>
              </w:rPr>
            </w:pPr>
            <w:r>
              <w:rPr>
                <w:rFonts w:hint="eastAsia" w:ascii="宋体" w:hAnsi="宋体" w:cs="宋体"/>
                <w:b/>
                <w:bCs/>
                <w:kern w:val="0"/>
                <w:sz w:val="24"/>
              </w:rPr>
              <w:t>单价（元）</w:t>
            </w:r>
          </w:p>
        </w:tc>
        <w:tc>
          <w:tcPr>
            <w:tcW w:w="1122" w:type="dxa"/>
            <w:tcBorders>
              <w:top w:val="nil"/>
              <w:left w:val="nil"/>
              <w:bottom w:val="single" w:color="000000" w:sz="4" w:space="0"/>
              <w:right w:val="single" w:color="000000" w:sz="8" w:space="0"/>
            </w:tcBorders>
            <w:shd w:val="clear" w:color="auto" w:fill="FFFFFF"/>
            <w:vAlign w:val="center"/>
          </w:tcPr>
          <w:p>
            <w:pPr>
              <w:widowControl/>
              <w:jc w:val="center"/>
              <w:textAlignment w:val="center"/>
              <w:rPr>
                <w:rFonts w:ascii="宋体" w:hAnsi="宋体" w:cs="宋体"/>
                <w:b/>
                <w:bCs/>
                <w:sz w:val="24"/>
              </w:rPr>
            </w:pPr>
            <w:r>
              <w:rPr>
                <w:rFonts w:hint="eastAsia" w:ascii="宋体" w:hAnsi="宋体" w:cs="宋体"/>
                <w:b/>
                <w:bCs/>
                <w:kern w:val="0"/>
                <w:sz w:val="24"/>
              </w:rPr>
              <w:t>合价（元）</w:t>
            </w:r>
          </w:p>
        </w:tc>
      </w:tr>
      <w:tr>
        <w:tblPrEx>
          <w:tblCellMar>
            <w:top w:w="0" w:type="dxa"/>
            <w:left w:w="108" w:type="dxa"/>
            <w:bottom w:w="0" w:type="dxa"/>
            <w:right w:w="108" w:type="dxa"/>
          </w:tblCellMar>
        </w:tblPrEx>
        <w:trPr>
          <w:trHeight w:val="519" w:hRule="atLeast"/>
        </w:trPr>
        <w:tc>
          <w:tcPr>
            <w:tcW w:w="1105" w:type="dxa"/>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4"/>
              </w:rPr>
            </w:pPr>
          </w:p>
        </w:tc>
        <w:tc>
          <w:tcPr>
            <w:tcW w:w="3554"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sz w:val="24"/>
              </w:rPr>
            </w:pPr>
          </w:p>
        </w:tc>
        <w:tc>
          <w:tcPr>
            <w:tcW w:w="923" w:type="dxa"/>
            <w:tcBorders>
              <w:top w:val="nil"/>
              <w:left w:val="nil"/>
              <w:bottom w:val="single" w:color="000000" w:sz="4" w:space="0"/>
              <w:right w:val="single" w:color="000000" w:sz="4" w:space="0"/>
            </w:tcBorders>
            <w:shd w:val="clear" w:color="auto" w:fill="FFFFFF"/>
            <w:vAlign w:val="center"/>
          </w:tcPr>
          <w:p>
            <w:pPr>
              <w:jc w:val="center"/>
              <w:rPr>
                <w:rFonts w:ascii="宋体" w:hAnsi="宋体" w:cs="宋体"/>
                <w:sz w:val="24"/>
              </w:rPr>
            </w:pPr>
          </w:p>
        </w:tc>
        <w:tc>
          <w:tcPr>
            <w:tcW w:w="1218"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sz w:val="24"/>
              </w:rPr>
            </w:pPr>
          </w:p>
        </w:tc>
        <w:tc>
          <w:tcPr>
            <w:tcW w:w="1118"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sz w:val="24"/>
              </w:rPr>
            </w:pPr>
          </w:p>
        </w:tc>
        <w:tc>
          <w:tcPr>
            <w:tcW w:w="1122"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sz w:val="24"/>
              </w:rPr>
            </w:pPr>
          </w:p>
        </w:tc>
      </w:tr>
      <w:tr>
        <w:tblPrEx>
          <w:tblCellMar>
            <w:top w:w="0" w:type="dxa"/>
            <w:left w:w="108" w:type="dxa"/>
            <w:bottom w:w="0" w:type="dxa"/>
            <w:right w:w="108" w:type="dxa"/>
          </w:tblCellMar>
        </w:tblPrEx>
        <w:trPr>
          <w:trHeight w:val="519" w:hRule="atLeast"/>
        </w:trPr>
        <w:tc>
          <w:tcPr>
            <w:tcW w:w="1105" w:type="dxa"/>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4"/>
              </w:rPr>
            </w:pPr>
          </w:p>
        </w:tc>
        <w:tc>
          <w:tcPr>
            <w:tcW w:w="3554"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sz w:val="24"/>
              </w:rPr>
            </w:pPr>
          </w:p>
        </w:tc>
        <w:tc>
          <w:tcPr>
            <w:tcW w:w="923"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4"/>
              </w:rPr>
            </w:pPr>
          </w:p>
        </w:tc>
        <w:tc>
          <w:tcPr>
            <w:tcW w:w="121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ascii="Arial Narrow" w:hAnsi="Arial Narrow" w:eastAsia="Arial Narrow" w:cs="Arial Narrow"/>
                <w:sz w:val="24"/>
              </w:rPr>
            </w:pPr>
          </w:p>
        </w:tc>
        <w:tc>
          <w:tcPr>
            <w:tcW w:w="1118"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sz w:val="24"/>
              </w:rPr>
            </w:pPr>
          </w:p>
        </w:tc>
        <w:tc>
          <w:tcPr>
            <w:tcW w:w="1122"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sz w:val="24"/>
              </w:rPr>
            </w:pPr>
          </w:p>
        </w:tc>
      </w:tr>
      <w:tr>
        <w:tblPrEx>
          <w:tblCellMar>
            <w:top w:w="0" w:type="dxa"/>
            <w:left w:w="108" w:type="dxa"/>
            <w:bottom w:w="0" w:type="dxa"/>
            <w:right w:w="108" w:type="dxa"/>
          </w:tblCellMar>
        </w:tblPrEx>
        <w:trPr>
          <w:trHeight w:val="519" w:hRule="atLeast"/>
        </w:trPr>
        <w:tc>
          <w:tcPr>
            <w:tcW w:w="1105" w:type="dxa"/>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4"/>
              </w:rPr>
            </w:pPr>
          </w:p>
        </w:tc>
        <w:tc>
          <w:tcPr>
            <w:tcW w:w="3554"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sz w:val="24"/>
              </w:rPr>
            </w:pPr>
          </w:p>
        </w:tc>
        <w:tc>
          <w:tcPr>
            <w:tcW w:w="923" w:type="dxa"/>
            <w:tcBorders>
              <w:top w:val="nil"/>
              <w:left w:val="nil"/>
              <w:bottom w:val="single" w:color="000000" w:sz="4" w:space="0"/>
              <w:right w:val="single" w:color="000000" w:sz="4" w:space="0"/>
            </w:tcBorders>
            <w:shd w:val="clear" w:color="auto" w:fill="FFFFFF"/>
            <w:vAlign w:val="center"/>
          </w:tcPr>
          <w:p>
            <w:pPr>
              <w:jc w:val="center"/>
              <w:rPr>
                <w:rFonts w:ascii="宋体" w:hAnsi="宋体" w:cs="宋体"/>
                <w:sz w:val="24"/>
              </w:rPr>
            </w:pPr>
          </w:p>
        </w:tc>
        <w:tc>
          <w:tcPr>
            <w:tcW w:w="1218"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sz w:val="24"/>
              </w:rPr>
            </w:pPr>
          </w:p>
        </w:tc>
        <w:tc>
          <w:tcPr>
            <w:tcW w:w="1118"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sz w:val="24"/>
              </w:rPr>
            </w:pPr>
          </w:p>
        </w:tc>
        <w:tc>
          <w:tcPr>
            <w:tcW w:w="1122"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sz w:val="24"/>
              </w:rPr>
            </w:pPr>
          </w:p>
        </w:tc>
      </w:tr>
      <w:tr>
        <w:tblPrEx>
          <w:tblCellMar>
            <w:top w:w="0" w:type="dxa"/>
            <w:left w:w="108" w:type="dxa"/>
            <w:bottom w:w="0" w:type="dxa"/>
            <w:right w:w="108" w:type="dxa"/>
          </w:tblCellMar>
        </w:tblPrEx>
        <w:trPr>
          <w:trHeight w:val="519" w:hRule="atLeast"/>
        </w:trPr>
        <w:tc>
          <w:tcPr>
            <w:tcW w:w="1105" w:type="dxa"/>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4"/>
              </w:rPr>
            </w:pPr>
          </w:p>
        </w:tc>
        <w:tc>
          <w:tcPr>
            <w:tcW w:w="3554"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sz w:val="24"/>
              </w:rPr>
            </w:pPr>
          </w:p>
        </w:tc>
        <w:tc>
          <w:tcPr>
            <w:tcW w:w="923" w:type="dxa"/>
            <w:tcBorders>
              <w:top w:val="nil"/>
              <w:left w:val="nil"/>
              <w:bottom w:val="single" w:color="000000" w:sz="4" w:space="0"/>
              <w:right w:val="single" w:color="000000" w:sz="4" w:space="0"/>
            </w:tcBorders>
            <w:shd w:val="clear" w:color="auto" w:fill="FFFFFF"/>
            <w:vAlign w:val="center"/>
          </w:tcPr>
          <w:p>
            <w:pPr>
              <w:jc w:val="center"/>
              <w:rPr>
                <w:rFonts w:ascii="宋体" w:hAnsi="宋体" w:cs="宋体"/>
                <w:sz w:val="24"/>
              </w:rPr>
            </w:pPr>
          </w:p>
        </w:tc>
        <w:tc>
          <w:tcPr>
            <w:tcW w:w="1218"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sz w:val="24"/>
              </w:rPr>
            </w:pPr>
          </w:p>
        </w:tc>
        <w:tc>
          <w:tcPr>
            <w:tcW w:w="1118"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sz w:val="24"/>
              </w:rPr>
            </w:pPr>
          </w:p>
        </w:tc>
        <w:tc>
          <w:tcPr>
            <w:tcW w:w="1122"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sz w:val="24"/>
              </w:rPr>
            </w:pPr>
          </w:p>
        </w:tc>
      </w:tr>
      <w:tr>
        <w:tblPrEx>
          <w:tblCellMar>
            <w:top w:w="0" w:type="dxa"/>
            <w:left w:w="108" w:type="dxa"/>
            <w:bottom w:w="0" w:type="dxa"/>
            <w:right w:w="108" w:type="dxa"/>
          </w:tblCellMar>
        </w:tblPrEx>
        <w:trPr>
          <w:trHeight w:val="519" w:hRule="atLeast"/>
        </w:trPr>
        <w:tc>
          <w:tcPr>
            <w:tcW w:w="1105" w:type="dxa"/>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4"/>
              </w:rPr>
            </w:pPr>
          </w:p>
        </w:tc>
        <w:tc>
          <w:tcPr>
            <w:tcW w:w="3554"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sz w:val="24"/>
              </w:rPr>
            </w:pPr>
          </w:p>
        </w:tc>
        <w:tc>
          <w:tcPr>
            <w:tcW w:w="923"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4"/>
              </w:rPr>
            </w:pPr>
          </w:p>
        </w:tc>
        <w:tc>
          <w:tcPr>
            <w:tcW w:w="121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ascii="Arial Narrow" w:hAnsi="Arial Narrow" w:eastAsia="Arial Narrow" w:cs="Arial Narrow"/>
                <w:sz w:val="24"/>
              </w:rPr>
            </w:pPr>
          </w:p>
        </w:tc>
        <w:tc>
          <w:tcPr>
            <w:tcW w:w="1118"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sz w:val="24"/>
              </w:rPr>
            </w:pPr>
          </w:p>
        </w:tc>
        <w:tc>
          <w:tcPr>
            <w:tcW w:w="1122"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sz w:val="24"/>
              </w:rPr>
            </w:pPr>
          </w:p>
        </w:tc>
      </w:tr>
      <w:tr>
        <w:tblPrEx>
          <w:tblCellMar>
            <w:top w:w="0" w:type="dxa"/>
            <w:left w:w="108" w:type="dxa"/>
            <w:bottom w:w="0" w:type="dxa"/>
            <w:right w:w="108" w:type="dxa"/>
          </w:tblCellMar>
        </w:tblPrEx>
        <w:trPr>
          <w:trHeight w:val="519" w:hRule="atLeast"/>
        </w:trPr>
        <w:tc>
          <w:tcPr>
            <w:tcW w:w="1105" w:type="dxa"/>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4"/>
              </w:rPr>
            </w:pPr>
          </w:p>
        </w:tc>
        <w:tc>
          <w:tcPr>
            <w:tcW w:w="3554"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sz w:val="24"/>
              </w:rPr>
            </w:pPr>
          </w:p>
        </w:tc>
        <w:tc>
          <w:tcPr>
            <w:tcW w:w="923"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4"/>
              </w:rPr>
            </w:pPr>
          </w:p>
        </w:tc>
        <w:tc>
          <w:tcPr>
            <w:tcW w:w="1218"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ascii="Arial Narrow" w:hAnsi="Arial Narrow" w:eastAsia="Arial Narrow" w:cs="Arial Narrow"/>
                <w:sz w:val="24"/>
              </w:rPr>
            </w:pPr>
          </w:p>
        </w:tc>
        <w:tc>
          <w:tcPr>
            <w:tcW w:w="1118"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sz w:val="24"/>
              </w:rPr>
            </w:pPr>
          </w:p>
        </w:tc>
        <w:tc>
          <w:tcPr>
            <w:tcW w:w="1122"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sz w:val="24"/>
              </w:rPr>
            </w:pPr>
          </w:p>
        </w:tc>
      </w:tr>
      <w:tr>
        <w:tblPrEx>
          <w:tblCellMar>
            <w:top w:w="0" w:type="dxa"/>
            <w:left w:w="108" w:type="dxa"/>
            <w:bottom w:w="0" w:type="dxa"/>
            <w:right w:w="108" w:type="dxa"/>
          </w:tblCellMar>
        </w:tblPrEx>
        <w:trPr>
          <w:trHeight w:val="536" w:hRule="atLeast"/>
        </w:trPr>
        <w:tc>
          <w:tcPr>
            <w:tcW w:w="9040" w:type="dxa"/>
            <w:gridSpan w:val="6"/>
            <w:tcBorders>
              <w:top w:val="nil"/>
              <w:left w:val="single" w:color="000000" w:sz="8" w:space="0"/>
              <w:bottom w:val="single" w:color="000000" w:sz="4" w:space="0"/>
              <w:right w:val="single" w:color="000000" w:sz="8" w:space="0"/>
            </w:tcBorders>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rPr>
              <w:t>清单第</w:t>
            </w:r>
            <w:r>
              <w:rPr>
                <w:rFonts w:ascii="宋体" w:hAnsi="宋体" w:cs="宋体"/>
                <w:kern w:val="0"/>
                <w:sz w:val="24"/>
              </w:rPr>
              <w:t xml:space="preserve">600章  </w:t>
            </w:r>
            <w:r>
              <w:rPr>
                <w:rFonts w:hint="eastAsia" w:ascii="宋体" w:hAnsi="宋体" w:cs="宋体"/>
                <w:kern w:val="0"/>
                <w:sz w:val="24"/>
              </w:rPr>
              <w:t>合计元</w:t>
            </w:r>
          </w:p>
        </w:tc>
      </w:tr>
    </w:tbl>
    <w:p>
      <w:pPr>
        <w:pStyle w:val="18"/>
      </w:pPr>
    </w:p>
    <w:p/>
    <w:p>
      <w:pPr>
        <w:ind w:firstLine="480" w:firstLineChars="200"/>
        <w:rPr>
          <w:sz w:val="24"/>
        </w:rPr>
      </w:pPr>
    </w:p>
    <w:p>
      <w:pPr>
        <w:ind w:firstLine="480" w:firstLineChars="200"/>
        <w:rPr>
          <w:sz w:val="24"/>
        </w:rPr>
      </w:pPr>
    </w:p>
    <w:p>
      <w:pPr>
        <w:ind w:firstLine="480" w:firstLineChars="200"/>
        <w:rPr>
          <w:sz w:val="24"/>
        </w:rPr>
      </w:pPr>
    </w:p>
    <w:p>
      <w:pPr>
        <w:pStyle w:val="18"/>
      </w:pPr>
      <w:r>
        <w:rPr>
          <w:b w:val="0"/>
          <w:bCs w:val="0"/>
          <w:caps w:val="0"/>
          <w:vanish/>
          <w:sz w:val="24"/>
          <w:szCs w:val="24"/>
        </w:rPr>
        <w:cr/>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p>
    <w:p>
      <w:pPr>
        <w:rPr>
          <w:sz w:val="24"/>
        </w:rPr>
      </w:pPr>
    </w:p>
    <w:p>
      <w:pPr>
        <w:rPr>
          <w:rFonts w:ascii="宋体" w:hAnsi="宋体"/>
          <w:sz w:val="24"/>
        </w:rPr>
      </w:pPr>
    </w:p>
    <w:p/>
    <w:tbl>
      <w:tblPr>
        <w:tblStyle w:val="20"/>
        <w:tblpPr w:leftFromText="180" w:rightFromText="180" w:vertAnchor="text" w:horzAnchor="page" w:tblpX="1562" w:tblpY="-6167"/>
        <w:tblOverlap w:val="never"/>
        <w:tblW w:w="8564" w:type="dxa"/>
        <w:tblInd w:w="0" w:type="dxa"/>
        <w:tblLayout w:type="fixed"/>
        <w:tblCellMar>
          <w:top w:w="0" w:type="dxa"/>
          <w:left w:w="108" w:type="dxa"/>
          <w:bottom w:w="0" w:type="dxa"/>
          <w:right w:w="108" w:type="dxa"/>
        </w:tblCellMar>
      </w:tblPr>
      <w:tblGrid>
        <w:gridCol w:w="817"/>
        <w:gridCol w:w="851"/>
        <w:gridCol w:w="4672"/>
        <w:gridCol w:w="2224"/>
      </w:tblGrid>
      <w:tr>
        <w:tblPrEx>
          <w:tblCellMar>
            <w:top w:w="0" w:type="dxa"/>
            <w:left w:w="108" w:type="dxa"/>
            <w:bottom w:w="0" w:type="dxa"/>
            <w:right w:w="108" w:type="dxa"/>
          </w:tblCellMar>
        </w:tblPrEx>
        <w:trPr>
          <w:trHeight w:val="846" w:hRule="atLeast"/>
        </w:trPr>
        <w:tc>
          <w:tcPr>
            <w:tcW w:w="8564" w:type="dxa"/>
            <w:gridSpan w:val="4"/>
            <w:tcBorders>
              <w:top w:val="nil"/>
              <w:left w:val="nil"/>
              <w:bottom w:val="single" w:color="auto" w:sz="8" w:space="0"/>
              <w:right w:val="nil"/>
            </w:tcBorders>
            <w:vAlign w:val="center"/>
          </w:tcPr>
          <w:p>
            <w:pPr>
              <w:widowControl/>
              <w:ind w:firstLine="2891" w:firstLineChars="800"/>
              <w:rPr>
                <w:b/>
                <w:bCs/>
                <w:kern w:val="0"/>
                <w:sz w:val="36"/>
                <w:szCs w:val="36"/>
              </w:rPr>
            </w:pPr>
          </w:p>
          <w:p>
            <w:pPr>
              <w:widowControl/>
              <w:ind w:firstLine="2891" w:firstLineChars="800"/>
              <w:rPr>
                <w:b/>
                <w:bCs/>
                <w:kern w:val="0"/>
                <w:sz w:val="36"/>
                <w:szCs w:val="36"/>
              </w:rPr>
            </w:pPr>
          </w:p>
          <w:p>
            <w:pPr>
              <w:widowControl/>
              <w:ind w:firstLine="2891" w:firstLineChars="800"/>
              <w:rPr>
                <w:b/>
                <w:bCs/>
                <w:kern w:val="0"/>
                <w:sz w:val="36"/>
                <w:szCs w:val="36"/>
              </w:rPr>
            </w:pPr>
          </w:p>
          <w:p>
            <w:pPr>
              <w:pStyle w:val="5"/>
              <w:numPr>
                <w:ilvl w:val="255"/>
                <w:numId w:val="0"/>
              </w:numPr>
              <w:spacing w:before="120" w:after="120" w:line="420" w:lineRule="exact"/>
              <w:rPr>
                <w:rFonts w:ascii="Times New Roman" w:hAnsi="Times New Roman" w:eastAsia="宋体"/>
                <w:b w:val="0"/>
                <w:bCs w:val="0"/>
                <w:spacing w:val="0"/>
                <w:sz w:val="24"/>
                <w:szCs w:val="24"/>
              </w:rPr>
            </w:pPr>
            <w:r>
              <w:rPr>
                <w:rFonts w:hint="eastAsia" w:ascii="Times New Roman" w:hAnsi="Times New Roman" w:eastAsia="宋体"/>
                <w:b w:val="0"/>
                <w:bCs w:val="0"/>
                <w:spacing w:val="0"/>
                <w:sz w:val="24"/>
                <w:szCs w:val="24"/>
              </w:rPr>
              <w:t>4.2投标报价汇总表</w:t>
            </w:r>
          </w:p>
          <w:p>
            <w:pPr>
              <w:widowControl/>
              <w:ind w:firstLine="2891" w:firstLineChars="800"/>
              <w:rPr>
                <w:b/>
                <w:bCs/>
                <w:kern w:val="0"/>
                <w:sz w:val="36"/>
                <w:szCs w:val="36"/>
              </w:rPr>
            </w:pPr>
          </w:p>
          <w:p>
            <w:pPr>
              <w:widowControl/>
              <w:jc w:val="center"/>
              <w:rPr>
                <w:b/>
                <w:bCs/>
                <w:kern w:val="0"/>
                <w:sz w:val="36"/>
                <w:szCs w:val="36"/>
              </w:rPr>
            </w:pPr>
            <w:r>
              <w:rPr>
                <w:rFonts w:hint="eastAsia" w:ascii="宋体" w:hAnsi="宋体"/>
                <w:b/>
                <w:bCs/>
                <w:kern w:val="0"/>
                <w:sz w:val="36"/>
                <w:szCs w:val="36"/>
                <w:highlight w:val="yellow"/>
                <w:lang w:eastAsia="zh-CN"/>
              </w:rPr>
              <w:t>桐庐县2022年普通国道养护大中修工程（G320沪瑞线）</w:t>
            </w:r>
            <w:r>
              <w:rPr>
                <w:rFonts w:hint="eastAsia" w:ascii="宋体" w:hAnsi="宋体"/>
                <w:b/>
                <w:bCs/>
                <w:kern w:val="0"/>
                <w:sz w:val="36"/>
                <w:szCs w:val="36"/>
                <w:highlight w:val="yellow"/>
              </w:rPr>
              <w:t>投标报价汇总表</w:t>
            </w:r>
          </w:p>
        </w:tc>
      </w:tr>
      <w:tr>
        <w:tblPrEx>
          <w:tblCellMar>
            <w:top w:w="0" w:type="dxa"/>
            <w:left w:w="108" w:type="dxa"/>
            <w:bottom w:w="0" w:type="dxa"/>
            <w:right w:w="108" w:type="dxa"/>
          </w:tblCellMar>
        </w:tblPrEx>
        <w:trPr>
          <w:trHeight w:val="853" w:hRule="atLeast"/>
        </w:trPr>
        <w:tc>
          <w:tcPr>
            <w:tcW w:w="817"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序  号</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章  次</w:t>
            </w:r>
          </w:p>
        </w:tc>
        <w:tc>
          <w:tcPr>
            <w:tcW w:w="4672" w:type="dxa"/>
            <w:tcBorders>
              <w:top w:val="single" w:color="auto" w:sz="8" w:space="0"/>
              <w:left w:val="nil"/>
              <w:bottom w:val="single" w:color="auto" w:sz="8" w:space="0"/>
              <w:right w:val="single" w:color="000000" w:sz="8" w:space="0"/>
            </w:tcBorders>
            <w:vAlign w:val="center"/>
          </w:tcPr>
          <w:p>
            <w:pPr>
              <w:widowControl/>
              <w:jc w:val="center"/>
              <w:rPr>
                <w:rFonts w:ascii="宋体" w:hAnsi="宋体" w:cs="宋体"/>
                <w:kern w:val="0"/>
                <w:sz w:val="24"/>
              </w:rPr>
            </w:pPr>
            <w:r>
              <w:rPr>
                <w:rFonts w:hint="eastAsia" w:ascii="宋体" w:hAnsi="宋体" w:cs="宋体"/>
                <w:kern w:val="0"/>
                <w:sz w:val="24"/>
              </w:rPr>
              <w:t>科目名称</w:t>
            </w:r>
          </w:p>
        </w:tc>
        <w:tc>
          <w:tcPr>
            <w:tcW w:w="2224"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金额(元)</w:t>
            </w:r>
          </w:p>
        </w:tc>
      </w:tr>
      <w:tr>
        <w:tblPrEx>
          <w:tblCellMar>
            <w:top w:w="0" w:type="dxa"/>
            <w:left w:w="108" w:type="dxa"/>
            <w:bottom w:w="0" w:type="dxa"/>
            <w:right w:w="108" w:type="dxa"/>
          </w:tblCellMar>
        </w:tblPrEx>
        <w:trPr>
          <w:trHeight w:val="853" w:hRule="atLeast"/>
        </w:trPr>
        <w:tc>
          <w:tcPr>
            <w:tcW w:w="817"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1</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100</w:t>
            </w:r>
          </w:p>
        </w:tc>
        <w:tc>
          <w:tcPr>
            <w:tcW w:w="4672" w:type="dxa"/>
            <w:tcBorders>
              <w:top w:val="single" w:color="auto" w:sz="8" w:space="0"/>
              <w:left w:val="nil"/>
              <w:bottom w:val="single" w:color="auto" w:sz="8" w:space="0"/>
              <w:right w:val="single" w:color="000000" w:sz="8" w:space="0"/>
            </w:tcBorders>
            <w:vAlign w:val="center"/>
          </w:tcPr>
          <w:p>
            <w:pPr>
              <w:widowControl/>
              <w:jc w:val="center"/>
              <w:rPr>
                <w:rFonts w:ascii="宋体" w:hAnsi="宋体" w:cs="宋体"/>
                <w:kern w:val="0"/>
                <w:sz w:val="24"/>
              </w:rPr>
            </w:pPr>
            <w:r>
              <w:rPr>
                <w:rFonts w:hint="eastAsia" w:ascii="宋体" w:hAnsi="宋体" w:cs="宋体"/>
                <w:kern w:val="0"/>
                <w:sz w:val="24"/>
              </w:rPr>
              <w:t>总  则</w:t>
            </w:r>
          </w:p>
        </w:tc>
        <w:tc>
          <w:tcPr>
            <w:tcW w:w="2224"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853" w:hRule="atLeast"/>
        </w:trPr>
        <w:tc>
          <w:tcPr>
            <w:tcW w:w="817"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2</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200</w:t>
            </w:r>
          </w:p>
        </w:tc>
        <w:tc>
          <w:tcPr>
            <w:tcW w:w="4672" w:type="dxa"/>
            <w:tcBorders>
              <w:top w:val="nil"/>
              <w:left w:val="nil"/>
              <w:bottom w:val="single" w:color="auto" w:sz="8" w:space="0"/>
              <w:right w:val="single" w:color="000000" w:sz="8" w:space="0"/>
            </w:tcBorders>
            <w:vAlign w:val="center"/>
          </w:tcPr>
          <w:p>
            <w:pPr>
              <w:widowControl/>
              <w:jc w:val="center"/>
              <w:rPr>
                <w:rFonts w:ascii="宋体" w:hAnsi="宋体" w:cs="宋体"/>
                <w:kern w:val="0"/>
                <w:sz w:val="24"/>
              </w:rPr>
            </w:pPr>
            <w:r>
              <w:rPr>
                <w:rFonts w:hint="eastAsia" w:ascii="宋体" w:hAnsi="宋体" w:cs="宋体"/>
                <w:kern w:val="0"/>
                <w:sz w:val="24"/>
              </w:rPr>
              <w:t>路  基</w:t>
            </w:r>
          </w:p>
        </w:tc>
        <w:tc>
          <w:tcPr>
            <w:tcW w:w="2224"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853" w:hRule="atLeast"/>
        </w:trPr>
        <w:tc>
          <w:tcPr>
            <w:tcW w:w="817" w:type="dxa"/>
            <w:tcBorders>
              <w:top w:val="nil"/>
              <w:left w:val="single" w:color="auto" w:sz="8" w:space="0"/>
              <w:bottom w:val="single" w:color="000000"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3</w:t>
            </w:r>
          </w:p>
        </w:tc>
        <w:tc>
          <w:tcPr>
            <w:tcW w:w="851" w:type="dxa"/>
            <w:tcBorders>
              <w:top w:val="nil"/>
              <w:left w:val="single" w:color="auto" w:sz="8" w:space="0"/>
              <w:bottom w:val="single" w:color="000000"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300</w:t>
            </w:r>
          </w:p>
        </w:tc>
        <w:tc>
          <w:tcPr>
            <w:tcW w:w="4672" w:type="dxa"/>
            <w:tcBorders>
              <w:top w:val="nil"/>
              <w:left w:val="single" w:color="auto" w:sz="8" w:space="0"/>
              <w:bottom w:val="single" w:color="auto" w:sz="4" w:space="0"/>
              <w:right w:val="single" w:color="000000" w:sz="8" w:space="0"/>
            </w:tcBorders>
            <w:vAlign w:val="center"/>
          </w:tcPr>
          <w:p>
            <w:pPr>
              <w:widowControl/>
              <w:jc w:val="center"/>
              <w:rPr>
                <w:rFonts w:ascii="宋体" w:hAnsi="宋体" w:cs="宋体"/>
                <w:kern w:val="0"/>
                <w:sz w:val="24"/>
              </w:rPr>
            </w:pPr>
            <w:r>
              <w:rPr>
                <w:rFonts w:hint="eastAsia" w:ascii="宋体" w:hAnsi="宋体" w:cs="宋体"/>
                <w:kern w:val="0"/>
                <w:sz w:val="24"/>
              </w:rPr>
              <w:t>路  面</w:t>
            </w:r>
          </w:p>
        </w:tc>
        <w:tc>
          <w:tcPr>
            <w:tcW w:w="2224" w:type="dxa"/>
            <w:tcBorders>
              <w:top w:val="nil"/>
              <w:left w:val="nil"/>
              <w:bottom w:val="single" w:color="auto" w:sz="4" w:space="0"/>
              <w:right w:val="single" w:color="auto" w:sz="8"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853" w:hRule="atLeast"/>
        </w:trPr>
        <w:tc>
          <w:tcPr>
            <w:tcW w:w="817" w:type="dxa"/>
            <w:tcBorders>
              <w:top w:val="nil"/>
              <w:left w:val="single" w:color="auto" w:sz="8" w:space="0"/>
              <w:bottom w:val="single" w:color="000000"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4</w:t>
            </w:r>
          </w:p>
        </w:tc>
        <w:tc>
          <w:tcPr>
            <w:tcW w:w="851" w:type="dxa"/>
            <w:tcBorders>
              <w:top w:val="nil"/>
              <w:left w:val="single" w:color="auto" w:sz="8" w:space="0"/>
              <w:bottom w:val="single" w:color="000000"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600</w:t>
            </w:r>
          </w:p>
        </w:tc>
        <w:tc>
          <w:tcPr>
            <w:tcW w:w="4672" w:type="dxa"/>
            <w:tcBorders>
              <w:top w:val="nil"/>
              <w:left w:val="single" w:color="auto" w:sz="8" w:space="0"/>
              <w:bottom w:val="single" w:color="000000" w:sz="8" w:space="0"/>
              <w:right w:val="single" w:color="000000" w:sz="8" w:space="0"/>
            </w:tcBorders>
            <w:vAlign w:val="center"/>
          </w:tcPr>
          <w:p>
            <w:pPr>
              <w:widowControl/>
              <w:jc w:val="center"/>
              <w:rPr>
                <w:rFonts w:ascii="宋体" w:hAnsi="宋体" w:cs="宋体"/>
                <w:kern w:val="0"/>
                <w:sz w:val="24"/>
              </w:rPr>
            </w:pPr>
            <w:r>
              <w:rPr>
                <w:rFonts w:hint="eastAsia" w:ascii="宋体" w:hAnsi="宋体" w:cs="宋体"/>
                <w:kern w:val="0"/>
                <w:sz w:val="24"/>
              </w:rPr>
              <w:t>交通安全设施</w:t>
            </w:r>
          </w:p>
        </w:tc>
        <w:tc>
          <w:tcPr>
            <w:tcW w:w="2224" w:type="dxa"/>
            <w:tcBorders>
              <w:top w:val="nil"/>
              <w:left w:val="nil"/>
              <w:bottom w:val="single" w:color="auto" w:sz="4" w:space="0"/>
              <w:right w:val="single" w:color="auto" w:sz="8"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853" w:hRule="atLeast"/>
        </w:trPr>
        <w:tc>
          <w:tcPr>
            <w:tcW w:w="817"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5</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700</w:t>
            </w:r>
          </w:p>
        </w:tc>
        <w:tc>
          <w:tcPr>
            <w:tcW w:w="4672" w:type="dxa"/>
            <w:tcBorders>
              <w:top w:val="nil"/>
              <w:left w:val="nil"/>
              <w:bottom w:val="single" w:color="auto" w:sz="8" w:space="0"/>
              <w:right w:val="single" w:color="000000" w:sz="8" w:space="0"/>
            </w:tcBorders>
            <w:vAlign w:val="center"/>
          </w:tcPr>
          <w:p>
            <w:pPr>
              <w:widowControl/>
              <w:jc w:val="center"/>
              <w:rPr>
                <w:rFonts w:ascii="宋体" w:hAnsi="宋体" w:cs="宋体"/>
                <w:kern w:val="0"/>
                <w:sz w:val="24"/>
              </w:rPr>
            </w:pPr>
            <w:r>
              <w:rPr>
                <w:rFonts w:hint="eastAsia" w:ascii="宋体" w:hAnsi="宋体" w:cs="宋体"/>
                <w:kern w:val="0"/>
                <w:sz w:val="24"/>
              </w:rPr>
              <w:t>景观设计及环境保护工程</w:t>
            </w:r>
          </w:p>
        </w:tc>
        <w:tc>
          <w:tcPr>
            <w:tcW w:w="2224" w:type="dxa"/>
            <w:tcBorders>
              <w:top w:val="single" w:color="auto" w:sz="4" w:space="0"/>
              <w:left w:val="nil"/>
              <w:bottom w:val="single" w:color="auto" w:sz="8" w:space="0"/>
              <w:right w:val="single" w:color="auto" w:sz="8"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829" w:hRule="atLeast"/>
        </w:trPr>
        <w:tc>
          <w:tcPr>
            <w:tcW w:w="817"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6</w:t>
            </w:r>
          </w:p>
        </w:tc>
        <w:tc>
          <w:tcPr>
            <w:tcW w:w="5523" w:type="dxa"/>
            <w:gridSpan w:val="2"/>
            <w:tcBorders>
              <w:top w:val="single" w:color="auto" w:sz="8" w:space="0"/>
              <w:left w:val="nil"/>
              <w:bottom w:val="single" w:color="auto" w:sz="8" w:space="0"/>
              <w:right w:val="single" w:color="000000" w:sz="8" w:space="0"/>
            </w:tcBorders>
            <w:vAlign w:val="center"/>
          </w:tcPr>
          <w:p>
            <w:pPr>
              <w:widowControl/>
              <w:jc w:val="center"/>
              <w:rPr>
                <w:rFonts w:ascii="宋体" w:hAnsi="宋体" w:cs="宋体"/>
                <w:kern w:val="0"/>
                <w:sz w:val="24"/>
              </w:rPr>
            </w:pPr>
            <w:r>
              <w:rPr>
                <w:rFonts w:hint="eastAsia" w:ascii="宋体" w:hAnsi="宋体" w:cs="宋体"/>
                <w:kern w:val="0"/>
                <w:sz w:val="24"/>
              </w:rPr>
              <w:t>第100章至第700章清单合计　</w:t>
            </w:r>
          </w:p>
        </w:tc>
        <w:tc>
          <w:tcPr>
            <w:tcW w:w="2224"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853" w:hRule="atLeast"/>
        </w:trPr>
        <w:tc>
          <w:tcPr>
            <w:tcW w:w="817"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7</w:t>
            </w:r>
          </w:p>
        </w:tc>
        <w:tc>
          <w:tcPr>
            <w:tcW w:w="5523" w:type="dxa"/>
            <w:gridSpan w:val="2"/>
            <w:tcBorders>
              <w:top w:val="single" w:color="auto" w:sz="8" w:space="0"/>
              <w:left w:val="nil"/>
              <w:bottom w:val="single" w:color="auto" w:sz="8" w:space="0"/>
              <w:right w:val="single" w:color="000000" w:sz="8" w:space="0"/>
            </w:tcBorders>
            <w:vAlign w:val="center"/>
          </w:tcPr>
          <w:p>
            <w:pPr>
              <w:widowControl/>
              <w:jc w:val="center"/>
              <w:rPr>
                <w:rFonts w:ascii="宋体" w:hAnsi="宋体" w:cs="宋体"/>
                <w:kern w:val="0"/>
                <w:sz w:val="24"/>
              </w:rPr>
            </w:pPr>
            <w:r>
              <w:rPr>
                <w:rFonts w:hint="eastAsia" w:ascii="宋体" w:hAnsi="宋体" w:cs="宋体"/>
                <w:kern w:val="0"/>
                <w:sz w:val="24"/>
              </w:rPr>
              <w:t>暂列金额(6)×0%</w:t>
            </w:r>
          </w:p>
        </w:tc>
        <w:tc>
          <w:tcPr>
            <w:tcW w:w="2224"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853" w:hRule="atLeast"/>
        </w:trPr>
        <w:tc>
          <w:tcPr>
            <w:tcW w:w="817"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8</w:t>
            </w:r>
          </w:p>
        </w:tc>
        <w:tc>
          <w:tcPr>
            <w:tcW w:w="5523" w:type="dxa"/>
            <w:gridSpan w:val="2"/>
            <w:tcBorders>
              <w:top w:val="single" w:color="auto" w:sz="8" w:space="0"/>
              <w:left w:val="nil"/>
              <w:bottom w:val="single" w:color="auto" w:sz="8" w:space="0"/>
              <w:right w:val="single" w:color="000000" w:sz="8" w:space="0"/>
            </w:tcBorders>
            <w:vAlign w:val="center"/>
          </w:tcPr>
          <w:p>
            <w:pPr>
              <w:widowControl/>
              <w:jc w:val="center"/>
              <w:rPr>
                <w:rFonts w:ascii="宋体" w:hAnsi="宋体" w:cs="宋体"/>
                <w:kern w:val="0"/>
                <w:sz w:val="24"/>
              </w:rPr>
            </w:pPr>
            <w:r>
              <w:rPr>
                <w:rFonts w:hint="eastAsia" w:ascii="宋体" w:hAnsi="宋体" w:cs="宋体"/>
                <w:kern w:val="0"/>
                <w:sz w:val="24"/>
              </w:rPr>
              <w:t>投标报价（6+7）=8</w:t>
            </w:r>
          </w:p>
        </w:tc>
        <w:tc>
          <w:tcPr>
            <w:tcW w:w="2224"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p>
        </w:tc>
      </w:tr>
    </w:tbl>
    <w:p>
      <w:pPr>
        <w:rPr>
          <w:rFonts w:ascii="黑体" w:eastAsia="黑体"/>
          <w:sz w:val="28"/>
        </w:rPr>
        <w:sectPr>
          <w:pgSz w:w="11906" w:h="16838"/>
          <w:pgMar w:top="1588" w:right="1418" w:bottom="1588" w:left="1418" w:header="1021" w:footer="1134" w:gutter="0"/>
          <w:cols w:space="720" w:num="1"/>
          <w:docGrid w:linePitch="312" w:charSpace="0"/>
        </w:sectPr>
      </w:pPr>
    </w:p>
    <w:p>
      <w:pPr>
        <w:tabs>
          <w:tab w:val="left" w:pos="3300"/>
        </w:tabs>
        <w:rPr>
          <w:rFonts w:eastAsia="楷体_GB2312"/>
          <w:w w:val="150"/>
          <w:sz w:val="52"/>
        </w:rPr>
      </w:pPr>
    </w:p>
    <w:p>
      <w:pPr>
        <w:rPr>
          <w:rFonts w:eastAsia="楷体_GB2312"/>
          <w:w w:val="150"/>
          <w:sz w:val="52"/>
        </w:rPr>
      </w:pPr>
    </w:p>
    <w:p>
      <w:pPr>
        <w:pStyle w:val="2"/>
        <w:ind w:firstLine="720"/>
        <w:rPr>
          <w:rFonts w:ascii="黑体" w:eastAsia="黑体"/>
          <w:sz w:val="72"/>
          <w:szCs w:val="72"/>
        </w:rPr>
      </w:pPr>
    </w:p>
    <w:p>
      <w:pPr>
        <w:pStyle w:val="2"/>
        <w:ind w:firstLine="720"/>
        <w:rPr>
          <w:rFonts w:ascii="黑体" w:eastAsia="黑体"/>
          <w:sz w:val="72"/>
          <w:szCs w:val="72"/>
        </w:rPr>
      </w:pPr>
    </w:p>
    <w:p>
      <w:pPr>
        <w:jc w:val="center"/>
        <w:rPr>
          <w:rFonts w:ascii="黑体" w:eastAsia="黑体"/>
          <w:sz w:val="72"/>
          <w:szCs w:val="72"/>
        </w:rPr>
      </w:pPr>
    </w:p>
    <w:p>
      <w:pPr>
        <w:jc w:val="center"/>
        <w:rPr>
          <w:rFonts w:ascii="黑体" w:eastAsia="黑体"/>
          <w:sz w:val="24"/>
        </w:rPr>
      </w:pPr>
    </w:p>
    <w:p>
      <w:pPr>
        <w:jc w:val="left"/>
      </w:pPr>
    </w:p>
    <w:p>
      <w:pPr>
        <w:pStyle w:val="4"/>
        <w:spacing w:after="200"/>
        <w:ind w:firstLine="2843" w:firstLineChars="400"/>
        <w:rPr>
          <w:rFonts w:ascii="黑体" w:eastAsia="黑体"/>
          <w:sz w:val="72"/>
          <w:szCs w:val="72"/>
        </w:rPr>
      </w:pPr>
      <w:bookmarkStart w:id="6664" w:name="_Toc12908"/>
      <w:bookmarkStart w:id="6665" w:name="_Toc24077"/>
      <w:bookmarkStart w:id="6666" w:name="_Toc21251"/>
      <w:bookmarkStart w:id="6667" w:name="_Toc24017"/>
      <w:bookmarkStart w:id="6668" w:name="_Toc25507"/>
      <w:bookmarkStart w:id="6669" w:name="_Toc3227"/>
      <w:bookmarkStart w:id="6670" w:name="_Toc16396"/>
      <w:bookmarkStart w:id="6671" w:name="_Toc26050"/>
      <w:bookmarkStart w:id="6672" w:name="_Toc7229"/>
      <w:r>
        <w:rPr>
          <w:rFonts w:hint="eastAsia" w:ascii="黑体" w:eastAsia="黑体"/>
          <w:sz w:val="72"/>
          <w:szCs w:val="72"/>
        </w:rPr>
        <w:t>第 二 卷</w:t>
      </w:r>
      <w:bookmarkEnd w:id="6664"/>
      <w:bookmarkEnd w:id="6665"/>
      <w:bookmarkEnd w:id="6666"/>
      <w:bookmarkEnd w:id="6667"/>
      <w:bookmarkEnd w:id="6668"/>
      <w:bookmarkEnd w:id="6669"/>
      <w:bookmarkEnd w:id="6670"/>
      <w:bookmarkEnd w:id="6671"/>
      <w:bookmarkEnd w:id="6672"/>
      <w:bookmarkStart w:id="6673" w:name="_Toc287853700"/>
      <w:bookmarkStart w:id="6674" w:name="_Toc288547002"/>
      <w:bookmarkStart w:id="6675" w:name="_Toc288491878"/>
      <w:bookmarkStart w:id="6676" w:name="_Toc283794547"/>
      <w:bookmarkStart w:id="6677" w:name="_Toc282787814"/>
      <w:bookmarkStart w:id="6678" w:name="_Toc282779859"/>
      <w:bookmarkStart w:id="6679" w:name="_Toc282779350"/>
    </w:p>
    <w:p>
      <w:pPr>
        <w:jc w:val="center"/>
        <w:rPr>
          <w:rFonts w:ascii="黑体" w:eastAsia="黑体"/>
          <w:sz w:val="72"/>
          <w:szCs w:val="72"/>
        </w:rPr>
      </w:pPr>
    </w:p>
    <w:p>
      <w:pPr>
        <w:jc w:val="center"/>
        <w:rPr>
          <w:rFonts w:ascii="黑体" w:eastAsia="黑体"/>
          <w:sz w:val="72"/>
          <w:szCs w:val="72"/>
        </w:rPr>
      </w:pPr>
    </w:p>
    <w:p>
      <w:pPr>
        <w:pStyle w:val="4"/>
        <w:spacing w:before="600" w:after="0" w:line="480" w:lineRule="auto"/>
        <w:jc w:val="center"/>
        <w:rPr>
          <w:rFonts w:ascii="黑体" w:eastAsia="黑体"/>
          <w:b w:val="0"/>
          <w:sz w:val="52"/>
          <w:szCs w:val="52"/>
        </w:rPr>
      </w:pPr>
    </w:p>
    <w:p/>
    <w:p/>
    <w:p/>
    <w:p/>
    <w:p/>
    <w:p/>
    <w:p/>
    <w:p>
      <w:pPr>
        <w:rPr>
          <w:rFonts w:ascii="黑体" w:eastAsia="黑体"/>
          <w:sz w:val="52"/>
          <w:szCs w:val="52"/>
        </w:rPr>
      </w:pPr>
    </w:p>
    <w:p>
      <w:pPr>
        <w:rPr>
          <w:rFonts w:ascii="黑体" w:eastAsia="黑体"/>
          <w:sz w:val="52"/>
          <w:szCs w:val="52"/>
        </w:rPr>
      </w:pPr>
    </w:p>
    <w:p>
      <w:pPr>
        <w:rPr>
          <w:rFonts w:ascii="黑体" w:eastAsia="黑体"/>
          <w:sz w:val="52"/>
          <w:szCs w:val="52"/>
        </w:rPr>
      </w:pPr>
    </w:p>
    <w:p>
      <w:pPr>
        <w:pStyle w:val="4"/>
        <w:spacing w:before="300" w:after="0" w:line="480" w:lineRule="auto"/>
        <w:ind w:firstLine="2540" w:firstLineChars="500"/>
        <w:rPr>
          <w:rFonts w:ascii="黑体" w:eastAsia="黑体"/>
          <w:b w:val="0"/>
          <w:sz w:val="52"/>
          <w:szCs w:val="52"/>
        </w:rPr>
      </w:pPr>
      <w:bookmarkStart w:id="6680" w:name="_Toc1920"/>
      <w:bookmarkStart w:id="6681" w:name="_Toc426"/>
      <w:bookmarkStart w:id="6682" w:name="_Toc3870"/>
      <w:bookmarkStart w:id="6683" w:name="_Toc32051"/>
      <w:bookmarkStart w:id="6684" w:name="_Toc9556"/>
      <w:bookmarkStart w:id="6685" w:name="_Toc28861"/>
      <w:bookmarkStart w:id="6686" w:name="_Toc7412"/>
      <w:bookmarkStart w:id="6687" w:name="_Toc10433"/>
      <w:bookmarkStart w:id="6688" w:name="_Toc15030"/>
      <w:bookmarkStart w:id="6689" w:name="_Toc6797"/>
      <w:bookmarkStart w:id="6690" w:name="_Toc17177"/>
      <w:bookmarkStart w:id="6691" w:name="_Toc19379"/>
      <w:bookmarkStart w:id="6692" w:name="_Toc15181"/>
      <w:bookmarkStart w:id="6693" w:name="_Toc27434"/>
      <w:bookmarkStart w:id="6694" w:name="_Toc31544"/>
    </w:p>
    <w:p>
      <w:pPr>
        <w:pStyle w:val="4"/>
        <w:spacing w:before="300" w:after="0" w:line="480" w:lineRule="auto"/>
        <w:rPr>
          <w:rFonts w:ascii="黑体" w:eastAsia="黑体"/>
          <w:bCs w:val="0"/>
        </w:rPr>
      </w:pPr>
      <w:bookmarkStart w:id="6695" w:name="_Toc11551"/>
      <w:bookmarkStart w:id="6696" w:name="_Toc6184"/>
      <w:bookmarkStart w:id="6697" w:name="_Toc10414"/>
    </w:p>
    <w:p>
      <w:pPr>
        <w:pStyle w:val="4"/>
        <w:spacing w:before="300" w:after="0" w:line="480" w:lineRule="auto"/>
        <w:ind w:firstLine="2149" w:firstLineChars="500"/>
        <w:rPr>
          <w:rFonts w:ascii="黑体" w:eastAsia="黑体"/>
          <w:bCs w:val="0"/>
        </w:rPr>
      </w:pPr>
      <w:r>
        <w:rPr>
          <w:rFonts w:hint="eastAsia" w:ascii="黑体" w:eastAsia="黑体"/>
          <w:bCs w:val="0"/>
        </w:rPr>
        <w:t>第六章  图纸（另册）</w:t>
      </w:r>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p>
    <w:p/>
    <w:p>
      <w:pPr>
        <w:jc w:val="center"/>
        <w:rPr>
          <w:rFonts w:ascii="黑体" w:eastAsia="黑体"/>
          <w:sz w:val="72"/>
          <w:szCs w:val="72"/>
        </w:rPr>
      </w:pPr>
    </w:p>
    <w:p>
      <w:pPr>
        <w:jc w:val="center"/>
        <w:rPr>
          <w:rFonts w:ascii="黑体" w:eastAsia="黑体"/>
          <w:sz w:val="72"/>
          <w:szCs w:val="72"/>
        </w:rPr>
      </w:pPr>
    </w:p>
    <w:p>
      <w:pPr>
        <w:pStyle w:val="4"/>
        <w:jc w:val="center"/>
        <w:rPr>
          <w:rFonts w:ascii="黑体" w:eastAsia="黑体"/>
          <w:b w:val="0"/>
          <w:sz w:val="72"/>
          <w:szCs w:val="72"/>
        </w:rPr>
      </w:pPr>
      <w:bookmarkStart w:id="6698" w:name="_Toc288491879"/>
      <w:bookmarkStart w:id="6699" w:name="_Toc282779351"/>
      <w:bookmarkStart w:id="6700" w:name="_Toc254505391"/>
      <w:bookmarkStart w:id="6701" w:name="_Toc288547003"/>
      <w:bookmarkStart w:id="6702" w:name="_Toc252720313"/>
      <w:bookmarkStart w:id="6703" w:name="_Toc287853701"/>
      <w:bookmarkStart w:id="6704" w:name="_Toc282787815"/>
      <w:bookmarkStart w:id="6705" w:name="_Toc282779860"/>
      <w:bookmarkStart w:id="6706" w:name="_Toc283794548"/>
    </w:p>
    <w:p>
      <w:pPr>
        <w:rPr>
          <w:rFonts w:ascii="黑体" w:eastAsia="黑体"/>
          <w:sz w:val="72"/>
          <w:szCs w:val="72"/>
        </w:rPr>
      </w:pPr>
    </w:p>
    <w:p>
      <w:pPr>
        <w:rPr>
          <w:rFonts w:ascii="黑体" w:eastAsia="黑体"/>
          <w:sz w:val="72"/>
          <w:szCs w:val="72"/>
        </w:rPr>
      </w:pPr>
    </w:p>
    <w:p>
      <w:pPr>
        <w:rPr>
          <w:rFonts w:ascii="黑体" w:eastAsia="黑体"/>
          <w:sz w:val="72"/>
          <w:szCs w:val="72"/>
        </w:rPr>
      </w:pPr>
    </w:p>
    <w:p>
      <w:pPr>
        <w:pStyle w:val="4"/>
        <w:spacing w:line="360" w:lineRule="auto"/>
        <w:jc w:val="left"/>
        <w:rPr>
          <w:rFonts w:ascii="黑体" w:eastAsia="黑体"/>
          <w:b w:val="0"/>
          <w:sz w:val="72"/>
          <w:szCs w:val="72"/>
        </w:rPr>
      </w:pPr>
      <w:bookmarkStart w:id="6707" w:name="_Toc30"/>
      <w:bookmarkStart w:id="6708" w:name="_Toc310"/>
      <w:bookmarkStart w:id="6709" w:name="_Toc1700"/>
      <w:bookmarkStart w:id="6710" w:name="_Toc13260"/>
      <w:bookmarkStart w:id="6711" w:name="_Toc2119"/>
      <w:bookmarkStart w:id="6712" w:name="_Toc10824"/>
      <w:bookmarkStart w:id="6713" w:name="_Toc1187"/>
    </w:p>
    <w:p>
      <w:pPr>
        <w:pStyle w:val="4"/>
        <w:spacing w:line="360" w:lineRule="auto"/>
        <w:jc w:val="center"/>
        <w:rPr>
          <w:rFonts w:ascii="黑体" w:eastAsia="黑体"/>
          <w:b w:val="0"/>
          <w:sz w:val="72"/>
          <w:szCs w:val="72"/>
        </w:rPr>
      </w:pPr>
      <w:bookmarkStart w:id="6714" w:name="_Toc13598"/>
      <w:bookmarkStart w:id="6715" w:name="_Toc1060"/>
      <w:bookmarkStart w:id="6716" w:name="_Toc9496"/>
      <w:bookmarkStart w:id="6717" w:name="_Toc29862"/>
      <w:bookmarkStart w:id="6718" w:name="_Toc27358"/>
      <w:bookmarkStart w:id="6719" w:name="_Toc29175"/>
      <w:bookmarkStart w:id="6720" w:name="_Toc23792"/>
      <w:bookmarkStart w:id="6721" w:name="_Toc18929"/>
    </w:p>
    <w:p>
      <w:pPr>
        <w:pStyle w:val="4"/>
        <w:spacing w:line="360" w:lineRule="auto"/>
        <w:jc w:val="center"/>
        <w:rPr>
          <w:rFonts w:ascii="黑体" w:eastAsia="黑体"/>
          <w:bCs w:val="0"/>
          <w:sz w:val="72"/>
          <w:szCs w:val="72"/>
        </w:rPr>
      </w:pPr>
      <w:bookmarkStart w:id="6722" w:name="_Toc32102"/>
      <w:bookmarkStart w:id="6723" w:name="_Toc32310"/>
      <w:bookmarkStart w:id="6724" w:name="_Toc22702"/>
      <w:r>
        <w:rPr>
          <w:rFonts w:hint="eastAsia" w:ascii="黑体" w:eastAsia="黑体"/>
          <w:bCs w:val="0"/>
          <w:sz w:val="72"/>
          <w:szCs w:val="72"/>
        </w:rPr>
        <w:t>第 三 卷</w:t>
      </w:r>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p>
    <w:p/>
    <w:p>
      <w:pPr>
        <w:rPr>
          <w:rFonts w:ascii="黑体" w:eastAsia="黑体"/>
          <w:sz w:val="72"/>
          <w:szCs w:val="72"/>
        </w:rPr>
      </w:pPr>
    </w:p>
    <w:p>
      <w:pPr>
        <w:rPr>
          <w:rFonts w:ascii="黑体" w:eastAsia="黑体"/>
          <w:sz w:val="72"/>
          <w:szCs w:val="72"/>
        </w:rPr>
      </w:pPr>
    </w:p>
    <w:p>
      <w:pPr>
        <w:pStyle w:val="4"/>
        <w:spacing w:before="0" w:after="0" w:line="240" w:lineRule="auto"/>
        <w:jc w:val="center"/>
        <w:rPr>
          <w:rFonts w:ascii="黑体" w:eastAsia="黑体"/>
          <w:bCs w:val="0"/>
        </w:rPr>
      </w:pPr>
      <w:bookmarkStart w:id="6725" w:name="_Toc31423"/>
      <w:bookmarkStart w:id="6726" w:name="_Toc9402"/>
      <w:bookmarkStart w:id="6727" w:name="_Toc28201"/>
      <w:bookmarkStart w:id="6728" w:name="_Toc19490"/>
      <w:bookmarkStart w:id="6729" w:name="_Toc912"/>
      <w:bookmarkStart w:id="6730" w:name="_Toc26990"/>
      <w:bookmarkStart w:id="6731" w:name="_Toc29407"/>
      <w:bookmarkStart w:id="6732" w:name="_Toc288547004"/>
      <w:bookmarkStart w:id="6733" w:name="_Toc287853702"/>
      <w:bookmarkStart w:id="6734" w:name="_Toc5417"/>
      <w:bookmarkStart w:id="6735" w:name="_Toc26993"/>
      <w:bookmarkStart w:id="6736" w:name="_Toc609"/>
      <w:bookmarkStart w:id="6737" w:name="_Toc14205"/>
      <w:bookmarkStart w:id="6738" w:name="_Toc282779352"/>
      <w:bookmarkStart w:id="6739" w:name="_Toc282779861"/>
      <w:bookmarkStart w:id="6740" w:name="_Toc18564"/>
      <w:bookmarkStart w:id="6741" w:name="_Toc282787816"/>
      <w:bookmarkStart w:id="6742" w:name="_Toc283794549"/>
      <w:bookmarkStart w:id="6743" w:name="_Toc11277"/>
      <w:bookmarkStart w:id="6744" w:name="_Toc288491880"/>
      <w:bookmarkStart w:id="6745" w:name="_Toc3647"/>
      <w:bookmarkStart w:id="6746" w:name="_Toc14805"/>
      <w:bookmarkStart w:id="6747" w:name="_Toc18156"/>
      <w:bookmarkStart w:id="6748" w:name="_Toc18766"/>
      <w:bookmarkStart w:id="6749" w:name="_Toc1727"/>
      <w:r>
        <w:rPr>
          <w:rFonts w:hint="eastAsia" w:ascii="黑体" w:eastAsia="黑体"/>
          <w:bCs w:val="0"/>
        </w:rPr>
        <w:t>第七章  技术规范（另册）</w:t>
      </w:r>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p>
    <w:p>
      <w:pPr>
        <w:jc w:val="center"/>
        <w:rPr>
          <w:rFonts w:asciiTheme="minorEastAsia" w:hAnsiTheme="minorEastAsia" w:eastAsiaTheme="minorEastAsia" w:cstheme="minorEastAsia"/>
          <w:spacing w:val="-9"/>
          <w:sz w:val="28"/>
          <w:szCs w:val="28"/>
        </w:rPr>
      </w:pPr>
    </w:p>
    <w:p>
      <w:pPr>
        <w:jc w:val="center"/>
        <w:rPr>
          <w:rFonts w:ascii="楷体" w:hAnsi="楷体" w:cs="楷体"/>
          <w:spacing w:val="-10"/>
          <w:sz w:val="28"/>
          <w:szCs w:val="28"/>
        </w:rPr>
      </w:pPr>
      <w:r>
        <w:rPr>
          <w:rFonts w:hint="eastAsia" w:ascii="楷体" w:hAnsi="楷体" w:cs="楷体"/>
          <w:spacing w:val="-9"/>
          <w:sz w:val="28"/>
          <w:szCs w:val="28"/>
        </w:rPr>
        <w:t>“通用技术规范”采用《浙江省公路养护工程施工招标文件范本</w:t>
      </w:r>
      <w:r>
        <w:rPr>
          <w:rFonts w:hint="eastAsia" w:ascii="楷体" w:hAnsi="楷体" w:cs="楷体"/>
          <w:sz w:val="28"/>
          <w:szCs w:val="28"/>
        </w:rPr>
        <w:t>（</w:t>
      </w:r>
      <w:r>
        <w:rPr>
          <w:rFonts w:hint="eastAsia" w:ascii="楷体" w:hAnsi="楷体" w:cs="楷体"/>
          <w:spacing w:val="-3"/>
          <w:sz w:val="28"/>
          <w:szCs w:val="28"/>
        </w:rPr>
        <w:t>试行</w:t>
      </w:r>
      <w:r>
        <w:rPr>
          <w:rFonts w:hint="eastAsia" w:ascii="楷体" w:hAnsi="楷体" w:cs="楷体"/>
          <w:spacing w:val="-92"/>
          <w:sz w:val="28"/>
          <w:szCs w:val="28"/>
        </w:rPr>
        <w:t>）</w:t>
      </w:r>
      <w:r>
        <w:rPr>
          <w:rFonts w:hint="eastAsia" w:ascii="楷体" w:hAnsi="楷体" w:cs="楷体"/>
          <w:spacing w:val="-10"/>
          <w:sz w:val="28"/>
          <w:szCs w:val="28"/>
        </w:rPr>
        <w:t>》</w:t>
      </w:r>
    </w:p>
    <w:p>
      <w:pPr>
        <w:jc w:val="center"/>
        <w:rPr>
          <w:rFonts w:ascii="楷体" w:hAnsi="楷体" w:cs="楷体"/>
          <w:sz w:val="28"/>
          <w:szCs w:val="28"/>
        </w:rPr>
      </w:pPr>
      <w:r>
        <w:rPr>
          <w:rFonts w:hint="eastAsia" w:ascii="楷体" w:hAnsi="楷体" w:cs="楷体"/>
          <w:spacing w:val="-10"/>
          <w:sz w:val="28"/>
          <w:szCs w:val="28"/>
        </w:rPr>
        <w:t>中的下册“大中修工程”的技术规范。</w:t>
      </w:r>
    </w:p>
    <w:p>
      <w:pPr>
        <w:pStyle w:val="4"/>
        <w:spacing w:before="300" w:after="0" w:line="480" w:lineRule="auto"/>
        <w:rPr>
          <w:rFonts w:ascii="黑体" w:eastAsia="黑体"/>
          <w:sz w:val="52"/>
          <w:szCs w:val="52"/>
        </w:rPr>
      </w:pPr>
    </w:p>
    <w:p>
      <w:pPr>
        <w:jc w:val="center"/>
        <w:rPr>
          <w:rFonts w:ascii="黑体" w:eastAsia="黑体"/>
          <w:sz w:val="72"/>
          <w:szCs w:val="72"/>
        </w:rPr>
      </w:pPr>
    </w:p>
    <w:p>
      <w:pPr>
        <w:jc w:val="center"/>
        <w:rPr>
          <w:rFonts w:ascii="黑体" w:eastAsia="黑体"/>
          <w:sz w:val="72"/>
          <w:szCs w:val="72"/>
        </w:rPr>
      </w:pPr>
    </w:p>
    <w:p>
      <w:pPr>
        <w:jc w:val="center"/>
        <w:rPr>
          <w:rFonts w:ascii="黑体" w:eastAsia="黑体"/>
          <w:sz w:val="72"/>
          <w:szCs w:val="72"/>
        </w:rPr>
      </w:pPr>
    </w:p>
    <w:p>
      <w:pPr>
        <w:jc w:val="center"/>
        <w:rPr>
          <w:rFonts w:ascii="黑体" w:eastAsia="黑体"/>
          <w:sz w:val="72"/>
          <w:szCs w:val="72"/>
        </w:rPr>
      </w:pPr>
    </w:p>
    <w:p>
      <w:bookmarkStart w:id="6750" w:name="_Toc287853703"/>
      <w:bookmarkStart w:id="6751" w:name="_Toc254505393"/>
      <w:bookmarkStart w:id="6752" w:name="_Toc282779353"/>
      <w:bookmarkStart w:id="6753" w:name="_Toc282779862"/>
      <w:bookmarkStart w:id="6754" w:name="_Toc8950"/>
      <w:bookmarkStart w:id="6755" w:name="_Toc252720315"/>
      <w:bookmarkStart w:id="6756" w:name="_Toc11546"/>
      <w:bookmarkStart w:id="6757" w:name="_Toc23578"/>
      <w:bookmarkStart w:id="6758" w:name="_Toc11949"/>
      <w:bookmarkStart w:id="6759" w:name="_Toc1491"/>
      <w:bookmarkStart w:id="6760" w:name="_Toc288491881"/>
      <w:bookmarkStart w:id="6761" w:name="_Toc14360"/>
      <w:bookmarkStart w:id="6762" w:name="_Toc2535"/>
      <w:bookmarkStart w:id="6763" w:name="_Toc176"/>
      <w:bookmarkStart w:id="6764" w:name="_Toc137"/>
      <w:bookmarkStart w:id="6765" w:name="_Toc288547005"/>
      <w:bookmarkStart w:id="6766" w:name="_Toc282787817"/>
      <w:bookmarkStart w:id="6767" w:name="_Toc19531"/>
      <w:bookmarkStart w:id="6768" w:name="_Toc15334"/>
      <w:bookmarkStart w:id="6769" w:name="_Toc20245"/>
      <w:bookmarkStart w:id="6770" w:name="_Toc17810"/>
      <w:bookmarkStart w:id="6771" w:name="_Toc11432"/>
      <w:bookmarkStart w:id="6772" w:name="_Toc30392"/>
      <w:bookmarkStart w:id="6773" w:name="_Toc283794550"/>
    </w:p>
    <w:p>
      <w:pPr>
        <w:pStyle w:val="18"/>
      </w:pPr>
    </w:p>
    <w:p>
      <w:pPr>
        <w:pStyle w:val="4"/>
        <w:spacing w:line="360" w:lineRule="auto"/>
        <w:jc w:val="center"/>
        <w:rPr>
          <w:rFonts w:ascii="黑体" w:eastAsia="黑体"/>
          <w:bCs w:val="0"/>
          <w:sz w:val="72"/>
          <w:szCs w:val="72"/>
        </w:rPr>
      </w:pPr>
      <w:bookmarkStart w:id="6774" w:name="_Toc2701"/>
      <w:bookmarkStart w:id="6775" w:name="_Toc475"/>
      <w:bookmarkStart w:id="6776" w:name="_Toc28436"/>
      <w:r>
        <w:rPr>
          <w:rFonts w:hint="eastAsia" w:ascii="黑体" w:eastAsia="黑体"/>
          <w:bCs w:val="0"/>
          <w:sz w:val="72"/>
          <w:szCs w:val="72"/>
        </w:rPr>
        <w:t>第 四 卷</w:t>
      </w:r>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p>
    <w:p>
      <w:pPr>
        <w:pStyle w:val="4"/>
        <w:spacing w:before="0" w:afterLines="50" w:line="240" w:lineRule="auto"/>
        <w:jc w:val="center"/>
        <w:rPr>
          <w:rFonts w:ascii="黑体" w:eastAsia="黑体"/>
        </w:rPr>
      </w:pPr>
      <w:bookmarkStart w:id="6777" w:name="_Toc29063"/>
      <w:bookmarkStart w:id="6778" w:name="_Toc24886"/>
      <w:bookmarkStart w:id="6779" w:name="_Toc16637"/>
      <w:bookmarkStart w:id="6780" w:name="_Toc1180"/>
      <w:bookmarkStart w:id="6781" w:name="_Toc1360"/>
      <w:bookmarkStart w:id="6782" w:name="_Toc20510"/>
      <w:bookmarkStart w:id="6783" w:name="_Toc14899"/>
      <w:bookmarkStart w:id="6784" w:name="_Toc19176"/>
      <w:bookmarkStart w:id="6785" w:name="_Toc5823"/>
      <w:bookmarkStart w:id="6786" w:name="_Toc31221"/>
      <w:bookmarkStart w:id="6787" w:name="_Toc12842"/>
      <w:bookmarkStart w:id="6788" w:name="_Toc21611"/>
      <w:bookmarkStart w:id="6789" w:name="_Toc24824"/>
      <w:bookmarkStart w:id="6790" w:name="_Toc5830"/>
      <w:bookmarkStart w:id="6791" w:name="_Toc20589"/>
      <w:bookmarkStart w:id="6792" w:name="_Toc11586"/>
      <w:bookmarkStart w:id="6793" w:name="_Toc6707"/>
      <w:bookmarkStart w:id="6794" w:name="_Toc21043"/>
      <w:r>
        <w:rPr>
          <w:rFonts w:hint="eastAsia" w:ascii="黑体" w:eastAsia="黑体"/>
          <w:bCs w:val="0"/>
        </w:rPr>
        <w:t>第八章  投标文件格式</w:t>
      </w:r>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p>
    <w:p>
      <w:pPr>
        <w:spacing w:afterLines="50"/>
        <w:jc w:val="center"/>
        <w:rPr>
          <w:rFonts w:ascii="黑体" w:eastAsia="黑体"/>
          <w:sz w:val="44"/>
          <w:szCs w:val="44"/>
        </w:rPr>
      </w:pPr>
      <w:r>
        <w:rPr>
          <w:rFonts w:hint="eastAsia" w:ascii="黑体" w:eastAsia="黑体"/>
          <w:sz w:val="44"/>
          <w:szCs w:val="44"/>
        </w:rPr>
        <w:t>浙  江  省</w:t>
      </w:r>
    </w:p>
    <w:p>
      <w:pPr>
        <w:spacing w:afterLines="50"/>
        <w:jc w:val="center"/>
        <w:rPr>
          <w:rFonts w:ascii="黑体" w:eastAsia="黑体"/>
          <w:sz w:val="44"/>
          <w:szCs w:val="44"/>
        </w:rPr>
      </w:pPr>
    </w:p>
    <w:p>
      <w:pPr>
        <w:jc w:val="center"/>
        <w:outlineLvl w:val="0"/>
        <w:rPr>
          <w:rFonts w:ascii="黑体" w:hAnsi="宋体" w:eastAsia="黑体"/>
          <w:sz w:val="36"/>
          <w:szCs w:val="36"/>
        </w:rPr>
      </w:pPr>
      <w:bookmarkStart w:id="6795" w:name="_Toc16220"/>
      <w:bookmarkStart w:id="6796" w:name="_Toc27757"/>
      <w:bookmarkStart w:id="6797" w:name="_Toc4514"/>
      <w:bookmarkStart w:id="6798" w:name="_Toc31195"/>
      <w:bookmarkStart w:id="6799" w:name="_Toc31737"/>
      <w:bookmarkStart w:id="6800" w:name="_Toc28506"/>
      <w:bookmarkStart w:id="6801" w:name="_Toc19820"/>
      <w:bookmarkStart w:id="6802" w:name="_Toc14738"/>
      <w:bookmarkStart w:id="6803" w:name="_Toc2772"/>
      <w:bookmarkStart w:id="6804" w:name="_Toc7625"/>
      <w:bookmarkStart w:id="6805" w:name="_Toc20634"/>
      <w:bookmarkStart w:id="6806" w:name="_Toc2010"/>
      <w:bookmarkStart w:id="6807" w:name="_Toc18120"/>
      <w:bookmarkStart w:id="6808" w:name="_Toc1156"/>
      <w:bookmarkStart w:id="6809" w:name="_Toc1274"/>
      <w:r>
        <w:rPr>
          <w:rFonts w:hint="eastAsia" w:ascii="黑体" w:hAnsi="宋体" w:eastAsia="黑体"/>
          <w:sz w:val="36"/>
          <w:szCs w:val="36"/>
        </w:rPr>
        <w:t>工程</w:t>
      </w:r>
      <w:bookmarkEnd w:id="6795"/>
      <w:bookmarkEnd w:id="6796"/>
      <w:bookmarkEnd w:id="6797"/>
      <w:bookmarkEnd w:id="6798"/>
      <w:r>
        <w:rPr>
          <w:rFonts w:hint="eastAsia" w:ascii="黑体" w:hAnsi="宋体" w:eastAsia="黑体"/>
          <w:sz w:val="36"/>
          <w:szCs w:val="36"/>
        </w:rPr>
        <w:t>施工</w:t>
      </w:r>
      <w:bookmarkEnd w:id="6799"/>
      <w:bookmarkEnd w:id="6800"/>
      <w:bookmarkEnd w:id="6801"/>
      <w:r>
        <w:rPr>
          <w:rFonts w:hint="eastAsia" w:ascii="黑体" w:hAnsi="宋体" w:eastAsia="黑体"/>
          <w:sz w:val="36"/>
          <w:szCs w:val="36"/>
        </w:rPr>
        <w:t>招标</w:t>
      </w:r>
      <w:bookmarkEnd w:id="6802"/>
      <w:bookmarkEnd w:id="6803"/>
      <w:bookmarkEnd w:id="6804"/>
      <w:bookmarkEnd w:id="6805"/>
      <w:bookmarkEnd w:id="6806"/>
      <w:bookmarkEnd w:id="6807"/>
      <w:bookmarkEnd w:id="6808"/>
      <w:bookmarkEnd w:id="6809"/>
    </w:p>
    <w:p>
      <w:pPr>
        <w:jc w:val="center"/>
        <w:rPr>
          <w:rFonts w:ascii="黑体" w:eastAsia="黑体"/>
          <w:sz w:val="36"/>
          <w:szCs w:val="36"/>
        </w:rPr>
      </w:pPr>
    </w:p>
    <w:p/>
    <w:p/>
    <w:p>
      <w:pPr>
        <w:spacing w:line="240" w:lineRule="exact"/>
        <w:jc w:val="center"/>
        <w:rPr>
          <w:rFonts w:ascii="华文新魏" w:eastAsia="华文新魏"/>
          <w:sz w:val="36"/>
          <w:szCs w:val="36"/>
        </w:rPr>
      </w:pPr>
    </w:p>
    <w:p>
      <w:pPr>
        <w:jc w:val="center"/>
      </w:pPr>
    </w:p>
    <w:p/>
    <w:p/>
    <w:p>
      <w:pPr>
        <w:jc w:val="center"/>
        <w:rPr>
          <w:rFonts w:ascii="黑体" w:eastAsia="黑体"/>
          <w:sz w:val="72"/>
          <w:szCs w:val="72"/>
        </w:rPr>
      </w:pPr>
      <w:r>
        <w:rPr>
          <w:rFonts w:hint="eastAsia" w:ascii="黑体" w:eastAsia="黑体"/>
          <w:sz w:val="72"/>
          <w:szCs w:val="72"/>
        </w:rPr>
        <w:t>投 标 文 件</w:t>
      </w:r>
    </w:p>
    <w:p/>
    <w:p/>
    <w:p/>
    <w:p/>
    <w:p/>
    <w:p/>
    <w:p/>
    <w:p/>
    <w:p/>
    <w:p/>
    <w:p/>
    <w:p>
      <w:pPr>
        <w:jc w:val="center"/>
        <w:outlineLvl w:val="0"/>
        <w:rPr>
          <w:rFonts w:ascii="黑体" w:eastAsia="黑体"/>
          <w:sz w:val="36"/>
          <w:szCs w:val="36"/>
        </w:rPr>
      </w:pPr>
      <w:bookmarkStart w:id="6810" w:name="_Toc11783"/>
      <w:bookmarkStart w:id="6811" w:name="_Toc18526"/>
      <w:bookmarkStart w:id="6812" w:name="_Toc24208"/>
      <w:bookmarkStart w:id="6813" w:name="_Toc17319"/>
      <w:bookmarkStart w:id="6814" w:name="_Toc10692"/>
      <w:bookmarkStart w:id="6815" w:name="_Toc26696"/>
      <w:bookmarkStart w:id="6816" w:name="_Toc4007"/>
      <w:bookmarkStart w:id="6817" w:name="_Toc20897"/>
      <w:bookmarkStart w:id="6818" w:name="_Toc19194"/>
      <w:bookmarkStart w:id="6819" w:name="_Toc18666"/>
      <w:bookmarkStart w:id="6820" w:name="_Toc13053"/>
      <w:bookmarkStart w:id="6821" w:name="_Toc25782"/>
      <w:bookmarkStart w:id="6822" w:name="_Toc3048"/>
      <w:bookmarkStart w:id="6823" w:name="_Toc463"/>
      <w:bookmarkStart w:id="6824" w:name="_Toc32325"/>
      <w:r>
        <w:rPr>
          <w:rFonts w:hint="eastAsia" w:ascii="黑体" w:eastAsia="黑体"/>
          <w:sz w:val="36"/>
          <w:szCs w:val="36"/>
        </w:rPr>
        <w:t>投标人：（全称并盖单位电子公章）</w:t>
      </w:r>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p>
    <w:p>
      <w:pPr>
        <w:spacing w:beforeLines="100"/>
        <w:jc w:val="center"/>
        <w:outlineLvl w:val="0"/>
        <w:rPr>
          <w:rFonts w:ascii="黑体" w:eastAsia="黑体"/>
          <w:sz w:val="36"/>
          <w:szCs w:val="36"/>
        </w:rPr>
      </w:pPr>
      <w:bookmarkStart w:id="6825" w:name="_Toc105"/>
      <w:bookmarkStart w:id="6826" w:name="_Toc7148"/>
      <w:bookmarkStart w:id="6827" w:name="_Toc12128"/>
      <w:bookmarkStart w:id="6828" w:name="_Toc9932"/>
      <w:bookmarkStart w:id="6829" w:name="_Toc8779"/>
      <w:bookmarkStart w:id="6830" w:name="_Toc8587"/>
      <w:bookmarkStart w:id="6831" w:name="_Toc7557"/>
      <w:bookmarkStart w:id="6832" w:name="_Toc13338"/>
      <w:bookmarkStart w:id="6833" w:name="_Toc23051"/>
      <w:bookmarkStart w:id="6834" w:name="_Toc30315"/>
      <w:bookmarkStart w:id="6835" w:name="_Toc12969"/>
      <w:bookmarkStart w:id="6836" w:name="_Toc15185"/>
      <w:bookmarkStart w:id="6837" w:name="_Toc22801"/>
      <w:bookmarkStart w:id="6838" w:name="_Toc3092"/>
      <w:bookmarkStart w:id="6839" w:name="_Toc4574"/>
      <w:r>
        <w:rPr>
          <w:rFonts w:hint="eastAsia" w:ascii="黑体" w:eastAsia="黑体"/>
          <w:sz w:val="36"/>
          <w:szCs w:val="36"/>
        </w:rPr>
        <w:t>年月日</w:t>
      </w:r>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p>
    <w:p>
      <w:pPr>
        <w:pStyle w:val="5"/>
        <w:spacing w:before="360" w:after="120"/>
        <w:rPr>
          <w:rFonts w:ascii="黑体" w:hAnsi="黑体"/>
          <w:b w:val="0"/>
          <w:sz w:val="28"/>
          <w:szCs w:val="28"/>
        </w:rPr>
      </w:pPr>
      <w:bookmarkStart w:id="6840" w:name="_Toc10722"/>
      <w:bookmarkStart w:id="6841" w:name="_Toc19661"/>
      <w:bookmarkStart w:id="6842" w:name="_Toc233436010"/>
      <w:bookmarkStart w:id="6843" w:name="_Toc4265"/>
      <w:bookmarkStart w:id="6844" w:name="_Toc20335"/>
      <w:bookmarkStart w:id="6845" w:name="_Toc25131"/>
      <w:bookmarkStart w:id="6846" w:name="_Toc19832"/>
      <w:bookmarkStart w:id="6847" w:name="_Toc26388"/>
      <w:bookmarkStart w:id="6848" w:name="_Toc29199"/>
      <w:bookmarkStart w:id="6849" w:name="_Toc288547007"/>
      <w:bookmarkStart w:id="6850" w:name="_Toc29168"/>
      <w:bookmarkStart w:id="6851" w:name="_Toc6557"/>
      <w:bookmarkStart w:id="6852" w:name="_Toc25565"/>
      <w:bookmarkStart w:id="6853" w:name="_Toc19095"/>
      <w:bookmarkStart w:id="6854" w:name="_Toc19034"/>
      <w:bookmarkStart w:id="6855" w:name="_Toc27216"/>
      <w:bookmarkStart w:id="6856" w:name="_Toc3560"/>
    </w:p>
    <w:p>
      <w:pPr>
        <w:pStyle w:val="5"/>
        <w:spacing w:before="360" w:after="120"/>
        <w:jc w:val="center"/>
        <w:rPr>
          <w:rFonts w:ascii="黑体" w:hAnsi="黑体"/>
          <w:b w:val="0"/>
          <w:sz w:val="48"/>
          <w:szCs w:val="48"/>
        </w:rPr>
      </w:pPr>
      <w:bookmarkStart w:id="6857" w:name="_Toc29345"/>
      <w:bookmarkStart w:id="6858" w:name="_Toc12550"/>
      <w:bookmarkStart w:id="6859" w:name="_Toc7258"/>
      <w:r>
        <w:rPr>
          <w:rFonts w:hint="eastAsia" w:ascii="黑体" w:hAnsi="黑体"/>
          <w:b w:val="0"/>
          <w:sz w:val="48"/>
          <w:szCs w:val="48"/>
        </w:rPr>
        <w:t>目  录</w:t>
      </w:r>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p>
    <w:p>
      <w:pPr>
        <w:spacing w:line="420" w:lineRule="exact"/>
        <w:ind w:firstLine="480" w:firstLineChars="200"/>
        <w:jc w:val="left"/>
        <w:outlineLvl w:val="0"/>
        <w:rPr>
          <w:rFonts w:ascii="宋体" w:hAnsi="宋体"/>
          <w:sz w:val="24"/>
        </w:rPr>
      </w:pPr>
      <w:bookmarkStart w:id="6860" w:name="_Toc14844"/>
      <w:bookmarkStart w:id="6861" w:name="_Toc22208"/>
      <w:bookmarkStart w:id="6862" w:name="_Toc13833"/>
      <w:bookmarkStart w:id="6863" w:name="_Toc4571"/>
      <w:r>
        <w:rPr>
          <w:rFonts w:hint="eastAsia" w:ascii="宋体" w:hAnsi="宋体"/>
          <w:sz w:val="24"/>
        </w:rPr>
        <w:t>一、投标函及投标函附录</w:t>
      </w:r>
      <w:bookmarkEnd w:id="6860"/>
      <w:bookmarkEnd w:id="6861"/>
      <w:bookmarkEnd w:id="6862"/>
      <w:bookmarkEnd w:id="6863"/>
    </w:p>
    <w:p>
      <w:pPr>
        <w:spacing w:line="420" w:lineRule="exact"/>
        <w:ind w:firstLine="480" w:firstLineChars="200"/>
        <w:jc w:val="left"/>
        <w:outlineLvl w:val="0"/>
        <w:rPr>
          <w:rFonts w:ascii="宋体" w:hAnsi="宋体"/>
          <w:sz w:val="24"/>
        </w:rPr>
      </w:pPr>
      <w:bookmarkStart w:id="6864" w:name="_Toc11593"/>
      <w:bookmarkStart w:id="6865" w:name="_Toc31583"/>
      <w:bookmarkStart w:id="6866" w:name="_Toc12449"/>
      <w:bookmarkStart w:id="6867" w:name="_Toc22411"/>
      <w:r>
        <w:rPr>
          <w:rFonts w:hint="eastAsia" w:ascii="宋体" w:hAnsi="宋体"/>
          <w:sz w:val="24"/>
        </w:rPr>
        <w:t>二、法定代表人身份证明及授权委托书</w:t>
      </w:r>
      <w:bookmarkEnd w:id="6864"/>
      <w:bookmarkEnd w:id="6865"/>
      <w:bookmarkEnd w:id="6866"/>
      <w:bookmarkEnd w:id="6867"/>
    </w:p>
    <w:p>
      <w:pPr>
        <w:spacing w:line="420" w:lineRule="exact"/>
        <w:ind w:firstLine="480" w:firstLineChars="200"/>
        <w:jc w:val="left"/>
        <w:outlineLvl w:val="0"/>
        <w:rPr>
          <w:rFonts w:ascii="宋体" w:hAnsi="宋体"/>
          <w:sz w:val="24"/>
        </w:rPr>
      </w:pPr>
      <w:bookmarkStart w:id="6868" w:name="_Toc27245"/>
      <w:bookmarkStart w:id="6869" w:name="_Toc20501"/>
      <w:bookmarkStart w:id="6870" w:name="_Toc2800"/>
      <w:bookmarkStart w:id="6871" w:name="_Toc30487"/>
      <w:r>
        <w:rPr>
          <w:rFonts w:hint="eastAsia" w:ascii="宋体" w:hAnsi="宋体"/>
          <w:sz w:val="24"/>
        </w:rPr>
        <w:t>三、已标价工程量清单</w:t>
      </w:r>
      <w:bookmarkEnd w:id="6868"/>
      <w:bookmarkEnd w:id="6869"/>
      <w:bookmarkEnd w:id="6870"/>
      <w:bookmarkEnd w:id="6871"/>
    </w:p>
    <w:p>
      <w:pPr>
        <w:spacing w:line="420" w:lineRule="exact"/>
        <w:ind w:firstLine="480" w:firstLineChars="200"/>
        <w:jc w:val="left"/>
        <w:outlineLvl w:val="0"/>
        <w:rPr>
          <w:rFonts w:ascii="宋体" w:hAnsi="宋体"/>
          <w:sz w:val="24"/>
        </w:rPr>
      </w:pPr>
      <w:bookmarkStart w:id="6872" w:name="_Toc4442"/>
      <w:bookmarkStart w:id="6873" w:name="_Toc20309"/>
      <w:bookmarkStart w:id="6874" w:name="_Toc21438"/>
      <w:bookmarkStart w:id="6875" w:name="_Toc18327"/>
      <w:r>
        <w:rPr>
          <w:rFonts w:hint="eastAsia" w:ascii="宋体" w:hAnsi="宋体"/>
          <w:sz w:val="24"/>
        </w:rPr>
        <w:t>四、养护工程作业方案</w:t>
      </w:r>
      <w:bookmarkEnd w:id="6872"/>
      <w:bookmarkEnd w:id="6873"/>
      <w:bookmarkEnd w:id="6874"/>
      <w:bookmarkEnd w:id="6875"/>
    </w:p>
    <w:p>
      <w:pPr>
        <w:spacing w:line="420" w:lineRule="exact"/>
        <w:ind w:firstLine="480" w:firstLineChars="200"/>
        <w:jc w:val="left"/>
        <w:outlineLvl w:val="0"/>
        <w:rPr>
          <w:rFonts w:ascii="宋体" w:hAnsi="宋体"/>
          <w:sz w:val="24"/>
        </w:rPr>
      </w:pPr>
      <w:bookmarkStart w:id="6876" w:name="_Toc10609"/>
      <w:bookmarkStart w:id="6877" w:name="_Toc707"/>
      <w:bookmarkStart w:id="6878" w:name="_Toc11387"/>
      <w:bookmarkStart w:id="6879" w:name="_Toc1677"/>
      <w:r>
        <w:rPr>
          <w:rFonts w:hint="eastAsia" w:ascii="宋体" w:hAnsi="宋体"/>
          <w:sz w:val="24"/>
        </w:rPr>
        <w:t>五、项目管理机构</w:t>
      </w:r>
      <w:bookmarkEnd w:id="6876"/>
      <w:bookmarkEnd w:id="6877"/>
      <w:bookmarkEnd w:id="6878"/>
      <w:bookmarkEnd w:id="6879"/>
    </w:p>
    <w:p>
      <w:pPr>
        <w:spacing w:line="420" w:lineRule="exact"/>
        <w:ind w:firstLine="480" w:firstLineChars="200"/>
        <w:jc w:val="left"/>
        <w:outlineLvl w:val="0"/>
        <w:rPr>
          <w:rFonts w:ascii="宋体" w:hAnsi="宋体"/>
          <w:sz w:val="24"/>
        </w:rPr>
      </w:pPr>
      <w:bookmarkStart w:id="6880" w:name="_Toc30930"/>
      <w:bookmarkStart w:id="6881" w:name="_Toc28564"/>
      <w:bookmarkStart w:id="6882" w:name="_Toc26779"/>
      <w:bookmarkStart w:id="6883" w:name="_Toc23731"/>
      <w:r>
        <w:rPr>
          <w:rFonts w:hint="eastAsia" w:ascii="宋体" w:hAnsi="宋体"/>
          <w:sz w:val="24"/>
        </w:rPr>
        <w:t>六、拟分包项目情况表</w:t>
      </w:r>
      <w:bookmarkEnd w:id="6880"/>
      <w:bookmarkEnd w:id="6881"/>
      <w:bookmarkEnd w:id="6882"/>
      <w:bookmarkEnd w:id="6883"/>
    </w:p>
    <w:p>
      <w:pPr>
        <w:spacing w:line="420" w:lineRule="exact"/>
        <w:ind w:firstLine="480" w:firstLineChars="200"/>
        <w:jc w:val="left"/>
        <w:outlineLvl w:val="0"/>
        <w:rPr>
          <w:rFonts w:ascii="宋体" w:hAnsi="宋体"/>
          <w:sz w:val="24"/>
        </w:rPr>
      </w:pPr>
      <w:bookmarkStart w:id="6884" w:name="_Toc29900"/>
      <w:bookmarkStart w:id="6885" w:name="_Toc23368"/>
      <w:bookmarkStart w:id="6886" w:name="_Toc27125"/>
      <w:bookmarkStart w:id="6887" w:name="_Toc11576"/>
      <w:r>
        <w:rPr>
          <w:rFonts w:hint="eastAsia" w:ascii="宋体" w:hAnsi="宋体"/>
          <w:sz w:val="24"/>
        </w:rPr>
        <w:t>七、资格审查资料</w:t>
      </w:r>
      <w:bookmarkEnd w:id="6884"/>
      <w:bookmarkEnd w:id="6885"/>
      <w:bookmarkEnd w:id="6886"/>
      <w:bookmarkEnd w:id="6887"/>
    </w:p>
    <w:p>
      <w:pPr>
        <w:spacing w:line="420" w:lineRule="exact"/>
        <w:ind w:firstLine="480" w:firstLineChars="200"/>
        <w:jc w:val="left"/>
        <w:outlineLvl w:val="0"/>
        <w:rPr>
          <w:rFonts w:ascii="宋体" w:hAnsi="宋体"/>
          <w:sz w:val="24"/>
        </w:rPr>
      </w:pPr>
      <w:bookmarkStart w:id="6888" w:name="_Toc5547"/>
      <w:bookmarkStart w:id="6889" w:name="_Toc5345"/>
      <w:bookmarkStart w:id="6890" w:name="_Toc29539"/>
      <w:bookmarkStart w:id="6891" w:name="_Toc17894"/>
      <w:r>
        <w:rPr>
          <w:rFonts w:hint="eastAsia" w:ascii="宋体" w:hAnsi="宋体"/>
          <w:sz w:val="24"/>
        </w:rPr>
        <w:t>八、承诺函</w:t>
      </w:r>
      <w:bookmarkEnd w:id="6888"/>
      <w:bookmarkEnd w:id="6889"/>
      <w:bookmarkEnd w:id="6890"/>
      <w:bookmarkEnd w:id="6891"/>
    </w:p>
    <w:p>
      <w:pPr>
        <w:spacing w:line="420" w:lineRule="exact"/>
        <w:ind w:firstLine="480" w:firstLineChars="200"/>
        <w:jc w:val="left"/>
        <w:outlineLvl w:val="0"/>
        <w:rPr>
          <w:rFonts w:ascii="宋体" w:hAnsi="宋体"/>
          <w:sz w:val="24"/>
        </w:rPr>
      </w:pPr>
      <w:bookmarkStart w:id="6892" w:name="_Toc25238"/>
      <w:bookmarkStart w:id="6893" w:name="_Toc21122"/>
      <w:bookmarkStart w:id="6894" w:name="_Toc3370"/>
      <w:bookmarkStart w:id="6895" w:name="_Toc24235"/>
      <w:r>
        <w:rPr>
          <w:rFonts w:hint="eastAsia" w:ascii="宋体" w:hAnsi="宋体"/>
          <w:sz w:val="24"/>
        </w:rPr>
        <w:t>九、其它材料</w:t>
      </w:r>
      <w:bookmarkEnd w:id="6892"/>
      <w:bookmarkEnd w:id="6893"/>
      <w:bookmarkEnd w:id="6894"/>
      <w:bookmarkEnd w:id="6895"/>
    </w:p>
    <w:p>
      <w:pPr>
        <w:pStyle w:val="5"/>
        <w:jc w:val="center"/>
        <w:rPr>
          <w:b w:val="0"/>
        </w:rPr>
      </w:pPr>
      <w:bookmarkStart w:id="6896" w:name="_Toc287853706"/>
      <w:bookmarkStart w:id="6897" w:name="_Toc233436013"/>
      <w:bookmarkStart w:id="6898" w:name="_Toc233423355"/>
      <w:bookmarkStart w:id="6899" w:name="_Toc233429872"/>
      <w:bookmarkStart w:id="6900" w:name="_Toc233215025"/>
      <w:bookmarkStart w:id="6901" w:name="_Toc282779356"/>
      <w:bookmarkStart w:id="6902" w:name="_Toc282787820"/>
      <w:bookmarkStart w:id="6903" w:name="_Toc233290470"/>
      <w:bookmarkStart w:id="6904" w:name="_Toc288491884"/>
      <w:bookmarkStart w:id="6905" w:name="_Toc283794553"/>
      <w:bookmarkStart w:id="6906" w:name="_Toc282779865"/>
      <w:bookmarkStart w:id="6907" w:name="_Toc288547009"/>
    </w:p>
    <w:p/>
    <w:p/>
    <w:p/>
    <w:p/>
    <w:p/>
    <w:p/>
    <w:p/>
    <w:p/>
    <w:p/>
    <w:p/>
    <w:p/>
    <w:p/>
    <w:p/>
    <w:p>
      <w:bookmarkStart w:id="6908" w:name="_Toc14119"/>
      <w:bookmarkStart w:id="6909" w:name="_Toc8262"/>
      <w:bookmarkStart w:id="6910" w:name="_Toc594"/>
      <w:bookmarkStart w:id="6911" w:name="_Toc13678"/>
      <w:bookmarkStart w:id="6912" w:name="_Toc3414"/>
      <w:bookmarkStart w:id="6913" w:name="_Toc21805"/>
      <w:bookmarkStart w:id="6914" w:name="_Toc31487"/>
      <w:bookmarkStart w:id="6915" w:name="_Toc22001"/>
      <w:bookmarkStart w:id="6916" w:name="_Toc29784"/>
      <w:bookmarkStart w:id="6917" w:name="_Toc2616"/>
      <w:bookmarkStart w:id="6918" w:name="_Toc3909"/>
      <w:bookmarkStart w:id="6919" w:name="_Toc20730"/>
      <w:bookmarkStart w:id="6920" w:name="_Toc26056"/>
    </w:p>
    <w:p/>
    <w:p>
      <w:pPr>
        <w:pStyle w:val="5"/>
        <w:keepNext w:val="0"/>
        <w:keepLines w:val="0"/>
        <w:widowControl/>
        <w:spacing w:before="0" w:after="0" w:line="240" w:lineRule="auto"/>
        <w:jc w:val="center"/>
        <w:rPr>
          <w:b w:val="0"/>
        </w:rPr>
      </w:pPr>
      <w:bookmarkStart w:id="6921" w:name="_Toc8004"/>
      <w:bookmarkStart w:id="6922" w:name="_Toc5817"/>
    </w:p>
    <w:p/>
    <w:p>
      <w:pPr>
        <w:pStyle w:val="5"/>
        <w:keepNext w:val="0"/>
        <w:keepLines w:val="0"/>
        <w:widowControl/>
        <w:spacing w:before="0" w:after="0" w:line="240" w:lineRule="auto"/>
        <w:jc w:val="center"/>
        <w:rPr>
          <w:b w:val="0"/>
        </w:rPr>
      </w:pPr>
      <w:bookmarkStart w:id="6923" w:name="_Toc32761"/>
      <w:bookmarkStart w:id="6924" w:name="_Toc5453"/>
      <w:bookmarkStart w:id="6925" w:name="_Toc3980"/>
      <w:r>
        <w:rPr>
          <w:rFonts w:hint="eastAsia"/>
          <w:b w:val="0"/>
        </w:rPr>
        <w:br w:type="column"/>
      </w:r>
      <w:r>
        <w:rPr>
          <w:rFonts w:hint="eastAsia"/>
          <w:b w:val="0"/>
        </w:rPr>
        <w:t>一、投标函及投标函附录</w:t>
      </w:r>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p>
    <w:p>
      <w:pPr>
        <w:pStyle w:val="6"/>
        <w:spacing w:after="40" w:line="360" w:lineRule="auto"/>
        <w:jc w:val="center"/>
        <w:rPr>
          <w:rFonts w:ascii="黑体" w:eastAsia="黑体"/>
          <w:b w:val="0"/>
          <w:sz w:val="28"/>
          <w:szCs w:val="28"/>
        </w:rPr>
      </w:pPr>
      <w:bookmarkStart w:id="6926" w:name="_Toc5022"/>
      <w:bookmarkStart w:id="6927" w:name="_Toc26914"/>
      <w:bookmarkStart w:id="6928" w:name="_Toc282779866"/>
      <w:bookmarkStart w:id="6929" w:name="_Toc233429873"/>
      <w:bookmarkStart w:id="6930" w:name="_Toc287853707"/>
      <w:bookmarkStart w:id="6931" w:name="_Toc10618"/>
      <w:bookmarkStart w:id="6932" w:name="_Toc233436014"/>
      <w:bookmarkStart w:id="6933" w:name="_Toc3814"/>
      <w:bookmarkStart w:id="6934" w:name="_Toc23163"/>
      <w:bookmarkStart w:id="6935" w:name="_Toc28618"/>
      <w:bookmarkStart w:id="6936" w:name="_Toc31282"/>
      <w:bookmarkStart w:id="6937" w:name="_Toc16374"/>
      <w:bookmarkStart w:id="6938" w:name="_Toc288491885"/>
      <w:bookmarkStart w:id="6939" w:name="_Toc9794"/>
      <w:bookmarkStart w:id="6940" w:name="_Toc283794554"/>
      <w:bookmarkStart w:id="6941" w:name="_Toc282779357"/>
      <w:bookmarkStart w:id="6942" w:name="_Toc282787821"/>
      <w:bookmarkStart w:id="6943" w:name="_Toc22511"/>
      <w:bookmarkStart w:id="6944" w:name="_Toc27269"/>
      <w:bookmarkStart w:id="6945" w:name="_Toc384"/>
      <w:bookmarkStart w:id="6946" w:name="_Toc18373"/>
      <w:bookmarkStart w:id="6947" w:name="_Toc233215026"/>
      <w:bookmarkStart w:id="6948" w:name="_Toc288547010"/>
      <w:bookmarkStart w:id="6949" w:name="_Toc233423356"/>
      <w:bookmarkStart w:id="6950" w:name="_Toc13941"/>
      <w:bookmarkStart w:id="6951" w:name="_Toc18566"/>
      <w:bookmarkStart w:id="6952" w:name="_Toc233290471"/>
      <w:bookmarkStart w:id="6953" w:name="_Toc22142"/>
      <w:bookmarkStart w:id="6954" w:name="_Toc25904"/>
      <w:bookmarkStart w:id="6955" w:name="_Toc16993"/>
      <w:r>
        <w:rPr>
          <w:rFonts w:hint="eastAsia" w:ascii="黑体" w:eastAsia="黑体"/>
          <w:b w:val="0"/>
          <w:sz w:val="28"/>
          <w:szCs w:val="28"/>
        </w:rPr>
        <w:t>（一）投 标 函</w:t>
      </w:r>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p>
    <w:p>
      <w:pPr>
        <w:spacing w:line="420" w:lineRule="exact"/>
        <w:rPr>
          <w:sz w:val="24"/>
        </w:rPr>
      </w:pPr>
      <w:bookmarkStart w:id="6956" w:name="_Toc233290472"/>
      <w:bookmarkStart w:id="6957" w:name="_Toc233429874"/>
      <w:bookmarkStart w:id="6958" w:name="_Toc233423357"/>
      <w:bookmarkStart w:id="6959" w:name="_Toc233215027"/>
      <w:bookmarkStart w:id="6960" w:name="_Toc233436015"/>
      <w:r>
        <w:rPr>
          <w:rFonts w:hint="eastAsia"/>
          <w:sz w:val="24"/>
        </w:rPr>
        <w:t>（招标人名称）：</w:t>
      </w:r>
    </w:p>
    <w:p>
      <w:pPr>
        <w:spacing w:line="240" w:lineRule="exact"/>
        <w:rPr>
          <w:sz w:val="24"/>
        </w:rPr>
      </w:pPr>
    </w:p>
    <w:p>
      <w:pPr>
        <w:spacing w:line="420" w:lineRule="exact"/>
        <w:ind w:firstLine="480" w:firstLineChars="200"/>
        <w:rPr>
          <w:sz w:val="24"/>
        </w:rPr>
      </w:pPr>
      <w:r>
        <w:rPr>
          <w:rFonts w:hint="eastAsia"/>
          <w:sz w:val="24"/>
        </w:rPr>
        <w:t>1．我方已仔细研究（项目名称）工程施工招标文件的全部内容（含补遗书第号至第号），在考察工程现场后，愿意以人民币（大写）元的投标总报价（或根据招标文件规定修正核实后确定的另一金额），工期</w:t>
      </w:r>
      <w:r>
        <w:rPr>
          <w:rFonts w:hint="eastAsia"/>
          <w:sz w:val="24"/>
          <w:u w:val="single"/>
          <w:lang w:val="en-US" w:eastAsia="zh-CN"/>
        </w:rPr>
        <w:t xml:space="preserve">      </w:t>
      </w:r>
      <w:r>
        <w:rPr>
          <w:rFonts w:hint="eastAsia"/>
          <w:sz w:val="24"/>
        </w:rPr>
        <w:t>个月 ，按合同约定实施和完成本养护工程实施，修补工程中的任何缺陷，并接受发包人按招标文件规定的检测和考核。工程质量达到：</w:t>
      </w:r>
      <w:r>
        <w:rPr>
          <w:rFonts w:hint="eastAsia"/>
          <w:sz w:val="24"/>
          <w:u w:val="single"/>
        </w:rPr>
        <w:t xml:space="preserve">标段工程交（竣）工验收的质量评定：合格 </w:t>
      </w:r>
      <w:r>
        <w:rPr>
          <w:rFonts w:hint="eastAsia"/>
          <w:sz w:val="24"/>
        </w:rPr>
        <w:t xml:space="preserve">。拟委任的项目经理为： 。    </w:t>
      </w:r>
    </w:p>
    <w:p>
      <w:pPr>
        <w:spacing w:line="420" w:lineRule="exact"/>
        <w:ind w:firstLine="480" w:firstLineChars="200"/>
        <w:rPr>
          <w:sz w:val="24"/>
        </w:rPr>
      </w:pPr>
      <w:r>
        <w:rPr>
          <w:rFonts w:hint="eastAsia"/>
          <w:sz w:val="24"/>
        </w:rPr>
        <w:t>2．我方承诺在投标有效期内不修改、撤销投标文件。</w:t>
      </w:r>
    </w:p>
    <w:p>
      <w:pPr>
        <w:spacing w:line="420" w:lineRule="exact"/>
        <w:ind w:firstLine="480" w:firstLineChars="200"/>
        <w:rPr>
          <w:sz w:val="24"/>
        </w:rPr>
      </w:pPr>
      <w:r>
        <w:rPr>
          <w:rFonts w:hint="eastAsia"/>
          <w:sz w:val="24"/>
        </w:rPr>
        <w:t>3．如我方中标：</w:t>
      </w:r>
    </w:p>
    <w:p>
      <w:pPr>
        <w:spacing w:line="420" w:lineRule="exact"/>
        <w:ind w:firstLine="480" w:firstLineChars="200"/>
        <w:rPr>
          <w:sz w:val="24"/>
        </w:rPr>
      </w:pPr>
      <w:r>
        <w:rPr>
          <w:rFonts w:hint="eastAsia"/>
          <w:sz w:val="24"/>
        </w:rPr>
        <w:t>（1）我方承诺在收到中标通知书后，在中标通知书规定的期限内与你方签订合同。</w:t>
      </w:r>
    </w:p>
    <w:p>
      <w:pPr>
        <w:spacing w:line="420" w:lineRule="exact"/>
        <w:ind w:firstLine="480" w:firstLineChars="200"/>
        <w:rPr>
          <w:sz w:val="24"/>
        </w:rPr>
      </w:pPr>
      <w:r>
        <w:rPr>
          <w:rFonts w:hint="eastAsia"/>
          <w:sz w:val="24"/>
        </w:rPr>
        <w:t>（2）随同本投标函递交的投标函附录属于合同文件的组成部分。</w:t>
      </w:r>
    </w:p>
    <w:p>
      <w:pPr>
        <w:spacing w:line="420" w:lineRule="exact"/>
        <w:ind w:firstLine="480" w:firstLineChars="200"/>
        <w:rPr>
          <w:sz w:val="24"/>
        </w:rPr>
      </w:pPr>
      <w:r>
        <w:rPr>
          <w:rFonts w:hint="eastAsia"/>
          <w:sz w:val="24"/>
        </w:rPr>
        <w:t>（3）我方承诺在合同约定的向你方递交履约担保。</w:t>
      </w:r>
    </w:p>
    <w:p>
      <w:pPr>
        <w:spacing w:line="420" w:lineRule="exact"/>
        <w:ind w:firstLine="480" w:firstLineChars="200"/>
        <w:rPr>
          <w:sz w:val="24"/>
        </w:rPr>
      </w:pPr>
      <w:r>
        <w:rPr>
          <w:rFonts w:hint="eastAsia"/>
          <w:sz w:val="24"/>
        </w:rPr>
        <w:t>（4）我方承诺在合同约定的期限内完成并移交全部合同工程。</w:t>
      </w:r>
    </w:p>
    <w:p>
      <w:pPr>
        <w:spacing w:line="420" w:lineRule="exact"/>
        <w:ind w:firstLine="480" w:firstLineChars="200"/>
        <w:rPr>
          <w:sz w:val="24"/>
        </w:rPr>
      </w:pPr>
      <w:r>
        <w:rPr>
          <w:rFonts w:hint="eastAsia"/>
          <w:sz w:val="24"/>
        </w:rPr>
        <w:t>4．我方在此声明，所递交的投标文件及有关资料内容完整、真实和准确，且不存在第二章“投标人须知”第1.4.3项规定的任何一种情形。</w:t>
      </w:r>
    </w:p>
    <w:p>
      <w:pPr>
        <w:spacing w:line="420" w:lineRule="exact"/>
        <w:ind w:firstLine="480" w:firstLineChars="200"/>
        <w:rPr>
          <w:sz w:val="24"/>
        </w:rPr>
      </w:pPr>
      <w:r>
        <w:rPr>
          <w:rFonts w:hint="eastAsia"/>
          <w:sz w:val="24"/>
        </w:rPr>
        <w:t>5．在合同协议书正式签署生效之前，本投标函连同你方的中标通知书将构成我们双方之间共同遵守的文件，对双方具有约束力。</w:t>
      </w:r>
    </w:p>
    <w:p>
      <w:pPr>
        <w:spacing w:line="440" w:lineRule="exact"/>
        <w:ind w:left="420"/>
        <w:rPr>
          <w:rFonts w:ascii="宋体" w:hAnsi="宋体"/>
          <w:kern w:val="0"/>
          <w:sz w:val="24"/>
        </w:rPr>
      </w:pPr>
      <w:r>
        <w:rPr>
          <w:rFonts w:hint="eastAsia"/>
          <w:sz w:val="24"/>
        </w:rPr>
        <w:t>6．</w:t>
      </w:r>
      <w:r>
        <w:rPr>
          <w:rFonts w:hint="eastAsia" w:ascii="宋体" w:hAnsi="宋体"/>
          <w:kern w:val="0"/>
          <w:sz w:val="24"/>
        </w:rPr>
        <w:t>（其他补充说明）。</w:t>
      </w:r>
    </w:p>
    <w:p>
      <w:pPr>
        <w:spacing w:line="240" w:lineRule="exact"/>
        <w:ind w:firstLine="480" w:firstLineChars="200"/>
        <w:rPr>
          <w:sz w:val="24"/>
        </w:rPr>
      </w:pPr>
    </w:p>
    <w:p>
      <w:pPr>
        <w:spacing w:line="420" w:lineRule="exact"/>
        <w:ind w:firstLine="2640" w:firstLineChars="1100"/>
        <w:rPr>
          <w:sz w:val="24"/>
        </w:rPr>
      </w:pPr>
      <w:r>
        <w:rPr>
          <w:rFonts w:hint="eastAsia"/>
          <w:sz w:val="24"/>
        </w:rPr>
        <w:t>投标人：（全称并盖单位电子公章）</w:t>
      </w:r>
    </w:p>
    <w:p>
      <w:pPr>
        <w:spacing w:line="360" w:lineRule="exact"/>
        <w:ind w:firstLine="2640" w:firstLineChars="1100"/>
        <w:rPr>
          <w:sz w:val="24"/>
        </w:rPr>
      </w:pPr>
      <w:r>
        <w:rPr>
          <w:rFonts w:hint="eastAsia"/>
          <w:sz w:val="24"/>
        </w:rPr>
        <w:t>法定代表人：（盖法定代表人电子章）</w:t>
      </w:r>
    </w:p>
    <w:p>
      <w:pPr>
        <w:spacing w:line="420" w:lineRule="exact"/>
        <w:ind w:firstLine="2640" w:firstLineChars="1100"/>
        <w:rPr>
          <w:sz w:val="24"/>
        </w:rPr>
      </w:pPr>
      <w:r>
        <w:rPr>
          <w:rFonts w:hint="eastAsia"/>
          <w:sz w:val="24"/>
        </w:rPr>
        <w:t>地址：</w:t>
      </w:r>
    </w:p>
    <w:p>
      <w:pPr>
        <w:spacing w:line="420" w:lineRule="exact"/>
        <w:ind w:firstLine="2640" w:firstLineChars="1100"/>
        <w:rPr>
          <w:sz w:val="24"/>
        </w:rPr>
      </w:pPr>
      <w:r>
        <w:rPr>
          <w:rFonts w:hint="eastAsia"/>
          <w:sz w:val="24"/>
        </w:rPr>
        <w:t>网址：</w:t>
      </w:r>
    </w:p>
    <w:p>
      <w:pPr>
        <w:spacing w:line="420" w:lineRule="exact"/>
        <w:ind w:firstLine="2640" w:firstLineChars="1100"/>
        <w:rPr>
          <w:sz w:val="24"/>
        </w:rPr>
      </w:pPr>
      <w:r>
        <w:rPr>
          <w:rFonts w:hint="eastAsia"/>
          <w:sz w:val="24"/>
        </w:rPr>
        <w:t>电话：</w:t>
      </w:r>
    </w:p>
    <w:p>
      <w:pPr>
        <w:spacing w:line="420" w:lineRule="exact"/>
        <w:ind w:firstLine="2640" w:firstLineChars="1100"/>
        <w:rPr>
          <w:sz w:val="24"/>
        </w:rPr>
      </w:pPr>
      <w:r>
        <w:rPr>
          <w:rFonts w:hint="eastAsia"/>
          <w:sz w:val="24"/>
        </w:rPr>
        <w:t>传真：</w:t>
      </w:r>
    </w:p>
    <w:p>
      <w:pPr>
        <w:spacing w:line="420" w:lineRule="exact"/>
        <w:ind w:firstLine="2640" w:firstLineChars="1100"/>
        <w:rPr>
          <w:sz w:val="24"/>
        </w:rPr>
      </w:pPr>
      <w:r>
        <w:rPr>
          <w:rFonts w:hint="eastAsia"/>
          <w:sz w:val="24"/>
        </w:rPr>
        <w:t>邮政编码：</w:t>
      </w:r>
    </w:p>
    <w:p>
      <w:pPr>
        <w:spacing w:line="500" w:lineRule="exact"/>
        <w:ind w:left="420" w:right="840"/>
        <w:jc w:val="center"/>
        <w:rPr>
          <w:sz w:val="24"/>
        </w:rPr>
      </w:pPr>
      <w:r>
        <w:rPr>
          <w:sz w:val="24"/>
        </w:rPr>
        <w:t>年月日</w:t>
      </w:r>
    </w:p>
    <w:p>
      <w:pPr>
        <w:widowControl/>
        <w:spacing w:line="420" w:lineRule="exact"/>
        <w:ind w:firstLine="2640" w:firstLineChars="1100"/>
        <w:jc w:val="left"/>
        <w:rPr>
          <w:sz w:val="24"/>
        </w:rPr>
      </w:pPr>
      <w:bookmarkStart w:id="6961" w:name="_Toc282779867"/>
      <w:bookmarkStart w:id="6962" w:name="_Toc283794555"/>
      <w:bookmarkStart w:id="6963" w:name="_Toc282779358"/>
      <w:bookmarkStart w:id="6964" w:name="_Toc288547011"/>
      <w:bookmarkStart w:id="6965" w:name="_Toc288491886"/>
      <w:bookmarkStart w:id="6966" w:name="_Toc282787822"/>
      <w:bookmarkStart w:id="6967" w:name="_Toc287853708"/>
    </w:p>
    <w:p>
      <w:pPr>
        <w:pStyle w:val="6"/>
        <w:spacing w:before="0" w:after="0" w:line="360" w:lineRule="auto"/>
        <w:jc w:val="center"/>
        <w:rPr>
          <w:rFonts w:ascii="黑体" w:eastAsia="黑体"/>
          <w:b w:val="0"/>
          <w:sz w:val="28"/>
          <w:szCs w:val="28"/>
        </w:rPr>
      </w:pPr>
      <w:bookmarkStart w:id="6968" w:name="_Toc23890"/>
      <w:bookmarkStart w:id="6969" w:name="_Toc31293"/>
      <w:bookmarkStart w:id="6970" w:name="_Toc24642"/>
      <w:bookmarkStart w:id="6971" w:name="_Toc31352"/>
      <w:bookmarkStart w:id="6972" w:name="_Toc27121"/>
      <w:bookmarkStart w:id="6973" w:name="_Toc22624"/>
      <w:bookmarkStart w:id="6974" w:name="_Toc31969"/>
      <w:bookmarkStart w:id="6975" w:name="_Toc32589"/>
      <w:bookmarkStart w:id="6976" w:name="_Toc29740"/>
      <w:bookmarkStart w:id="6977" w:name="_Toc31886"/>
      <w:bookmarkStart w:id="6978" w:name="_Toc3630"/>
      <w:bookmarkStart w:id="6979" w:name="_Toc2724"/>
      <w:bookmarkStart w:id="6980" w:name="_Toc22238"/>
      <w:bookmarkStart w:id="6981" w:name="_Toc14342"/>
      <w:bookmarkStart w:id="6982" w:name="_Toc25323"/>
      <w:bookmarkStart w:id="6983" w:name="_Toc30027"/>
      <w:bookmarkStart w:id="6984" w:name="_Toc6058"/>
      <w:bookmarkStart w:id="6985" w:name="_Toc6276"/>
      <w:r>
        <w:rPr>
          <w:rFonts w:hint="eastAsia" w:ascii="黑体" w:eastAsia="黑体"/>
          <w:b w:val="0"/>
          <w:sz w:val="28"/>
          <w:szCs w:val="28"/>
        </w:rPr>
        <w:t>（二）投标函附录</w:t>
      </w:r>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p>
    <w:tbl>
      <w:tblPr>
        <w:tblStyle w:val="20"/>
        <w:tblW w:w="9052" w:type="dxa"/>
        <w:tblInd w:w="9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20"/>
        <w:gridCol w:w="2902"/>
        <w:gridCol w:w="1311"/>
        <w:gridCol w:w="3222"/>
        <w:gridCol w:w="6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0" w:hRule="atLeast"/>
        </w:trPr>
        <w:tc>
          <w:tcPr>
            <w:tcW w:w="920" w:type="dxa"/>
            <w:vAlign w:val="center"/>
          </w:tcPr>
          <w:p>
            <w:pPr>
              <w:spacing w:line="240" w:lineRule="exact"/>
              <w:jc w:val="center"/>
              <w:rPr>
                <w:szCs w:val="21"/>
              </w:rPr>
            </w:pPr>
            <w:r>
              <w:rPr>
                <w:rFonts w:hint="eastAsia"/>
                <w:szCs w:val="21"/>
              </w:rPr>
              <w:t>序号</w:t>
            </w:r>
          </w:p>
        </w:tc>
        <w:tc>
          <w:tcPr>
            <w:tcW w:w="2902" w:type="dxa"/>
            <w:vAlign w:val="center"/>
          </w:tcPr>
          <w:p>
            <w:pPr>
              <w:spacing w:line="240" w:lineRule="exact"/>
              <w:jc w:val="center"/>
              <w:rPr>
                <w:szCs w:val="21"/>
              </w:rPr>
            </w:pPr>
            <w:r>
              <w:rPr>
                <w:rFonts w:hint="eastAsia"/>
                <w:szCs w:val="21"/>
              </w:rPr>
              <w:t>条款名称</w:t>
            </w:r>
          </w:p>
        </w:tc>
        <w:tc>
          <w:tcPr>
            <w:tcW w:w="1311" w:type="dxa"/>
            <w:vAlign w:val="center"/>
          </w:tcPr>
          <w:p>
            <w:pPr>
              <w:spacing w:line="240" w:lineRule="exact"/>
              <w:jc w:val="center"/>
              <w:rPr>
                <w:szCs w:val="21"/>
              </w:rPr>
            </w:pPr>
            <w:r>
              <w:rPr>
                <w:rFonts w:hint="eastAsia"/>
                <w:szCs w:val="21"/>
              </w:rPr>
              <w:t>合同条目号</w:t>
            </w:r>
          </w:p>
        </w:tc>
        <w:tc>
          <w:tcPr>
            <w:tcW w:w="3222" w:type="dxa"/>
            <w:vAlign w:val="center"/>
          </w:tcPr>
          <w:p>
            <w:pPr>
              <w:spacing w:line="240" w:lineRule="exact"/>
              <w:jc w:val="center"/>
              <w:rPr>
                <w:szCs w:val="21"/>
              </w:rPr>
            </w:pPr>
            <w:r>
              <w:rPr>
                <w:rFonts w:hint="eastAsia"/>
                <w:szCs w:val="21"/>
              </w:rPr>
              <w:t>约定内容</w:t>
            </w:r>
          </w:p>
        </w:tc>
        <w:tc>
          <w:tcPr>
            <w:tcW w:w="697" w:type="dxa"/>
            <w:vAlign w:val="center"/>
          </w:tcPr>
          <w:p>
            <w:pPr>
              <w:spacing w:line="240" w:lineRule="exact"/>
              <w:jc w:val="center"/>
              <w:rPr>
                <w:szCs w:val="21"/>
              </w:rPr>
            </w:pPr>
            <w:r>
              <w:rPr>
                <w:rFonts w:hint="eastAsia"/>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20" w:hRule="atLeast"/>
        </w:trPr>
        <w:tc>
          <w:tcPr>
            <w:tcW w:w="920" w:type="dxa"/>
            <w:vAlign w:val="center"/>
          </w:tcPr>
          <w:p>
            <w:pPr>
              <w:spacing w:line="240" w:lineRule="exact"/>
              <w:jc w:val="center"/>
              <w:rPr>
                <w:szCs w:val="21"/>
              </w:rPr>
            </w:pPr>
            <w:r>
              <w:rPr>
                <w:rFonts w:hint="eastAsia"/>
                <w:szCs w:val="21"/>
              </w:rPr>
              <w:t>1</w:t>
            </w:r>
          </w:p>
        </w:tc>
        <w:tc>
          <w:tcPr>
            <w:tcW w:w="2902" w:type="dxa"/>
            <w:vAlign w:val="center"/>
          </w:tcPr>
          <w:p>
            <w:pPr>
              <w:spacing w:line="240" w:lineRule="exact"/>
              <w:jc w:val="center"/>
              <w:rPr>
                <w:szCs w:val="21"/>
              </w:rPr>
            </w:pPr>
            <w:r>
              <w:rPr>
                <w:rFonts w:hint="eastAsia"/>
                <w:szCs w:val="21"/>
              </w:rPr>
              <w:t>缺陷责任期</w:t>
            </w:r>
          </w:p>
        </w:tc>
        <w:tc>
          <w:tcPr>
            <w:tcW w:w="1311" w:type="dxa"/>
            <w:vAlign w:val="center"/>
          </w:tcPr>
          <w:p>
            <w:pPr>
              <w:spacing w:line="240" w:lineRule="exact"/>
              <w:jc w:val="center"/>
              <w:rPr>
                <w:szCs w:val="21"/>
              </w:rPr>
            </w:pPr>
            <w:r>
              <w:rPr>
                <w:rFonts w:hint="eastAsia"/>
                <w:szCs w:val="21"/>
              </w:rPr>
              <w:t>1.1.4.5</w:t>
            </w:r>
          </w:p>
        </w:tc>
        <w:tc>
          <w:tcPr>
            <w:tcW w:w="3222" w:type="dxa"/>
            <w:vAlign w:val="center"/>
          </w:tcPr>
          <w:p>
            <w:pPr>
              <w:spacing w:line="300" w:lineRule="exact"/>
              <w:jc w:val="center"/>
              <w:rPr>
                <w:szCs w:val="21"/>
              </w:rPr>
            </w:pPr>
            <w:r>
              <w:rPr>
                <w:rFonts w:hint="eastAsia"/>
                <w:szCs w:val="21"/>
              </w:rPr>
              <w:t>自实际交工日期起计算</w:t>
            </w:r>
            <w:r>
              <w:rPr>
                <w:rFonts w:hint="eastAsia"/>
                <w:szCs w:val="21"/>
                <w:u w:val="single"/>
              </w:rPr>
              <w:t xml:space="preserve">  1  </w:t>
            </w:r>
            <w:r>
              <w:rPr>
                <w:rFonts w:hint="eastAsia"/>
                <w:szCs w:val="21"/>
              </w:rPr>
              <w:t>年</w:t>
            </w:r>
          </w:p>
        </w:tc>
        <w:tc>
          <w:tcPr>
            <w:tcW w:w="697" w:type="dxa"/>
            <w:vAlign w:val="center"/>
          </w:tcPr>
          <w:p>
            <w:pPr>
              <w:spacing w:line="24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4" w:hRule="atLeast"/>
        </w:trPr>
        <w:tc>
          <w:tcPr>
            <w:tcW w:w="920" w:type="dxa"/>
            <w:vAlign w:val="center"/>
          </w:tcPr>
          <w:p>
            <w:pPr>
              <w:spacing w:line="240" w:lineRule="exact"/>
              <w:jc w:val="center"/>
              <w:rPr>
                <w:szCs w:val="21"/>
              </w:rPr>
            </w:pPr>
            <w:r>
              <w:rPr>
                <w:rFonts w:hint="eastAsia"/>
                <w:szCs w:val="21"/>
              </w:rPr>
              <w:t>2</w:t>
            </w:r>
          </w:p>
        </w:tc>
        <w:tc>
          <w:tcPr>
            <w:tcW w:w="2902" w:type="dxa"/>
            <w:vAlign w:val="center"/>
          </w:tcPr>
          <w:p>
            <w:pPr>
              <w:spacing w:line="240" w:lineRule="exact"/>
              <w:jc w:val="center"/>
              <w:rPr>
                <w:szCs w:val="21"/>
              </w:rPr>
            </w:pPr>
            <w:r>
              <w:rPr>
                <w:rFonts w:hint="eastAsia"/>
                <w:szCs w:val="21"/>
              </w:rPr>
              <w:t>逾期交工违约金</w:t>
            </w:r>
          </w:p>
        </w:tc>
        <w:tc>
          <w:tcPr>
            <w:tcW w:w="1311" w:type="dxa"/>
            <w:vAlign w:val="center"/>
          </w:tcPr>
          <w:p>
            <w:pPr>
              <w:spacing w:line="240" w:lineRule="exact"/>
              <w:jc w:val="center"/>
              <w:rPr>
                <w:szCs w:val="21"/>
              </w:rPr>
            </w:pPr>
            <w:r>
              <w:rPr>
                <w:rFonts w:hint="eastAsia"/>
                <w:szCs w:val="21"/>
              </w:rPr>
              <w:t>11.5</w:t>
            </w:r>
          </w:p>
        </w:tc>
        <w:tc>
          <w:tcPr>
            <w:tcW w:w="3222" w:type="dxa"/>
            <w:vAlign w:val="center"/>
          </w:tcPr>
          <w:p>
            <w:pPr>
              <w:spacing w:line="240" w:lineRule="exact"/>
              <w:jc w:val="center"/>
              <w:rPr>
                <w:szCs w:val="21"/>
              </w:rPr>
            </w:pPr>
            <w:r>
              <w:rPr>
                <w:rFonts w:hint="eastAsia"/>
                <w:szCs w:val="21"/>
                <w:highlight w:val="yellow"/>
                <w:u w:val="single"/>
              </w:rPr>
              <w:t>5000</w:t>
            </w:r>
            <w:r>
              <w:rPr>
                <w:rFonts w:hint="eastAsia"/>
                <w:szCs w:val="21"/>
              </w:rPr>
              <w:t>元/天</w:t>
            </w:r>
          </w:p>
        </w:tc>
        <w:tc>
          <w:tcPr>
            <w:tcW w:w="697" w:type="dxa"/>
            <w:vAlign w:val="center"/>
          </w:tcPr>
          <w:p>
            <w:pPr>
              <w:spacing w:line="24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4" w:hRule="atLeast"/>
        </w:trPr>
        <w:tc>
          <w:tcPr>
            <w:tcW w:w="920" w:type="dxa"/>
            <w:vAlign w:val="center"/>
          </w:tcPr>
          <w:p>
            <w:pPr>
              <w:spacing w:line="240" w:lineRule="exact"/>
              <w:jc w:val="center"/>
              <w:rPr>
                <w:szCs w:val="21"/>
              </w:rPr>
            </w:pPr>
            <w:r>
              <w:rPr>
                <w:rFonts w:hint="eastAsia"/>
                <w:szCs w:val="21"/>
              </w:rPr>
              <w:t>3</w:t>
            </w:r>
          </w:p>
        </w:tc>
        <w:tc>
          <w:tcPr>
            <w:tcW w:w="2902" w:type="dxa"/>
            <w:vAlign w:val="center"/>
          </w:tcPr>
          <w:p>
            <w:pPr>
              <w:spacing w:line="240" w:lineRule="exact"/>
              <w:jc w:val="center"/>
              <w:rPr>
                <w:szCs w:val="21"/>
              </w:rPr>
            </w:pPr>
            <w:r>
              <w:rPr>
                <w:rFonts w:hint="eastAsia"/>
                <w:szCs w:val="21"/>
              </w:rPr>
              <w:t>逾期交工违约金限额</w:t>
            </w:r>
          </w:p>
        </w:tc>
        <w:tc>
          <w:tcPr>
            <w:tcW w:w="1311" w:type="dxa"/>
            <w:vAlign w:val="center"/>
          </w:tcPr>
          <w:p>
            <w:pPr>
              <w:spacing w:line="240" w:lineRule="exact"/>
              <w:jc w:val="center"/>
              <w:rPr>
                <w:szCs w:val="21"/>
              </w:rPr>
            </w:pPr>
            <w:r>
              <w:rPr>
                <w:rFonts w:hint="eastAsia"/>
                <w:szCs w:val="21"/>
              </w:rPr>
              <w:t>11.5</w:t>
            </w:r>
          </w:p>
        </w:tc>
        <w:tc>
          <w:tcPr>
            <w:tcW w:w="3222" w:type="dxa"/>
            <w:vAlign w:val="center"/>
          </w:tcPr>
          <w:p>
            <w:pPr>
              <w:spacing w:line="240" w:lineRule="exact"/>
              <w:jc w:val="center"/>
              <w:rPr>
                <w:szCs w:val="21"/>
                <w:u w:val="single"/>
              </w:rPr>
            </w:pPr>
            <w:r>
              <w:rPr>
                <w:rFonts w:hint="eastAsia"/>
                <w:szCs w:val="21"/>
                <w:u w:val="single"/>
              </w:rPr>
              <w:t>10</w:t>
            </w:r>
            <w:r>
              <w:rPr>
                <w:szCs w:val="21"/>
              </w:rPr>
              <w:t xml:space="preserve"> /  </w:t>
            </w:r>
            <w:r>
              <w:rPr>
                <w:szCs w:val="21"/>
                <w:u w:val="single"/>
              </w:rPr>
              <w:t>%签约合同价</w:t>
            </w:r>
          </w:p>
        </w:tc>
        <w:tc>
          <w:tcPr>
            <w:tcW w:w="697" w:type="dxa"/>
            <w:vAlign w:val="center"/>
          </w:tcPr>
          <w:p>
            <w:pPr>
              <w:spacing w:line="24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4" w:hRule="atLeast"/>
        </w:trPr>
        <w:tc>
          <w:tcPr>
            <w:tcW w:w="920" w:type="dxa"/>
            <w:vAlign w:val="center"/>
          </w:tcPr>
          <w:p>
            <w:pPr>
              <w:spacing w:line="240" w:lineRule="exact"/>
              <w:jc w:val="center"/>
              <w:rPr>
                <w:szCs w:val="21"/>
              </w:rPr>
            </w:pPr>
            <w:r>
              <w:rPr>
                <w:rFonts w:hint="eastAsia"/>
                <w:szCs w:val="21"/>
              </w:rPr>
              <w:t>4</w:t>
            </w:r>
          </w:p>
        </w:tc>
        <w:tc>
          <w:tcPr>
            <w:tcW w:w="2902" w:type="dxa"/>
            <w:vAlign w:val="center"/>
          </w:tcPr>
          <w:p>
            <w:pPr>
              <w:spacing w:line="240" w:lineRule="exact"/>
              <w:jc w:val="center"/>
              <w:rPr>
                <w:szCs w:val="21"/>
              </w:rPr>
            </w:pPr>
            <w:r>
              <w:rPr>
                <w:rFonts w:hint="eastAsia"/>
                <w:szCs w:val="21"/>
              </w:rPr>
              <w:t>提前交工的奖金</w:t>
            </w:r>
          </w:p>
        </w:tc>
        <w:tc>
          <w:tcPr>
            <w:tcW w:w="1311" w:type="dxa"/>
            <w:vAlign w:val="center"/>
          </w:tcPr>
          <w:p>
            <w:pPr>
              <w:spacing w:line="240" w:lineRule="exact"/>
              <w:jc w:val="center"/>
              <w:rPr>
                <w:szCs w:val="21"/>
              </w:rPr>
            </w:pPr>
            <w:r>
              <w:rPr>
                <w:rFonts w:hint="eastAsia"/>
                <w:szCs w:val="21"/>
              </w:rPr>
              <w:t>11.6</w:t>
            </w:r>
          </w:p>
        </w:tc>
        <w:tc>
          <w:tcPr>
            <w:tcW w:w="3222" w:type="dxa"/>
            <w:vAlign w:val="center"/>
          </w:tcPr>
          <w:p>
            <w:pPr>
              <w:spacing w:line="240" w:lineRule="exact"/>
              <w:jc w:val="center"/>
              <w:rPr>
                <w:szCs w:val="21"/>
              </w:rPr>
            </w:pPr>
            <w:r>
              <w:rPr>
                <w:rFonts w:hint="eastAsia"/>
                <w:szCs w:val="21"/>
                <w:u w:val="single"/>
              </w:rPr>
              <w:t xml:space="preserve">   0   </w:t>
            </w:r>
            <w:r>
              <w:rPr>
                <w:rFonts w:hint="eastAsia"/>
                <w:szCs w:val="21"/>
              </w:rPr>
              <w:t>元/天</w:t>
            </w:r>
          </w:p>
        </w:tc>
        <w:tc>
          <w:tcPr>
            <w:tcW w:w="697" w:type="dxa"/>
            <w:vAlign w:val="center"/>
          </w:tcPr>
          <w:p>
            <w:pPr>
              <w:spacing w:line="24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4" w:hRule="atLeast"/>
        </w:trPr>
        <w:tc>
          <w:tcPr>
            <w:tcW w:w="920" w:type="dxa"/>
            <w:vAlign w:val="center"/>
          </w:tcPr>
          <w:p>
            <w:pPr>
              <w:spacing w:line="240" w:lineRule="exact"/>
              <w:jc w:val="center"/>
              <w:rPr>
                <w:szCs w:val="21"/>
              </w:rPr>
            </w:pPr>
            <w:r>
              <w:rPr>
                <w:rFonts w:hint="eastAsia"/>
                <w:szCs w:val="21"/>
              </w:rPr>
              <w:t>5</w:t>
            </w:r>
          </w:p>
        </w:tc>
        <w:tc>
          <w:tcPr>
            <w:tcW w:w="2902" w:type="dxa"/>
            <w:vAlign w:val="center"/>
          </w:tcPr>
          <w:p>
            <w:pPr>
              <w:spacing w:line="240" w:lineRule="exact"/>
              <w:jc w:val="center"/>
              <w:rPr>
                <w:szCs w:val="21"/>
              </w:rPr>
            </w:pPr>
            <w:r>
              <w:rPr>
                <w:rFonts w:hint="eastAsia"/>
                <w:szCs w:val="21"/>
              </w:rPr>
              <w:t>提前交工的奖金限额</w:t>
            </w:r>
          </w:p>
        </w:tc>
        <w:tc>
          <w:tcPr>
            <w:tcW w:w="1311" w:type="dxa"/>
            <w:vAlign w:val="center"/>
          </w:tcPr>
          <w:p>
            <w:pPr>
              <w:spacing w:line="240" w:lineRule="exact"/>
              <w:jc w:val="center"/>
              <w:rPr>
                <w:szCs w:val="21"/>
              </w:rPr>
            </w:pPr>
            <w:r>
              <w:rPr>
                <w:rFonts w:hint="eastAsia"/>
                <w:szCs w:val="21"/>
              </w:rPr>
              <w:t>11.6</w:t>
            </w:r>
          </w:p>
        </w:tc>
        <w:tc>
          <w:tcPr>
            <w:tcW w:w="3222" w:type="dxa"/>
            <w:vAlign w:val="center"/>
          </w:tcPr>
          <w:p>
            <w:pPr>
              <w:spacing w:line="240" w:lineRule="exact"/>
              <w:jc w:val="center"/>
              <w:rPr>
                <w:szCs w:val="21"/>
                <w:u w:val="single"/>
              </w:rPr>
            </w:pPr>
            <w:r>
              <w:rPr>
                <w:rFonts w:hint="eastAsia"/>
                <w:szCs w:val="21"/>
                <w:u w:val="single"/>
              </w:rPr>
              <w:t xml:space="preserve">  0 </w:t>
            </w:r>
            <w:r>
              <w:rPr>
                <w:rFonts w:hint="eastAsia"/>
                <w:szCs w:val="21"/>
              </w:rPr>
              <w:t>%签约合同价</w:t>
            </w:r>
          </w:p>
        </w:tc>
        <w:tc>
          <w:tcPr>
            <w:tcW w:w="697" w:type="dxa"/>
            <w:vAlign w:val="center"/>
          </w:tcPr>
          <w:p>
            <w:pPr>
              <w:spacing w:line="24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4" w:hRule="atLeast"/>
        </w:trPr>
        <w:tc>
          <w:tcPr>
            <w:tcW w:w="920" w:type="dxa"/>
            <w:vAlign w:val="center"/>
          </w:tcPr>
          <w:p>
            <w:pPr>
              <w:spacing w:line="240" w:lineRule="exact"/>
              <w:jc w:val="center"/>
              <w:rPr>
                <w:szCs w:val="21"/>
              </w:rPr>
            </w:pPr>
            <w:r>
              <w:rPr>
                <w:rFonts w:hint="eastAsia"/>
                <w:szCs w:val="21"/>
              </w:rPr>
              <w:t>6</w:t>
            </w:r>
          </w:p>
        </w:tc>
        <w:tc>
          <w:tcPr>
            <w:tcW w:w="2902" w:type="dxa"/>
            <w:vAlign w:val="center"/>
          </w:tcPr>
          <w:p>
            <w:pPr>
              <w:spacing w:line="240" w:lineRule="exact"/>
              <w:jc w:val="center"/>
              <w:rPr>
                <w:szCs w:val="21"/>
              </w:rPr>
            </w:pPr>
            <w:r>
              <w:rPr>
                <w:rFonts w:hint="eastAsia"/>
                <w:szCs w:val="21"/>
              </w:rPr>
              <w:t>价格调整的差额计算</w:t>
            </w:r>
          </w:p>
        </w:tc>
        <w:tc>
          <w:tcPr>
            <w:tcW w:w="1311" w:type="dxa"/>
            <w:vAlign w:val="center"/>
          </w:tcPr>
          <w:p>
            <w:pPr>
              <w:spacing w:line="240" w:lineRule="exact"/>
              <w:jc w:val="center"/>
              <w:rPr>
                <w:szCs w:val="21"/>
              </w:rPr>
            </w:pPr>
            <w:r>
              <w:rPr>
                <w:rFonts w:hint="eastAsia"/>
                <w:szCs w:val="21"/>
              </w:rPr>
              <w:t>16.1</w:t>
            </w:r>
          </w:p>
        </w:tc>
        <w:tc>
          <w:tcPr>
            <w:tcW w:w="3222" w:type="dxa"/>
            <w:vAlign w:val="center"/>
          </w:tcPr>
          <w:p>
            <w:pPr>
              <w:spacing w:line="240" w:lineRule="exact"/>
              <w:jc w:val="center"/>
              <w:rPr>
                <w:szCs w:val="21"/>
              </w:rPr>
            </w:pPr>
            <w:r>
              <w:rPr>
                <w:rFonts w:hint="eastAsia"/>
                <w:szCs w:val="21"/>
                <w:highlight w:val="yellow"/>
              </w:rPr>
              <w:t>本项目不适用</w:t>
            </w:r>
          </w:p>
        </w:tc>
        <w:tc>
          <w:tcPr>
            <w:tcW w:w="697" w:type="dxa"/>
            <w:vAlign w:val="center"/>
          </w:tcPr>
          <w:p>
            <w:pPr>
              <w:spacing w:line="24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4" w:hRule="atLeast"/>
        </w:trPr>
        <w:tc>
          <w:tcPr>
            <w:tcW w:w="920" w:type="dxa"/>
            <w:vAlign w:val="center"/>
          </w:tcPr>
          <w:p>
            <w:pPr>
              <w:spacing w:line="240" w:lineRule="exact"/>
              <w:jc w:val="center"/>
              <w:rPr>
                <w:szCs w:val="21"/>
              </w:rPr>
            </w:pPr>
            <w:r>
              <w:rPr>
                <w:rFonts w:hint="eastAsia"/>
                <w:szCs w:val="21"/>
              </w:rPr>
              <w:t>7</w:t>
            </w:r>
          </w:p>
        </w:tc>
        <w:tc>
          <w:tcPr>
            <w:tcW w:w="2902" w:type="dxa"/>
            <w:vAlign w:val="center"/>
          </w:tcPr>
          <w:p>
            <w:pPr>
              <w:spacing w:line="240" w:lineRule="exact"/>
              <w:jc w:val="center"/>
              <w:rPr>
                <w:szCs w:val="21"/>
              </w:rPr>
            </w:pPr>
            <w:r>
              <w:rPr>
                <w:rFonts w:hint="eastAsia"/>
                <w:szCs w:val="21"/>
              </w:rPr>
              <w:t>开工预付款金额</w:t>
            </w:r>
          </w:p>
        </w:tc>
        <w:tc>
          <w:tcPr>
            <w:tcW w:w="1311" w:type="dxa"/>
            <w:vAlign w:val="center"/>
          </w:tcPr>
          <w:p>
            <w:pPr>
              <w:spacing w:line="240" w:lineRule="exact"/>
              <w:jc w:val="center"/>
              <w:rPr>
                <w:szCs w:val="21"/>
              </w:rPr>
            </w:pPr>
            <w:r>
              <w:rPr>
                <w:rFonts w:hint="eastAsia"/>
                <w:szCs w:val="21"/>
              </w:rPr>
              <w:t>17.2.1</w:t>
            </w:r>
          </w:p>
        </w:tc>
        <w:tc>
          <w:tcPr>
            <w:tcW w:w="3222" w:type="dxa"/>
            <w:vAlign w:val="center"/>
          </w:tcPr>
          <w:p>
            <w:pPr>
              <w:spacing w:line="240" w:lineRule="exact"/>
              <w:jc w:val="center"/>
              <w:rPr>
                <w:szCs w:val="21"/>
              </w:rPr>
            </w:pPr>
            <w:r>
              <w:rPr>
                <w:rFonts w:hint="eastAsia" w:asciiTheme="minorEastAsia" w:hAnsiTheme="minorEastAsia" w:eastAsiaTheme="minorEastAsia" w:cstheme="minorEastAsia"/>
                <w:szCs w:val="21"/>
                <w:u w:val="single"/>
              </w:rPr>
              <w:t>30</w:t>
            </w:r>
            <w:r>
              <w:rPr>
                <w:rFonts w:hint="eastAsia"/>
                <w:szCs w:val="21"/>
                <w:u w:val="single"/>
              </w:rPr>
              <w:t>%签约合同价</w:t>
            </w:r>
          </w:p>
        </w:tc>
        <w:tc>
          <w:tcPr>
            <w:tcW w:w="697" w:type="dxa"/>
            <w:vAlign w:val="center"/>
          </w:tcPr>
          <w:p>
            <w:pPr>
              <w:spacing w:line="24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91" w:hRule="atLeast"/>
        </w:trPr>
        <w:tc>
          <w:tcPr>
            <w:tcW w:w="920" w:type="dxa"/>
            <w:vAlign w:val="center"/>
          </w:tcPr>
          <w:p>
            <w:pPr>
              <w:spacing w:line="240" w:lineRule="exact"/>
              <w:jc w:val="center"/>
              <w:rPr>
                <w:szCs w:val="21"/>
              </w:rPr>
            </w:pPr>
            <w:r>
              <w:rPr>
                <w:rFonts w:hint="eastAsia"/>
                <w:szCs w:val="21"/>
              </w:rPr>
              <w:t>8</w:t>
            </w:r>
          </w:p>
        </w:tc>
        <w:tc>
          <w:tcPr>
            <w:tcW w:w="2902" w:type="dxa"/>
            <w:vAlign w:val="center"/>
          </w:tcPr>
          <w:p>
            <w:pPr>
              <w:spacing w:line="240" w:lineRule="exact"/>
              <w:jc w:val="center"/>
              <w:rPr>
                <w:szCs w:val="21"/>
              </w:rPr>
            </w:pPr>
            <w:r>
              <w:rPr>
                <w:rFonts w:hint="eastAsia"/>
                <w:szCs w:val="21"/>
              </w:rPr>
              <w:t>材料预付款比例</w:t>
            </w:r>
          </w:p>
        </w:tc>
        <w:tc>
          <w:tcPr>
            <w:tcW w:w="1311" w:type="dxa"/>
            <w:vAlign w:val="center"/>
          </w:tcPr>
          <w:p>
            <w:pPr>
              <w:spacing w:line="240" w:lineRule="exact"/>
              <w:jc w:val="center"/>
              <w:rPr>
                <w:szCs w:val="21"/>
              </w:rPr>
            </w:pPr>
            <w:r>
              <w:rPr>
                <w:rFonts w:hint="eastAsia"/>
                <w:szCs w:val="21"/>
              </w:rPr>
              <w:t>17.2.1</w:t>
            </w:r>
          </w:p>
        </w:tc>
        <w:tc>
          <w:tcPr>
            <w:tcW w:w="3222" w:type="dxa"/>
            <w:vAlign w:val="center"/>
          </w:tcPr>
          <w:p>
            <w:pPr>
              <w:spacing w:line="300" w:lineRule="exact"/>
              <w:ind w:firstLine="210" w:firstLineChars="100"/>
              <w:rPr>
                <w:szCs w:val="21"/>
              </w:rPr>
            </w:pPr>
            <w:r>
              <w:rPr>
                <w:rFonts w:hint="eastAsia"/>
                <w:szCs w:val="21"/>
                <w:u w:val="single"/>
              </w:rPr>
              <w:t xml:space="preserve">    /   </w:t>
            </w:r>
            <w:r>
              <w:rPr>
                <w:rFonts w:hint="eastAsia"/>
                <w:szCs w:val="21"/>
              </w:rPr>
              <w:t>等主要材料单价所列费用的</w:t>
            </w:r>
            <w:r>
              <w:rPr>
                <w:rFonts w:hint="eastAsia"/>
                <w:szCs w:val="21"/>
                <w:u w:val="single"/>
              </w:rPr>
              <w:t xml:space="preserve">   /    </w:t>
            </w:r>
            <w:r>
              <w:rPr>
                <w:rFonts w:hint="eastAsia"/>
                <w:szCs w:val="21"/>
              </w:rPr>
              <w:t>%</w:t>
            </w:r>
          </w:p>
        </w:tc>
        <w:tc>
          <w:tcPr>
            <w:tcW w:w="697" w:type="dxa"/>
            <w:vAlign w:val="center"/>
          </w:tcPr>
          <w:p>
            <w:pPr>
              <w:spacing w:line="24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4" w:hRule="atLeast"/>
        </w:trPr>
        <w:tc>
          <w:tcPr>
            <w:tcW w:w="920" w:type="dxa"/>
            <w:vAlign w:val="center"/>
          </w:tcPr>
          <w:p>
            <w:pPr>
              <w:spacing w:line="240" w:lineRule="exact"/>
              <w:jc w:val="center"/>
              <w:rPr>
                <w:szCs w:val="21"/>
              </w:rPr>
            </w:pPr>
            <w:r>
              <w:rPr>
                <w:rFonts w:hint="eastAsia"/>
                <w:szCs w:val="21"/>
              </w:rPr>
              <w:t>9</w:t>
            </w:r>
          </w:p>
        </w:tc>
        <w:tc>
          <w:tcPr>
            <w:tcW w:w="2902" w:type="dxa"/>
            <w:vAlign w:val="center"/>
          </w:tcPr>
          <w:p>
            <w:pPr>
              <w:spacing w:line="240" w:lineRule="exact"/>
              <w:jc w:val="center"/>
              <w:rPr>
                <w:szCs w:val="21"/>
              </w:rPr>
            </w:pPr>
            <w:r>
              <w:rPr>
                <w:rFonts w:hint="eastAsia"/>
                <w:szCs w:val="21"/>
              </w:rPr>
              <w:t>进度付款证书最低限额</w:t>
            </w:r>
          </w:p>
        </w:tc>
        <w:tc>
          <w:tcPr>
            <w:tcW w:w="1311" w:type="dxa"/>
            <w:vAlign w:val="center"/>
          </w:tcPr>
          <w:p>
            <w:pPr>
              <w:spacing w:line="240" w:lineRule="exact"/>
              <w:jc w:val="center"/>
              <w:rPr>
                <w:szCs w:val="21"/>
              </w:rPr>
            </w:pPr>
            <w:r>
              <w:rPr>
                <w:rFonts w:hint="eastAsia"/>
                <w:szCs w:val="21"/>
              </w:rPr>
              <w:t>17.3.3（1）</w:t>
            </w:r>
          </w:p>
        </w:tc>
        <w:tc>
          <w:tcPr>
            <w:tcW w:w="3222" w:type="dxa"/>
            <w:vAlign w:val="center"/>
          </w:tcPr>
          <w:p>
            <w:pPr>
              <w:spacing w:line="300" w:lineRule="exact"/>
              <w:jc w:val="center"/>
              <w:rPr>
                <w:szCs w:val="21"/>
              </w:rPr>
            </w:pPr>
            <w:r>
              <w:rPr>
                <w:rFonts w:hint="eastAsia"/>
                <w:szCs w:val="21"/>
                <w:u w:val="single"/>
              </w:rPr>
              <w:t xml:space="preserve">  /  %</w:t>
            </w:r>
            <w:r>
              <w:rPr>
                <w:rFonts w:hint="eastAsia"/>
                <w:szCs w:val="21"/>
              </w:rPr>
              <w:t>签约合同价</w:t>
            </w:r>
          </w:p>
        </w:tc>
        <w:tc>
          <w:tcPr>
            <w:tcW w:w="697" w:type="dxa"/>
            <w:vAlign w:val="center"/>
          </w:tcPr>
          <w:p>
            <w:pPr>
              <w:spacing w:line="24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4" w:hRule="atLeast"/>
        </w:trPr>
        <w:tc>
          <w:tcPr>
            <w:tcW w:w="920" w:type="dxa"/>
            <w:vAlign w:val="center"/>
          </w:tcPr>
          <w:p>
            <w:pPr>
              <w:spacing w:line="240" w:lineRule="exact"/>
              <w:jc w:val="center"/>
              <w:rPr>
                <w:szCs w:val="21"/>
              </w:rPr>
            </w:pPr>
            <w:r>
              <w:rPr>
                <w:rFonts w:hint="eastAsia"/>
                <w:szCs w:val="21"/>
              </w:rPr>
              <w:t>10</w:t>
            </w:r>
          </w:p>
        </w:tc>
        <w:tc>
          <w:tcPr>
            <w:tcW w:w="2902" w:type="dxa"/>
            <w:vAlign w:val="center"/>
          </w:tcPr>
          <w:p>
            <w:pPr>
              <w:spacing w:line="240" w:lineRule="exact"/>
              <w:jc w:val="center"/>
              <w:rPr>
                <w:szCs w:val="21"/>
              </w:rPr>
            </w:pPr>
            <w:r>
              <w:rPr>
                <w:rFonts w:hint="eastAsia"/>
                <w:szCs w:val="21"/>
              </w:rPr>
              <w:t>逾期付款违约金的利率</w:t>
            </w:r>
          </w:p>
        </w:tc>
        <w:tc>
          <w:tcPr>
            <w:tcW w:w="1311" w:type="dxa"/>
            <w:vAlign w:val="center"/>
          </w:tcPr>
          <w:p>
            <w:pPr>
              <w:spacing w:line="240" w:lineRule="exact"/>
              <w:jc w:val="center"/>
              <w:rPr>
                <w:szCs w:val="21"/>
              </w:rPr>
            </w:pPr>
            <w:r>
              <w:rPr>
                <w:rFonts w:hint="eastAsia"/>
                <w:szCs w:val="21"/>
              </w:rPr>
              <w:t>17.3.3（2）</w:t>
            </w:r>
          </w:p>
        </w:tc>
        <w:tc>
          <w:tcPr>
            <w:tcW w:w="3222" w:type="dxa"/>
            <w:vAlign w:val="center"/>
          </w:tcPr>
          <w:p>
            <w:pPr>
              <w:pStyle w:val="45"/>
              <w:spacing w:line="235" w:lineRule="exact"/>
              <w:jc w:val="center"/>
              <w:rPr>
                <w:szCs w:val="21"/>
              </w:rPr>
            </w:pPr>
            <w:r>
              <w:rPr>
                <w:rFonts w:hint="eastAsia" w:ascii="Times New Roman" w:hAnsi="Times New Roman" w:cs="Times New Roman"/>
                <w:szCs w:val="21"/>
              </w:rPr>
              <w:t>按同期中国人民银行短期贷款利率</w:t>
            </w:r>
          </w:p>
        </w:tc>
        <w:tc>
          <w:tcPr>
            <w:tcW w:w="697" w:type="dxa"/>
            <w:vAlign w:val="center"/>
          </w:tcPr>
          <w:p>
            <w:pPr>
              <w:spacing w:line="24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4" w:hRule="atLeast"/>
        </w:trPr>
        <w:tc>
          <w:tcPr>
            <w:tcW w:w="920" w:type="dxa"/>
            <w:vAlign w:val="center"/>
          </w:tcPr>
          <w:p>
            <w:pPr>
              <w:spacing w:line="240" w:lineRule="exact"/>
              <w:jc w:val="center"/>
              <w:rPr>
                <w:szCs w:val="21"/>
              </w:rPr>
            </w:pPr>
            <w:r>
              <w:rPr>
                <w:rFonts w:hint="eastAsia"/>
                <w:szCs w:val="21"/>
              </w:rPr>
              <w:t>11</w:t>
            </w:r>
          </w:p>
        </w:tc>
        <w:tc>
          <w:tcPr>
            <w:tcW w:w="2902" w:type="dxa"/>
            <w:vAlign w:val="center"/>
          </w:tcPr>
          <w:p>
            <w:pPr>
              <w:spacing w:line="240" w:lineRule="exact"/>
              <w:jc w:val="center"/>
              <w:rPr>
                <w:szCs w:val="21"/>
              </w:rPr>
            </w:pPr>
            <w:r>
              <w:rPr>
                <w:rFonts w:hint="eastAsia"/>
                <w:szCs w:val="21"/>
              </w:rPr>
              <w:t>质量保证金百分比</w:t>
            </w:r>
          </w:p>
        </w:tc>
        <w:tc>
          <w:tcPr>
            <w:tcW w:w="1311" w:type="dxa"/>
            <w:vAlign w:val="center"/>
          </w:tcPr>
          <w:p>
            <w:pPr>
              <w:spacing w:line="240" w:lineRule="exact"/>
              <w:jc w:val="center"/>
              <w:rPr>
                <w:szCs w:val="21"/>
              </w:rPr>
            </w:pPr>
            <w:r>
              <w:rPr>
                <w:rFonts w:hint="eastAsia"/>
                <w:szCs w:val="21"/>
              </w:rPr>
              <w:t>17.4.1</w:t>
            </w:r>
          </w:p>
        </w:tc>
        <w:tc>
          <w:tcPr>
            <w:tcW w:w="3222" w:type="dxa"/>
            <w:vAlign w:val="center"/>
          </w:tcPr>
          <w:p>
            <w:pPr>
              <w:spacing w:line="240" w:lineRule="exact"/>
              <w:jc w:val="center"/>
              <w:rPr>
                <w:szCs w:val="21"/>
              </w:rPr>
            </w:pPr>
            <w:r>
              <w:rPr>
                <w:rFonts w:hint="eastAsia"/>
                <w:szCs w:val="21"/>
                <w:highlight w:val="yellow"/>
              </w:rPr>
              <w:t>本项目不适用</w:t>
            </w:r>
          </w:p>
        </w:tc>
        <w:tc>
          <w:tcPr>
            <w:tcW w:w="697" w:type="dxa"/>
            <w:vAlign w:val="center"/>
          </w:tcPr>
          <w:p>
            <w:pPr>
              <w:spacing w:line="24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4" w:hRule="atLeast"/>
        </w:trPr>
        <w:tc>
          <w:tcPr>
            <w:tcW w:w="920" w:type="dxa"/>
            <w:vAlign w:val="center"/>
          </w:tcPr>
          <w:p>
            <w:pPr>
              <w:spacing w:line="240" w:lineRule="exact"/>
              <w:jc w:val="center"/>
              <w:rPr>
                <w:szCs w:val="21"/>
              </w:rPr>
            </w:pPr>
            <w:r>
              <w:rPr>
                <w:rFonts w:hint="eastAsia"/>
                <w:szCs w:val="21"/>
              </w:rPr>
              <w:t>12</w:t>
            </w:r>
          </w:p>
        </w:tc>
        <w:tc>
          <w:tcPr>
            <w:tcW w:w="2902" w:type="dxa"/>
            <w:vAlign w:val="center"/>
          </w:tcPr>
          <w:p>
            <w:pPr>
              <w:spacing w:line="240" w:lineRule="exact"/>
              <w:jc w:val="center"/>
              <w:rPr>
                <w:szCs w:val="21"/>
              </w:rPr>
            </w:pPr>
            <w:r>
              <w:rPr>
                <w:rFonts w:hint="eastAsia"/>
                <w:szCs w:val="21"/>
              </w:rPr>
              <w:t>质量保证金限额</w:t>
            </w:r>
          </w:p>
        </w:tc>
        <w:tc>
          <w:tcPr>
            <w:tcW w:w="1311" w:type="dxa"/>
            <w:vAlign w:val="center"/>
          </w:tcPr>
          <w:p>
            <w:pPr>
              <w:spacing w:line="240" w:lineRule="exact"/>
              <w:jc w:val="center"/>
              <w:rPr>
                <w:szCs w:val="21"/>
              </w:rPr>
            </w:pPr>
            <w:r>
              <w:rPr>
                <w:rFonts w:hint="eastAsia"/>
                <w:szCs w:val="21"/>
              </w:rPr>
              <w:t>17.4.1</w:t>
            </w:r>
          </w:p>
        </w:tc>
        <w:tc>
          <w:tcPr>
            <w:tcW w:w="3222" w:type="dxa"/>
            <w:vAlign w:val="center"/>
          </w:tcPr>
          <w:p>
            <w:pPr>
              <w:spacing w:line="300" w:lineRule="exact"/>
              <w:ind w:firstLine="840" w:firstLineChars="400"/>
              <w:rPr>
                <w:szCs w:val="21"/>
              </w:rPr>
            </w:pPr>
            <w:r>
              <w:rPr>
                <w:rFonts w:hint="eastAsia"/>
                <w:szCs w:val="21"/>
                <w:highlight w:val="yellow"/>
              </w:rPr>
              <w:t>本项目不适用</w:t>
            </w:r>
          </w:p>
        </w:tc>
        <w:tc>
          <w:tcPr>
            <w:tcW w:w="697" w:type="dxa"/>
            <w:vAlign w:val="center"/>
          </w:tcPr>
          <w:p>
            <w:pPr>
              <w:spacing w:line="240" w:lineRule="exact"/>
              <w:jc w:val="center"/>
              <w:rPr>
                <w:szCs w:val="21"/>
              </w:rPr>
            </w:pPr>
          </w:p>
        </w:tc>
      </w:tr>
    </w:tbl>
    <w:p>
      <w:pPr>
        <w:spacing w:line="240" w:lineRule="exact"/>
        <w:ind w:firstLine="480" w:firstLineChars="200"/>
        <w:rPr>
          <w:sz w:val="24"/>
        </w:rPr>
      </w:pPr>
    </w:p>
    <w:p>
      <w:pPr>
        <w:spacing w:line="240" w:lineRule="exact"/>
        <w:ind w:firstLine="4560" w:firstLineChars="1900"/>
        <w:rPr>
          <w:sz w:val="24"/>
        </w:rPr>
      </w:pPr>
    </w:p>
    <w:p>
      <w:pPr>
        <w:spacing w:line="580" w:lineRule="exact"/>
        <w:ind w:firstLine="4560" w:firstLineChars="1900"/>
        <w:rPr>
          <w:sz w:val="24"/>
        </w:rPr>
      </w:pPr>
      <w:r>
        <w:rPr>
          <w:rFonts w:hint="eastAsia"/>
          <w:sz w:val="24"/>
        </w:rPr>
        <w:t>投标人：  （全称并盖单位电子公章）</w:t>
      </w:r>
    </w:p>
    <w:p>
      <w:pPr>
        <w:spacing w:line="580" w:lineRule="exact"/>
        <w:ind w:firstLine="4560" w:firstLineChars="1900"/>
      </w:pPr>
      <w:r>
        <w:rPr>
          <w:rFonts w:hint="eastAsia"/>
          <w:sz w:val="24"/>
        </w:rPr>
        <w:t>法定代表人：</w:t>
      </w:r>
      <w:bookmarkStart w:id="6986" w:name="_Toc5008"/>
      <w:bookmarkStart w:id="6987" w:name="_Toc6866"/>
      <w:bookmarkStart w:id="6988" w:name="_Toc233423358"/>
      <w:bookmarkStart w:id="6989" w:name="_Toc288547012"/>
      <w:bookmarkStart w:id="6990" w:name="_Toc282787823"/>
      <w:bookmarkStart w:id="6991" w:name="_Toc288491887"/>
      <w:bookmarkStart w:id="6992" w:name="_Toc282779359"/>
      <w:bookmarkStart w:id="6993" w:name="_Toc3737"/>
      <w:bookmarkStart w:id="6994" w:name="_Toc282779868"/>
      <w:bookmarkStart w:id="6995" w:name="_Toc287853709"/>
      <w:bookmarkStart w:id="6996" w:name="_Toc233429875"/>
      <w:bookmarkStart w:id="6997" w:name="_Toc24299"/>
      <w:bookmarkStart w:id="6998" w:name="_Toc32525"/>
      <w:bookmarkStart w:id="6999" w:name="_Toc233290473"/>
      <w:bookmarkStart w:id="7000" w:name="_Toc8420"/>
      <w:bookmarkStart w:id="7001" w:name="_Toc12110"/>
      <w:bookmarkStart w:id="7002" w:name="_Toc7608"/>
      <w:bookmarkStart w:id="7003" w:name="_Toc11211"/>
      <w:bookmarkStart w:id="7004" w:name="_Toc233215028"/>
      <w:bookmarkStart w:id="7005" w:name="_Toc26541"/>
      <w:bookmarkStart w:id="7006" w:name="_Toc283794556"/>
      <w:bookmarkStart w:id="7007" w:name="_Toc13544"/>
      <w:bookmarkStart w:id="7008" w:name="_Toc233436016"/>
      <w:bookmarkStart w:id="7009" w:name="_Toc18938"/>
      <w:bookmarkStart w:id="7010" w:name="_Toc8721"/>
      <w:r>
        <w:rPr>
          <w:rFonts w:hint="eastAsia"/>
          <w:sz w:val="24"/>
        </w:rPr>
        <w:t>（盖法定代表人电子章）</w:t>
      </w:r>
    </w:p>
    <w:p>
      <w:pPr>
        <w:pStyle w:val="5"/>
        <w:jc w:val="center"/>
        <w:rPr>
          <w:b w:val="0"/>
        </w:rPr>
      </w:pPr>
      <w:bookmarkStart w:id="7011" w:name="_Toc18252"/>
      <w:bookmarkStart w:id="7012" w:name="_Toc17836"/>
      <w:bookmarkStart w:id="7013" w:name="_Toc10547"/>
      <w:bookmarkStart w:id="7014" w:name="_Toc6906"/>
      <w:bookmarkStart w:id="7015" w:name="_Toc12616"/>
      <w:r>
        <w:rPr>
          <w:rFonts w:hint="eastAsia"/>
          <w:b w:val="0"/>
        </w:rPr>
        <w:t>二、法定代表人身份证明及授权委托书</w:t>
      </w:r>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p>
    <w:p>
      <w:pPr>
        <w:pStyle w:val="6"/>
        <w:jc w:val="center"/>
        <w:rPr>
          <w:rFonts w:ascii="黑体" w:eastAsia="黑体"/>
          <w:b w:val="0"/>
          <w:sz w:val="28"/>
          <w:szCs w:val="28"/>
        </w:rPr>
      </w:pPr>
      <w:bookmarkStart w:id="7016" w:name="_Toc233429876"/>
      <w:bookmarkStart w:id="7017" w:name="_Toc7930"/>
      <w:bookmarkStart w:id="7018" w:name="_Toc9541"/>
      <w:bookmarkStart w:id="7019" w:name="_Toc18174"/>
      <w:bookmarkStart w:id="7020" w:name="_Toc7729"/>
      <w:bookmarkStart w:id="7021" w:name="_Toc29342"/>
      <w:bookmarkStart w:id="7022" w:name="_Toc5757"/>
      <w:bookmarkStart w:id="7023" w:name="_Toc282779869"/>
      <w:bookmarkStart w:id="7024" w:name="_Toc287853710"/>
      <w:bookmarkStart w:id="7025" w:name="_Toc29698"/>
      <w:bookmarkStart w:id="7026" w:name="_Toc29940"/>
      <w:bookmarkStart w:id="7027" w:name="_Toc6495"/>
      <w:bookmarkStart w:id="7028" w:name="_Toc233436017"/>
      <w:bookmarkStart w:id="7029" w:name="_Toc233423359"/>
      <w:bookmarkStart w:id="7030" w:name="_Toc7365"/>
      <w:bookmarkStart w:id="7031" w:name="_Toc283794557"/>
      <w:bookmarkStart w:id="7032" w:name="_Toc19542"/>
      <w:bookmarkStart w:id="7033" w:name="_Toc282779360"/>
      <w:bookmarkStart w:id="7034" w:name="_Toc19270"/>
      <w:bookmarkStart w:id="7035" w:name="_Toc29696"/>
      <w:bookmarkStart w:id="7036" w:name="_Toc288491888"/>
      <w:bookmarkStart w:id="7037" w:name="_Toc233290474"/>
      <w:bookmarkStart w:id="7038" w:name="_Toc3384"/>
      <w:bookmarkStart w:id="7039" w:name="_Toc20092"/>
      <w:bookmarkStart w:id="7040" w:name="_Toc16982"/>
      <w:bookmarkStart w:id="7041" w:name="_Toc288547013"/>
      <w:bookmarkStart w:id="7042" w:name="_Toc233215029"/>
      <w:bookmarkStart w:id="7043" w:name="_Toc282787824"/>
      <w:bookmarkStart w:id="7044" w:name="_Toc4963"/>
      <w:bookmarkStart w:id="7045" w:name="_Toc8164"/>
      <w:r>
        <w:rPr>
          <w:rFonts w:hint="eastAsia" w:ascii="黑体" w:eastAsia="黑体"/>
          <w:b w:val="0"/>
          <w:sz w:val="28"/>
          <w:szCs w:val="28"/>
        </w:rPr>
        <w:t>（一）法定代表人身份证明</w:t>
      </w:r>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p>
    <w:p>
      <w:pPr>
        <w:spacing w:line="420" w:lineRule="exact"/>
        <w:ind w:firstLine="480" w:firstLineChars="200"/>
        <w:rPr>
          <w:sz w:val="24"/>
        </w:rPr>
      </w:pPr>
    </w:p>
    <w:p>
      <w:pPr>
        <w:spacing w:line="420" w:lineRule="exact"/>
        <w:ind w:firstLine="480" w:firstLineChars="200"/>
        <w:rPr>
          <w:sz w:val="24"/>
        </w:rPr>
      </w:pPr>
      <w:r>
        <w:rPr>
          <w:rFonts w:hint="eastAsia"/>
          <w:sz w:val="24"/>
        </w:rPr>
        <w:t>投标人名称：</w:t>
      </w:r>
    </w:p>
    <w:p>
      <w:pPr>
        <w:spacing w:line="420" w:lineRule="exact"/>
        <w:ind w:firstLine="480" w:firstLineChars="200"/>
        <w:rPr>
          <w:sz w:val="24"/>
        </w:rPr>
      </w:pPr>
      <w:r>
        <w:rPr>
          <w:rFonts w:hint="eastAsia"/>
          <w:sz w:val="24"/>
        </w:rPr>
        <w:t>单位性质：</w:t>
      </w:r>
    </w:p>
    <w:p>
      <w:pPr>
        <w:spacing w:line="420" w:lineRule="exact"/>
        <w:ind w:firstLine="480" w:firstLineChars="200"/>
        <w:rPr>
          <w:sz w:val="24"/>
        </w:rPr>
      </w:pPr>
      <w:r>
        <w:rPr>
          <w:rFonts w:hint="eastAsia"/>
          <w:sz w:val="24"/>
        </w:rPr>
        <w:t>地址：</w:t>
      </w:r>
    </w:p>
    <w:p>
      <w:pPr>
        <w:spacing w:line="420" w:lineRule="exact"/>
        <w:ind w:firstLine="480" w:firstLineChars="200"/>
        <w:rPr>
          <w:sz w:val="24"/>
        </w:rPr>
      </w:pPr>
      <w:r>
        <w:rPr>
          <w:rFonts w:hint="eastAsia"/>
          <w:sz w:val="24"/>
        </w:rPr>
        <w:t>成立时间：年月日</w:t>
      </w:r>
    </w:p>
    <w:p>
      <w:pPr>
        <w:spacing w:line="420" w:lineRule="exact"/>
        <w:ind w:firstLine="480" w:firstLineChars="200"/>
        <w:rPr>
          <w:sz w:val="24"/>
        </w:rPr>
      </w:pPr>
      <w:r>
        <w:rPr>
          <w:rFonts w:hint="eastAsia"/>
          <w:sz w:val="24"/>
        </w:rPr>
        <w:t>经营期限：</w:t>
      </w:r>
    </w:p>
    <w:p>
      <w:pPr>
        <w:spacing w:line="420" w:lineRule="exact"/>
        <w:ind w:firstLine="480" w:firstLineChars="200"/>
        <w:rPr>
          <w:sz w:val="24"/>
        </w:rPr>
      </w:pPr>
      <w:r>
        <w:rPr>
          <w:rFonts w:hint="eastAsia"/>
          <w:sz w:val="24"/>
        </w:rPr>
        <w:t>姓名：性别：年龄：职务：系（投标人名称）的法定代表人</w:t>
      </w:r>
    </w:p>
    <w:p>
      <w:pPr>
        <w:spacing w:line="420" w:lineRule="exact"/>
        <w:ind w:firstLine="480" w:firstLineChars="200"/>
        <w:rPr>
          <w:sz w:val="24"/>
        </w:rPr>
      </w:pPr>
      <w:r>
        <w:rPr>
          <w:rFonts w:hint="eastAsia"/>
          <w:sz w:val="24"/>
        </w:rPr>
        <w:t>特此证明</w:t>
      </w:r>
    </w:p>
    <w:p>
      <w:pPr>
        <w:spacing w:line="420" w:lineRule="exact"/>
        <w:ind w:firstLine="480" w:firstLineChars="200"/>
        <w:rPr>
          <w:sz w:val="24"/>
        </w:rPr>
      </w:pPr>
    </w:p>
    <w:p>
      <w:pPr>
        <w:spacing w:line="420" w:lineRule="exact"/>
        <w:ind w:firstLine="3840" w:firstLineChars="1600"/>
        <w:rPr>
          <w:sz w:val="24"/>
        </w:rPr>
      </w:pPr>
      <w:r>
        <w:rPr>
          <w:rFonts w:hint="eastAsia"/>
          <w:sz w:val="24"/>
        </w:rPr>
        <w:t>投标人：（全称并盖单位电子公章）</w:t>
      </w:r>
    </w:p>
    <w:p>
      <w:pPr>
        <w:spacing w:line="580" w:lineRule="exact"/>
        <w:ind w:firstLine="3840" w:firstLineChars="1600"/>
        <w:rPr>
          <w:szCs w:val="21"/>
          <w:u w:val="single"/>
        </w:rPr>
      </w:pPr>
      <w:r>
        <w:rPr>
          <w:rFonts w:hint="eastAsia"/>
          <w:sz w:val="24"/>
        </w:rPr>
        <w:t>法定代表人：（盖法定代表人电子章）</w:t>
      </w:r>
    </w:p>
    <w:p>
      <w:pPr>
        <w:spacing w:line="420" w:lineRule="exact"/>
        <w:ind w:firstLine="3840" w:firstLineChars="1600"/>
        <w:rPr>
          <w:sz w:val="24"/>
        </w:rPr>
      </w:pPr>
    </w:p>
    <w:p>
      <w:pPr>
        <w:spacing w:line="420" w:lineRule="exact"/>
        <w:ind w:firstLine="6360" w:firstLineChars="2650"/>
        <w:rPr>
          <w:sz w:val="24"/>
          <w:u w:val="single"/>
        </w:rPr>
      </w:pPr>
    </w:p>
    <w:p>
      <w:pPr>
        <w:spacing w:line="420" w:lineRule="exact"/>
        <w:ind w:firstLine="4560" w:firstLineChars="1900"/>
        <w:rPr>
          <w:sz w:val="24"/>
        </w:rPr>
      </w:pPr>
      <w:r>
        <w:rPr>
          <w:rFonts w:hint="eastAsia"/>
          <w:sz w:val="24"/>
        </w:rPr>
        <w:t>年月日</w:t>
      </w:r>
    </w:p>
    <w:p>
      <w:pPr>
        <w:spacing w:line="420" w:lineRule="exact"/>
        <w:ind w:firstLine="6360" w:firstLineChars="2650"/>
        <w:rPr>
          <w:sz w:val="24"/>
        </w:rPr>
      </w:pPr>
    </w:p>
    <w:p>
      <w:pPr>
        <w:spacing w:line="420" w:lineRule="exact"/>
        <w:ind w:firstLine="6360" w:firstLineChars="2650"/>
        <w:rPr>
          <w:sz w:val="24"/>
        </w:rPr>
      </w:pPr>
    </w:p>
    <w:p>
      <w:pPr>
        <w:spacing w:line="420" w:lineRule="exact"/>
        <w:ind w:firstLine="6360" w:firstLineChars="2650"/>
        <w:rPr>
          <w:sz w:val="24"/>
        </w:rPr>
      </w:pPr>
    </w:p>
    <w:p>
      <w:pPr>
        <w:spacing w:line="420" w:lineRule="exact"/>
        <w:ind w:firstLine="6360" w:firstLineChars="2650"/>
        <w:rPr>
          <w:sz w:val="24"/>
        </w:rPr>
      </w:pPr>
    </w:p>
    <w:p>
      <w:pPr>
        <w:spacing w:line="420" w:lineRule="exact"/>
        <w:ind w:firstLine="6360" w:firstLineChars="2650"/>
        <w:rPr>
          <w:sz w:val="24"/>
          <w:u w:val="single"/>
        </w:rPr>
      </w:pPr>
    </w:p>
    <w:p>
      <w:pPr>
        <w:pStyle w:val="6"/>
        <w:rPr>
          <w:rFonts w:ascii="黑体" w:eastAsia="黑体"/>
          <w:b w:val="0"/>
          <w:sz w:val="28"/>
          <w:szCs w:val="28"/>
        </w:rPr>
      </w:pPr>
      <w:bookmarkStart w:id="7046" w:name="_Toc288547014"/>
      <w:bookmarkStart w:id="7047" w:name="_Toc282779870"/>
      <w:bookmarkStart w:id="7048" w:name="_Toc282787825"/>
      <w:bookmarkStart w:id="7049" w:name="_Toc233429877"/>
      <w:bookmarkStart w:id="7050" w:name="_Toc282779361"/>
      <w:bookmarkStart w:id="7051" w:name="_Toc233215030"/>
      <w:bookmarkStart w:id="7052" w:name="_Toc233290475"/>
      <w:bookmarkStart w:id="7053" w:name="_Toc288491889"/>
      <w:bookmarkStart w:id="7054" w:name="_Toc233423360"/>
      <w:bookmarkStart w:id="7055" w:name="_Toc233436018"/>
      <w:bookmarkStart w:id="7056" w:name="_Toc283794558"/>
      <w:bookmarkStart w:id="7057" w:name="_Toc287853711"/>
    </w:p>
    <w:p>
      <w:pPr>
        <w:rPr>
          <w:rFonts w:ascii="黑体" w:eastAsia="黑体"/>
          <w:sz w:val="28"/>
          <w:szCs w:val="28"/>
        </w:rPr>
      </w:pPr>
    </w:p>
    <w:p>
      <w:pPr>
        <w:rPr>
          <w:rFonts w:ascii="黑体" w:eastAsia="黑体"/>
          <w:sz w:val="24"/>
        </w:rPr>
      </w:pPr>
      <w:r>
        <w:rPr>
          <w:rFonts w:hint="eastAsia" w:ascii="黑体" w:eastAsia="黑体"/>
          <w:sz w:val="24"/>
        </w:rPr>
        <w:t>注：本法定代表人身份证明无需进行公证，不得使用印章、签名章或其它电子制版签名。</w:t>
      </w:r>
    </w:p>
    <w:p>
      <w:pPr>
        <w:pStyle w:val="6"/>
        <w:spacing w:after="0" w:line="240" w:lineRule="auto"/>
        <w:jc w:val="center"/>
        <w:rPr>
          <w:rFonts w:ascii="黑体" w:eastAsia="黑体"/>
          <w:b w:val="0"/>
          <w:sz w:val="28"/>
          <w:szCs w:val="28"/>
        </w:rPr>
      </w:pPr>
      <w:bookmarkStart w:id="7058" w:name="_Toc26099"/>
      <w:bookmarkStart w:id="7059" w:name="_Toc7660"/>
      <w:bookmarkStart w:id="7060" w:name="_Toc9384"/>
      <w:bookmarkStart w:id="7061" w:name="_Toc3461"/>
      <w:bookmarkStart w:id="7062" w:name="_Toc3445"/>
      <w:bookmarkStart w:id="7063" w:name="_Toc6131"/>
      <w:bookmarkStart w:id="7064" w:name="_Toc16467"/>
      <w:bookmarkStart w:id="7065" w:name="_Toc31204"/>
      <w:bookmarkStart w:id="7066" w:name="_Toc9146"/>
      <w:bookmarkStart w:id="7067" w:name="_Toc10882"/>
      <w:bookmarkStart w:id="7068" w:name="_Toc2105"/>
      <w:bookmarkStart w:id="7069" w:name="_Toc7330"/>
      <w:bookmarkStart w:id="7070" w:name="_Toc9559"/>
      <w:bookmarkStart w:id="7071" w:name="_Toc5463"/>
    </w:p>
    <w:p>
      <w:pPr>
        <w:pStyle w:val="6"/>
        <w:spacing w:before="0"/>
        <w:jc w:val="center"/>
        <w:rPr>
          <w:rFonts w:ascii="黑体" w:eastAsia="黑体"/>
          <w:b w:val="0"/>
          <w:sz w:val="28"/>
          <w:szCs w:val="28"/>
        </w:rPr>
      </w:pPr>
      <w:bookmarkStart w:id="7072" w:name="_Toc3249"/>
      <w:bookmarkStart w:id="7073" w:name="_Toc21725"/>
      <w:bookmarkStart w:id="7074" w:name="_Toc31148"/>
      <w:bookmarkStart w:id="7075" w:name="_Toc1942"/>
      <w:r>
        <w:rPr>
          <w:rFonts w:hint="eastAsia" w:ascii="黑体" w:eastAsia="黑体"/>
          <w:b w:val="0"/>
          <w:sz w:val="28"/>
          <w:szCs w:val="28"/>
        </w:rPr>
        <w:t>（二）授权委托书</w:t>
      </w:r>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p>
    <w:p>
      <w:pPr>
        <w:spacing w:line="420" w:lineRule="exact"/>
        <w:ind w:firstLine="480" w:firstLineChars="200"/>
        <w:rPr>
          <w:sz w:val="24"/>
        </w:rPr>
      </w:pPr>
      <w:r>
        <w:rPr>
          <w:rFonts w:hint="eastAsia"/>
          <w:sz w:val="24"/>
        </w:rPr>
        <w:t>本人（姓名）系（投标人名称）的法定代表人，现委托（姓名）为我方代理人。代理人根据授权，以我方名义签署、澄清、说明、补正、递交、撤回、修改（项目名称）工程施工投标文件、签订合同和处理有关事宜，其法律后果由我方承担。</w:t>
      </w:r>
    </w:p>
    <w:p>
      <w:pPr>
        <w:spacing w:line="420" w:lineRule="exact"/>
        <w:ind w:firstLine="480" w:firstLineChars="200"/>
        <w:rPr>
          <w:sz w:val="24"/>
        </w:rPr>
      </w:pPr>
      <w:r>
        <w:rPr>
          <w:rFonts w:hint="eastAsia"/>
          <w:sz w:val="24"/>
        </w:rPr>
        <w:t>委托期限：。</w:t>
      </w:r>
    </w:p>
    <w:p>
      <w:pPr>
        <w:spacing w:line="420" w:lineRule="exact"/>
        <w:ind w:firstLine="480" w:firstLineChars="200"/>
        <w:rPr>
          <w:sz w:val="24"/>
        </w:rPr>
      </w:pPr>
      <w:r>
        <w:rPr>
          <w:rFonts w:hint="eastAsia"/>
          <w:sz w:val="24"/>
        </w:rPr>
        <w:t>代理人无转委托权。</w:t>
      </w:r>
    </w:p>
    <w:p>
      <w:pPr>
        <w:spacing w:line="420" w:lineRule="exact"/>
        <w:ind w:firstLine="480" w:firstLineChars="200"/>
        <w:rPr>
          <w:sz w:val="24"/>
        </w:rPr>
      </w:pPr>
      <w:r>
        <w:rPr>
          <w:rFonts w:hint="eastAsia"/>
          <w:sz w:val="24"/>
        </w:rPr>
        <w:t>附：法定代表人身份证明</w:t>
      </w:r>
    </w:p>
    <w:p>
      <w:pPr>
        <w:spacing w:line="420" w:lineRule="exact"/>
        <w:ind w:firstLine="480" w:firstLineChars="200"/>
        <w:rPr>
          <w:sz w:val="24"/>
        </w:rPr>
      </w:pPr>
    </w:p>
    <w:p>
      <w:pPr>
        <w:spacing w:line="420" w:lineRule="exact"/>
        <w:ind w:firstLine="3120" w:firstLineChars="1300"/>
        <w:rPr>
          <w:sz w:val="24"/>
        </w:rPr>
      </w:pPr>
      <w:r>
        <w:rPr>
          <w:rFonts w:hint="eastAsia"/>
          <w:sz w:val="24"/>
        </w:rPr>
        <w:t>投标人：（全称并盖单位电子公章）</w:t>
      </w:r>
    </w:p>
    <w:p>
      <w:pPr>
        <w:spacing w:line="420" w:lineRule="exact"/>
        <w:ind w:firstLine="3120" w:firstLineChars="1300"/>
        <w:rPr>
          <w:sz w:val="24"/>
        </w:rPr>
      </w:pPr>
      <w:r>
        <w:rPr>
          <w:rFonts w:hint="eastAsia"/>
          <w:sz w:val="24"/>
        </w:rPr>
        <w:t>法定代表人：（盖法定代表人电子章）</w:t>
      </w:r>
    </w:p>
    <w:p>
      <w:pPr>
        <w:spacing w:line="420" w:lineRule="exact"/>
        <w:ind w:firstLine="3120" w:firstLineChars="1300"/>
        <w:rPr>
          <w:sz w:val="24"/>
        </w:rPr>
      </w:pPr>
      <w:r>
        <w:rPr>
          <w:rFonts w:hint="eastAsia"/>
          <w:sz w:val="24"/>
        </w:rPr>
        <w:t>身份证号码：</w:t>
      </w:r>
    </w:p>
    <w:p>
      <w:pPr>
        <w:spacing w:line="420" w:lineRule="exact"/>
        <w:ind w:firstLine="3120" w:firstLineChars="1300"/>
        <w:rPr>
          <w:sz w:val="24"/>
        </w:rPr>
      </w:pPr>
      <w:r>
        <w:rPr>
          <w:rFonts w:hint="eastAsia"/>
          <w:sz w:val="24"/>
        </w:rPr>
        <w:t>委托代理人：（</w:t>
      </w:r>
      <w:r>
        <w:rPr>
          <w:rFonts w:hint="eastAsia"/>
          <w:sz w:val="24"/>
          <w:u w:val="single"/>
        </w:rPr>
        <w:t>姓名，无需签字或盖章</w:t>
      </w:r>
      <w:r>
        <w:rPr>
          <w:rFonts w:hint="eastAsia"/>
          <w:sz w:val="24"/>
        </w:rPr>
        <w:t xml:space="preserve">）    </w:t>
      </w:r>
    </w:p>
    <w:p>
      <w:pPr>
        <w:spacing w:line="420" w:lineRule="exact"/>
        <w:ind w:firstLine="3120" w:firstLineChars="1300"/>
        <w:rPr>
          <w:sz w:val="24"/>
          <w:u w:val="single"/>
        </w:rPr>
      </w:pPr>
      <w:r>
        <w:rPr>
          <w:rFonts w:hint="eastAsia"/>
          <w:sz w:val="24"/>
        </w:rPr>
        <w:t>身份证号码：</w:t>
      </w:r>
    </w:p>
    <w:p>
      <w:pPr>
        <w:spacing w:line="420" w:lineRule="exact"/>
        <w:ind w:firstLine="3120" w:firstLineChars="1300"/>
        <w:rPr>
          <w:sz w:val="24"/>
          <w:u w:val="single"/>
        </w:rPr>
      </w:pPr>
      <w:r>
        <w:rPr>
          <w:rFonts w:hint="eastAsia"/>
          <w:sz w:val="24"/>
        </w:rPr>
        <w:t>手机号码：</w:t>
      </w:r>
    </w:p>
    <w:p>
      <w:pPr>
        <w:spacing w:line="420" w:lineRule="exact"/>
        <w:ind w:firstLine="6360" w:firstLineChars="2650"/>
        <w:rPr>
          <w:sz w:val="24"/>
          <w:u w:val="single"/>
        </w:rPr>
      </w:pPr>
    </w:p>
    <w:p>
      <w:pPr>
        <w:spacing w:line="420" w:lineRule="exact"/>
        <w:ind w:firstLine="6480" w:firstLineChars="2700"/>
        <w:rPr>
          <w:sz w:val="24"/>
        </w:rPr>
      </w:pPr>
      <w:r>
        <w:rPr>
          <w:rFonts w:hint="eastAsia"/>
          <w:sz w:val="24"/>
        </w:rPr>
        <w:t>年月日</w:t>
      </w:r>
    </w:p>
    <w:p>
      <w:pPr>
        <w:spacing w:line="420" w:lineRule="exact"/>
        <w:ind w:firstLine="480" w:firstLineChars="200"/>
        <w:rPr>
          <w:sz w:val="24"/>
        </w:rPr>
      </w:pPr>
    </w:p>
    <w:p>
      <w:pPr>
        <w:spacing w:line="420" w:lineRule="exact"/>
        <w:ind w:firstLine="480" w:firstLineChars="200"/>
        <w:rPr>
          <w:sz w:val="24"/>
        </w:rPr>
      </w:pPr>
    </w:p>
    <w:p>
      <w:pPr>
        <w:spacing w:line="420" w:lineRule="exact"/>
        <w:ind w:firstLine="420" w:firstLineChars="200"/>
        <w:rPr>
          <w:szCs w:val="21"/>
        </w:rPr>
      </w:pPr>
    </w:p>
    <w:p>
      <w:pPr>
        <w:spacing w:line="420" w:lineRule="exact"/>
        <w:ind w:firstLine="420" w:firstLineChars="200"/>
        <w:rPr>
          <w:szCs w:val="21"/>
        </w:rPr>
      </w:pPr>
    </w:p>
    <w:p>
      <w:pPr>
        <w:spacing w:line="360" w:lineRule="exact"/>
        <w:ind w:firstLine="420" w:firstLineChars="200"/>
        <w:rPr>
          <w:szCs w:val="21"/>
        </w:rPr>
      </w:pPr>
    </w:p>
    <w:p>
      <w:pPr>
        <w:pStyle w:val="5"/>
        <w:spacing w:line="240" w:lineRule="auto"/>
        <w:rPr>
          <w:b w:val="0"/>
        </w:rPr>
      </w:pPr>
      <w:bookmarkStart w:id="7076" w:name="_Toc282779363"/>
      <w:bookmarkStart w:id="7077" w:name="_Toc233290477"/>
      <w:bookmarkStart w:id="7078" w:name="_Toc15980"/>
      <w:bookmarkStart w:id="7079" w:name="_Toc19522"/>
      <w:bookmarkStart w:id="7080" w:name="_Toc32543"/>
      <w:bookmarkStart w:id="7081" w:name="_Toc288547016"/>
      <w:bookmarkStart w:id="7082" w:name="_Toc282787827"/>
      <w:bookmarkStart w:id="7083" w:name="_Toc19070"/>
      <w:bookmarkStart w:id="7084" w:name="_Toc233423362"/>
      <w:bookmarkStart w:id="7085" w:name="_Toc233215032"/>
      <w:bookmarkStart w:id="7086" w:name="_Toc288491891"/>
      <w:bookmarkStart w:id="7087" w:name="_Toc29457"/>
      <w:bookmarkStart w:id="7088" w:name="_Toc28982"/>
      <w:bookmarkStart w:id="7089" w:name="_Toc8009"/>
      <w:bookmarkStart w:id="7090" w:name="_Toc252720324"/>
      <w:bookmarkStart w:id="7091" w:name="_Toc11055"/>
      <w:bookmarkStart w:id="7092" w:name="_Toc4384"/>
      <w:bookmarkStart w:id="7093" w:name="_Toc25905"/>
      <w:bookmarkStart w:id="7094" w:name="_Toc21652"/>
      <w:bookmarkStart w:id="7095" w:name="_Toc233429879"/>
      <w:bookmarkStart w:id="7096" w:name="_Toc282779872"/>
      <w:bookmarkStart w:id="7097" w:name="_Toc233436020"/>
      <w:bookmarkStart w:id="7098" w:name="_Toc283794560"/>
      <w:bookmarkStart w:id="7099" w:name="_Toc287853713"/>
      <w:bookmarkStart w:id="7100" w:name="_Toc12745"/>
      <w:bookmarkStart w:id="7101" w:name="_Toc16949"/>
    </w:p>
    <w:p>
      <w:pPr>
        <w:rPr>
          <w:rFonts w:eastAsia="黑体"/>
        </w:rPr>
      </w:pPr>
    </w:p>
    <w:p>
      <w:pPr>
        <w:pStyle w:val="2"/>
        <w:ind w:firstLine="240"/>
        <w:rPr>
          <w:rFonts w:eastAsia="黑体"/>
        </w:rPr>
      </w:pPr>
    </w:p>
    <w:p>
      <w:pPr>
        <w:pStyle w:val="2"/>
        <w:ind w:firstLine="240"/>
        <w:rPr>
          <w:rFonts w:ascii="黑体" w:eastAsia="黑体"/>
        </w:rPr>
      </w:pPr>
      <w:r>
        <w:rPr>
          <w:rFonts w:hint="eastAsia" w:ascii="黑体" w:eastAsia="黑体"/>
        </w:rPr>
        <w:t>注：1．法定代表人和委托代理人必须在授权书上亲笔签名，不得使用印章、签名章或其它电子制版签名；</w:t>
      </w:r>
    </w:p>
    <w:p>
      <w:pPr>
        <w:pStyle w:val="2"/>
        <w:ind w:firstLine="240"/>
        <w:rPr>
          <w:rFonts w:ascii="黑体" w:eastAsia="黑体"/>
        </w:rPr>
      </w:pPr>
      <w:r>
        <w:rPr>
          <w:rFonts w:hint="eastAsia" w:ascii="黑体" w:eastAsia="黑体"/>
        </w:rPr>
        <w:t>2．在授权委托书后应附有公证机关出具的加盖钢印、单位章并盖有公证员签名章的公证书，钢印应清晰可辨，同时公证内容完全满足招标文件规定；</w:t>
      </w:r>
    </w:p>
    <w:p>
      <w:pPr>
        <w:pStyle w:val="2"/>
        <w:ind w:firstLine="240"/>
        <w:rPr>
          <w:rFonts w:eastAsia="黑体"/>
        </w:rPr>
      </w:pPr>
      <w:r>
        <w:rPr>
          <w:rFonts w:hint="eastAsia" w:ascii="黑体" w:eastAsia="黑体"/>
        </w:rPr>
        <w:t>3．公证书出具的日期与授权书出具的日期同日或在其之后</w:t>
      </w:r>
    </w:p>
    <w:p>
      <w:pPr>
        <w:pStyle w:val="2"/>
        <w:ind w:firstLine="240"/>
        <w:rPr>
          <w:rFonts w:eastAsia="黑体"/>
        </w:rPr>
      </w:pPr>
    </w:p>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p>
      <w:bookmarkStart w:id="7102" w:name="_Toc31009"/>
      <w:bookmarkStart w:id="7103" w:name="_Toc31356"/>
      <w:bookmarkStart w:id="7104" w:name="_Toc2142"/>
      <w:bookmarkStart w:id="7105" w:name="_Toc12034"/>
      <w:bookmarkStart w:id="7106" w:name="_Toc20579"/>
      <w:bookmarkStart w:id="7107" w:name="_Toc23923"/>
      <w:bookmarkStart w:id="7108" w:name="_Toc6659"/>
      <w:bookmarkStart w:id="7109" w:name="_Toc802"/>
      <w:bookmarkStart w:id="7110" w:name="_Toc7628"/>
      <w:bookmarkStart w:id="7111" w:name="_Toc865"/>
      <w:bookmarkStart w:id="7112" w:name="_Toc17200"/>
      <w:bookmarkStart w:id="7113" w:name="_Toc1691"/>
      <w:bookmarkStart w:id="7114" w:name="_Toc31396"/>
      <w:bookmarkStart w:id="7115" w:name="_Toc283794561"/>
      <w:bookmarkStart w:id="7116" w:name="_Toc233436021"/>
      <w:bookmarkStart w:id="7117" w:name="_Toc282779364"/>
      <w:bookmarkStart w:id="7118" w:name="_Toc282779873"/>
      <w:bookmarkStart w:id="7119" w:name="_Toc282787828"/>
      <w:bookmarkStart w:id="7120" w:name="_Toc233423363"/>
      <w:bookmarkStart w:id="7121" w:name="_Toc233215033"/>
      <w:bookmarkStart w:id="7122" w:name="_Toc252720325"/>
      <w:bookmarkStart w:id="7123" w:name="_Toc287853714"/>
      <w:bookmarkStart w:id="7124" w:name="_Toc288491892"/>
      <w:bookmarkStart w:id="7125" w:name="_Toc288547017"/>
      <w:bookmarkStart w:id="7126" w:name="_Toc233429880"/>
      <w:bookmarkStart w:id="7127" w:name="_Toc233290478"/>
    </w:p>
    <w:p>
      <w:pPr>
        <w:pStyle w:val="5"/>
        <w:ind w:firstLine="2772" w:firstLineChars="900"/>
        <w:rPr>
          <w:b w:val="0"/>
        </w:rPr>
      </w:pPr>
      <w:bookmarkStart w:id="7128" w:name="_Toc13237"/>
      <w:bookmarkStart w:id="7129" w:name="_Toc2521"/>
      <w:bookmarkStart w:id="7130" w:name="_Toc3944"/>
      <w:bookmarkStart w:id="7131" w:name="_Toc32613"/>
      <w:bookmarkStart w:id="7132" w:name="_Toc16355"/>
      <w:r>
        <w:rPr>
          <w:rFonts w:hint="eastAsia"/>
          <w:b w:val="0"/>
        </w:rPr>
        <w:t>三</w:t>
      </w:r>
      <w:r>
        <w:rPr>
          <w:b w:val="0"/>
        </w:rPr>
        <w:t>、已标价工程量清单</w:t>
      </w:r>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p>
    <w:p>
      <w:pPr>
        <w:spacing w:line="420" w:lineRule="exact"/>
        <w:ind w:firstLine="480" w:firstLineChars="200"/>
        <w:rPr>
          <w:sz w:val="24"/>
        </w:rPr>
      </w:pPr>
      <w:r>
        <w:rPr>
          <w:rFonts w:hint="eastAsia"/>
          <w:sz w:val="24"/>
        </w:rPr>
        <w:t>投标人应按照第五章“工程量清单”的要求逐项填报工程量清单，包括工程量清单说明、投标报价说明、计日工说明、其它说明及工程量清单各项表格〔工程量清单表4.1～表4.2（表 4.3）〕 。</w:t>
      </w:r>
    </w:p>
    <w:p>
      <w:pPr>
        <w:spacing w:line="420" w:lineRule="exact"/>
        <w:ind w:firstLine="840" w:firstLineChars="350"/>
        <w:rPr>
          <w:sz w:val="24"/>
        </w:rPr>
      </w:pPr>
    </w:p>
    <w:p>
      <w:pPr>
        <w:spacing w:line="420" w:lineRule="exact"/>
        <w:ind w:firstLine="600" w:firstLineChars="250"/>
        <w:rPr>
          <w:sz w:val="24"/>
        </w:rPr>
      </w:pPr>
    </w:p>
    <w:p>
      <w:pPr>
        <w:spacing w:line="420" w:lineRule="exact"/>
        <w:ind w:firstLine="600" w:firstLineChars="250"/>
        <w:rPr>
          <w:sz w:val="24"/>
        </w:rPr>
      </w:pPr>
    </w:p>
    <w:p>
      <w:pPr>
        <w:spacing w:line="420" w:lineRule="exact"/>
        <w:ind w:firstLine="600" w:firstLineChars="250"/>
        <w:rPr>
          <w:sz w:val="24"/>
        </w:rPr>
      </w:pPr>
    </w:p>
    <w:p>
      <w:pPr>
        <w:spacing w:line="420" w:lineRule="exact"/>
        <w:ind w:firstLine="600" w:firstLineChars="250"/>
        <w:rPr>
          <w:sz w:val="24"/>
        </w:rPr>
      </w:pPr>
    </w:p>
    <w:p>
      <w:pPr>
        <w:spacing w:line="420" w:lineRule="exact"/>
        <w:ind w:firstLine="600" w:firstLineChars="250"/>
        <w:rPr>
          <w:sz w:val="24"/>
        </w:rPr>
      </w:pPr>
    </w:p>
    <w:p>
      <w:pPr>
        <w:spacing w:line="420" w:lineRule="exact"/>
        <w:ind w:firstLine="600" w:firstLineChars="250"/>
        <w:rPr>
          <w:sz w:val="24"/>
        </w:rPr>
      </w:pPr>
    </w:p>
    <w:p>
      <w:pPr>
        <w:spacing w:line="420" w:lineRule="exact"/>
        <w:ind w:firstLine="600" w:firstLineChars="250"/>
        <w:rPr>
          <w:sz w:val="24"/>
        </w:rPr>
      </w:pPr>
    </w:p>
    <w:p>
      <w:pPr>
        <w:spacing w:line="420" w:lineRule="exact"/>
        <w:ind w:firstLine="600" w:firstLineChars="250"/>
        <w:rPr>
          <w:sz w:val="24"/>
        </w:rPr>
      </w:pPr>
    </w:p>
    <w:p>
      <w:pPr>
        <w:spacing w:line="420" w:lineRule="exact"/>
        <w:ind w:firstLine="600" w:firstLineChars="250"/>
        <w:rPr>
          <w:sz w:val="24"/>
        </w:rPr>
      </w:pPr>
    </w:p>
    <w:p>
      <w:pPr>
        <w:spacing w:line="420" w:lineRule="exact"/>
        <w:ind w:firstLine="600" w:firstLineChars="250"/>
        <w:rPr>
          <w:sz w:val="24"/>
        </w:rPr>
      </w:pPr>
    </w:p>
    <w:p>
      <w:pPr>
        <w:spacing w:line="420" w:lineRule="exact"/>
        <w:ind w:firstLine="600" w:firstLineChars="250"/>
        <w:rPr>
          <w:sz w:val="24"/>
        </w:rPr>
      </w:pPr>
    </w:p>
    <w:p>
      <w:pPr>
        <w:spacing w:line="420" w:lineRule="exact"/>
        <w:ind w:firstLine="600" w:firstLineChars="250"/>
        <w:rPr>
          <w:sz w:val="24"/>
        </w:rPr>
      </w:pPr>
    </w:p>
    <w:p>
      <w:pPr>
        <w:spacing w:line="420" w:lineRule="exact"/>
        <w:ind w:firstLine="600" w:firstLineChars="250"/>
        <w:rPr>
          <w:sz w:val="24"/>
        </w:rPr>
      </w:pPr>
    </w:p>
    <w:p>
      <w:pPr>
        <w:spacing w:line="420" w:lineRule="exact"/>
        <w:ind w:firstLine="600" w:firstLineChars="250"/>
        <w:rPr>
          <w:sz w:val="24"/>
        </w:rPr>
      </w:pPr>
    </w:p>
    <w:p>
      <w:pPr>
        <w:pStyle w:val="2"/>
        <w:ind w:firstLine="240"/>
      </w:pPr>
    </w:p>
    <w:p>
      <w:pPr>
        <w:pStyle w:val="2"/>
        <w:ind w:firstLine="240"/>
      </w:pPr>
    </w:p>
    <w:p>
      <w:pPr>
        <w:pStyle w:val="2"/>
        <w:ind w:firstLine="240"/>
      </w:pPr>
    </w:p>
    <w:p>
      <w:pPr>
        <w:pStyle w:val="2"/>
        <w:ind w:firstLine="240"/>
      </w:pPr>
    </w:p>
    <w:p>
      <w:pPr>
        <w:pStyle w:val="2"/>
        <w:ind w:firstLine="240"/>
      </w:pPr>
    </w:p>
    <w:p>
      <w:pPr>
        <w:pStyle w:val="2"/>
        <w:ind w:firstLine="240"/>
      </w:pPr>
    </w:p>
    <w:p>
      <w:pPr>
        <w:pStyle w:val="2"/>
        <w:ind w:firstLine="240"/>
      </w:pPr>
    </w:p>
    <w:p>
      <w:pPr>
        <w:pStyle w:val="2"/>
        <w:ind w:firstLine="240"/>
      </w:pPr>
    </w:p>
    <w:p>
      <w:pPr>
        <w:pStyle w:val="2"/>
        <w:ind w:firstLine="240"/>
      </w:pPr>
    </w:p>
    <w:p>
      <w:pPr>
        <w:pStyle w:val="2"/>
        <w:ind w:firstLine="240"/>
      </w:pPr>
    </w:p>
    <w:p>
      <w:pPr>
        <w:pStyle w:val="2"/>
        <w:ind w:firstLine="240"/>
      </w:pPr>
    </w:p>
    <w:p>
      <w:pPr>
        <w:spacing w:line="420" w:lineRule="exact"/>
        <w:ind w:firstLine="600" w:firstLineChars="250"/>
        <w:rPr>
          <w:sz w:val="24"/>
        </w:rPr>
      </w:pPr>
    </w:p>
    <w:p>
      <w:pPr>
        <w:spacing w:line="420" w:lineRule="exact"/>
        <w:ind w:firstLine="600" w:firstLineChars="250"/>
        <w:rPr>
          <w:sz w:val="24"/>
        </w:rPr>
      </w:pPr>
    </w:p>
    <w:p>
      <w:bookmarkStart w:id="7133" w:name="_Toc20398"/>
      <w:bookmarkStart w:id="7134" w:name="_Toc233290479"/>
      <w:bookmarkStart w:id="7135" w:name="_Toc6567"/>
      <w:bookmarkStart w:id="7136" w:name="_Toc288491894"/>
      <w:bookmarkStart w:id="7137" w:name="_Toc9269"/>
      <w:bookmarkStart w:id="7138" w:name="_Toc28894"/>
      <w:bookmarkStart w:id="7139" w:name="_Toc12204"/>
      <w:bookmarkStart w:id="7140" w:name="_Toc26281"/>
      <w:bookmarkStart w:id="7141" w:name="_Toc283794563"/>
      <w:bookmarkStart w:id="7142" w:name="_Toc288547019"/>
      <w:bookmarkStart w:id="7143" w:name="_Toc233423364"/>
      <w:bookmarkStart w:id="7144" w:name="_Toc28047"/>
      <w:bookmarkStart w:id="7145" w:name="_Toc17254"/>
      <w:bookmarkStart w:id="7146" w:name="_Toc233429881"/>
      <w:bookmarkStart w:id="7147" w:name="_Toc252720326"/>
      <w:bookmarkStart w:id="7148" w:name="_Toc282779875"/>
      <w:bookmarkStart w:id="7149" w:name="_Toc5514"/>
      <w:bookmarkStart w:id="7150" w:name="_Toc287853716"/>
      <w:bookmarkStart w:id="7151" w:name="_Toc233215034"/>
      <w:bookmarkStart w:id="7152" w:name="_Toc233436022"/>
      <w:bookmarkStart w:id="7153" w:name="_Toc282779366"/>
      <w:bookmarkStart w:id="7154" w:name="_Toc282787830"/>
      <w:bookmarkStart w:id="7155" w:name="_Toc19202"/>
      <w:bookmarkStart w:id="7156" w:name="_Toc26805"/>
      <w:bookmarkStart w:id="7157" w:name="_Toc20576"/>
      <w:bookmarkStart w:id="7158" w:name="_Toc12904"/>
      <w:bookmarkStart w:id="7159" w:name="_Toc29546"/>
    </w:p>
    <w:p>
      <w:pPr>
        <w:pStyle w:val="5"/>
        <w:spacing w:before="0" w:after="0" w:line="240" w:lineRule="auto"/>
        <w:ind w:firstLine="2772" w:firstLineChars="900"/>
        <w:rPr>
          <w:b w:val="0"/>
        </w:rPr>
      </w:pPr>
      <w:bookmarkStart w:id="7160" w:name="_Toc6573"/>
      <w:bookmarkStart w:id="7161" w:name="_Toc22230"/>
      <w:bookmarkStart w:id="7162" w:name="_Toc5633"/>
      <w:bookmarkStart w:id="7163" w:name="_Toc18810"/>
      <w:r>
        <w:rPr>
          <w:rFonts w:hint="eastAsia"/>
          <w:b w:val="0"/>
        </w:rPr>
        <w:t>四、养护工程作业方案</w:t>
      </w:r>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p>
    <w:p>
      <w:pPr>
        <w:spacing w:line="420" w:lineRule="exact"/>
        <w:ind w:firstLine="600" w:firstLineChars="250"/>
        <w:rPr>
          <w:sz w:val="24"/>
        </w:rPr>
      </w:pPr>
    </w:p>
    <w:p>
      <w:pPr>
        <w:spacing w:line="420" w:lineRule="exact"/>
        <w:ind w:firstLine="600" w:firstLineChars="250"/>
        <w:rPr>
          <w:sz w:val="24"/>
        </w:rPr>
      </w:pPr>
      <w:r>
        <w:rPr>
          <w:rFonts w:hint="eastAsia"/>
          <w:sz w:val="24"/>
        </w:rPr>
        <w:t>1．投标人应按以下要点编制养护工程作业方案（文字要求精练、内容具有针对性）：</w:t>
      </w:r>
    </w:p>
    <w:p>
      <w:pPr>
        <w:spacing w:line="420" w:lineRule="exact"/>
        <w:ind w:firstLine="480" w:firstLineChars="200"/>
        <w:rPr>
          <w:sz w:val="24"/>
        </w:rPr>
      </w:pPr>
      <w:r>
        <w:rPr>
          <w:rFonts w:hint="eastAsia"/>
          <w:sz w:val="24"/>
        </w:rPr>
        <w:t>（1）养护工程的施工组织、现场布置</w:t>
      </w:r>
    </w:p>
    <w:p>
      <w:pPr>
        <w:spacing w:line="420" w:lineRule="exact"/>
        <w:ind w:firstLine="480" w:firstLineChars="200"/>
        <w:rPr>
          <w:sz w:val="24"/>
        </w:rPr>
      </w:pPr>
      <w:r>
        <w:rPr>
          <w:rFonts w:hint="eastAsia"/>
          <w:sz w:val="24"/>
        </w:rPr>
        <w:t>（2）劳动力、机械设备、材料的供应及资金流量计划</w:t>
      </w:r>
    </w:p>
    <w:p>
      <w:pPr>
        <w:spacing w:line="420" w:lineRule="exact"/>
        <w:ind w:firstLine="480" w:firstLineChars="200"/>
        <w:rPr>
          <w:sz w:val="24"/>
        </w:rPr>
      </w:pPr>
      <w:r>
        <w:rPr>
          <w:rFonts w:hint="eastAsia"/>
          <w:sz w:val="24"/>
        </w:rPr>
        <w:t>（3）大中修养护工程的技术措施和保畅方案</w:t>
      </w:r>
    </w:p>
    <w:p>
      <w:pPr>
        <w:spacing w:line="420" w:lineRule="exact"/>
        <w:ind w:firstLine="960" w:firstLineChars="400"/>
        <w:rPr>
          <w:sz w:val="24"/>
        </w:rPr>
      </w:pPr>
      <w:r>
        <w:rPr>
          <w:sz w:val="24"/>
        </w:rPr>
        <w:t>a</w:t>
      </w:r>
      <w:r>
        <w:rPr>
          <w:rFonts w:hint="eastAsia"/>
          <w:sz w:val="24"/>
        </w:rPr>
        <w:t>．施工现场临时用电方案</w:t>
      </w:r>
    </w:p>
    <w:p>
      <w:pPr>
        <w:spacing w:line="420" w:lineRule="exact"/>
        <w:ind w:firstLine="960" w:firstLineChars="400"/>
        <w:rPr>
          <w:sz w:val="24"/>
        </w:rPr>
      </w:pPr>
      <w:r>
        <w:rPr>
          <w:sz w:val="24"/>
        </w:rPr>
        <w:t>b</w:t>
      </w:r>
      <w:r>
        <w:rPr>
          <w:rFonts w:hint="eastAsia"/>
          <w:sz w:val="24"/>
        </w:rPr>
        <w:t>．对下列危险性较大的养护作业</w:t>
      </w:r>
      <w:r>
        <w:rPr>
          <w:rFonts w:hint="eastAsia"/>
          <w:b/>
          <w:bCs/>
          <w:sz w:val="24"/>
        </w:rPr>
        <w:t>（如有）</w:t>
      </w:r>
      <w:r>
        <w:rPr>
          <w:rFonts w:hint="eastAsia"/>
          <w:sz w:val="24"/>
        </w:rPr>
        <w:t>应当编制专项施工方案：</w:t>
      </w:r>
    </w:p>
    <w:p>
      <w:pPr>
        <w:spacing w:line="420" w:lineRule="exact"/>
        <w:ind w:firstLine="1200" w:firstLineChars="500"/>
        <w:rPr>
          <w:sz w:val="24"/>
        </w:rPr>
      </w:pPr>
      <w:r>
        <w:rPr>
          <w:rFonts w:hint="eastAsia" w:ascii="宋体" w:hAnsi="宋体" w:cs="宋体"/>
          <w:sz w:val="24"/>
        </w:rPr>
        <w:t>①</w:t>
      </w:r>
      <w:r>
        <w:rPr>
          <w:rFonts w:hint="eastAsia"/>
          <w:sz w:val="24"/>
        </w:rPr>
        <w:t xml:space="preserve"> 不良地质条件下有潜在危险性的土方、石方开挖</w:t>
      </w:r>
    </w:p>
    <w:p>
      <w:pPr>
        <w:spacing w:line="420" w:lineRule="exact"/>
        <w:ind w:firstLine="1200" w:firstLineChars="500"/>
        <w:rPr>
          <w:sz w:val="24"/>
        </w:rPr>
      </w:pPr>
      <w:r>
        <w:rPr>
          <w:rFonts w:hint="eastAsia" w:ascii="宋体" w:hAnsi="宋体" w:cs="宋体"/>
          <w:sz w:val="24"/>
        </w:rPr>
        <w:t>②</w:t>
      </w:r>
      <w:r>
        <w:rPr>
          <w:rFonts w:hint="eastAsia"/>
          <w:sz w:val="24"/>
        </w:rPr>
        <w:t xml:space="preserve"> 滑坡和高边坡处理</w:t>
      </w:r>
    </w:p>
    <w:p>
      <w:pPr>
        <w:spacing w:line="420" w:lineRule="exact"/>
        <w:ind w:firstLine="1200" w:firstLineChars="500"/>
        <w:rPr>
          <w:sz w:val="24"/>
        </w:rPr>
      </w:pPr>
      <w:r>
        <w:rPr>
          <w:rFonts w:hint="eastAsia" w:ascii="宋体" w:hAnsi="宋体" w:cs="宋体"/>
          <w:sz w:val="24"/>
        </w:rPr>
        <w:t>③</w:t>
      </w:r>
      <w:r>
        <w:rPr>
          <w:rFonts w:hint="eastAsia"/>
          <w:sz w:val="24"/>
        </w:rPr>
        <w:t xml:space="preserve"> 桩基础、挡墙基础、深水基础及围堰工程</w:t>
      </w:r>
    </w:p>
    <w:p>
      <w:pPr>
        <w:spacing w:line="420" w:lineRule="exact"/>
        <w:ind w:firstLine="1200" w:firstLineChars="500"/>
        <w:rPr>
          <w:sz w:val="24"/>
        </w:rPr>
      </w:pPr>
      <w:r>
        <w:rPr>
          <w:rFonts w:hint="eastAsia" w:ascii="宋体" w:hAnsi="宋体" w:cs="宋体"/>
          <w:sz w:val="24"/>
        </w:rPr>
        <w:t>④</w:t>
      </w:r>
      <w:r>
        <w:rPr>
          <w:rFonts w:hint="eastAsia"/>
          <w:sz w:val="24"/>
        </w:rPr>
        <w:t xml:space="preserve"> 桥梁工程中的梁、拱、柱等构件施工</w:t>
      </w:r>
    </w:p>
    <w:p>
      <w:pPr>
        <w:spacing w:line="420" w:lineRule="exact"/>
        <w:ind w:firstLine="1200" w:firstLineChars="500"/>
        <w:rPr>
          <w:sz w:val="24"/>
        </w:rPr>
      </w:pPr>
      <w:r>
        <w:rPr>
          <w:rFonts w:hint="eastAsia" w:ascii="宋体" w:hAnsi="宋体" w:cs="宋体"/>
          <w:sz w:val="24"/>
        </w:rPr>
        <w:t xml:space="preserve">⑤ </w:t>
      </w:r>
      <w:r>
        <w:rPr>
          <w:rFonts w:hint="eastAsia"/>
          <w:sz w:val="24"/>
        </w:rPr>
        <w:t>大型临时工程中的大型支架、模板、便桥的架设与拆除</w:t>
      </w:r>
    </w:p>
    <w:p>
      <w:pPr>
        <w:spacing w:line="420" w:lineRule="exact"/>
        <w:ind w:firstLine="1200" w:firstLineChars="500"/>
        <w:rPr>
          <w:rFonts w:ascii="宋体" w:hAnsi="宋体" w:cs="宋体"/>
          <w:sz w:val="24"/>
        </w:rPr>
      </w:pPr>
      <w:r>
        <w:rPr>
          <w:rFonts w:hint="eastAsia" w:ascii="宋体" w:hAnsi="宋体" w:cs="宋体"/>
          <w:sz w:val="24"/>
        </w:rPr>
        <w:t xml:space="preserve">⑥ </w:t>
      </w:r>
      <w:r>
        <w:rPr>
          <w:rFonts w:hint="eastAsia"/>
          <w:sz w:val="24"/>
        </w:rPr>
        <w:t>爆破工程</w:t>
      </w:r>
    </w:p>
    <w:p>
      <w:pPr>
        <w:spacing w:line="420" w:lineRule="exact"/>
        <w:ind w:firstLine="1200" w:firstLineChars="500"/>
        <w:rPr>
          <w:sz w:val="24"/>
        </w:rPr>
      </w:pPr>
      <w:r>
        <w:rPr>
          <w:rFonts w:hint="eastAsia"/>
          <w:sz w:val="24"/>
        </w:rPr>
        <w:t>⑦ 其它危险性较大的养护作业</w:t>
      </w:r>
    </w:p>
    <w:p>
      <w:pPr>
        <w:spacing w:line="420" w:lineRule="exact"/>
        <w:ind w:firstLine="480" w:firstLineChars="200"/>
        <w:rPr>
          <w:sz w:val="24"/>
        </w:rPr>
      </w:pPr>
      <w:r>
        <w:rPr>
          <w:rFonts w:hint="eastAsia"/>
          <w:sz w:val="24"/>
        </w:rPr>
        <w:t>（4）质量、安全保证体系</w:t>
      </w:r>
    </w:p>
    <w:p>
      <w:pPr>
        <w:spacing w:line="420" w:lineRule="exact"/>
        <w:ind w:firstLine="480" w:firstLineChars="200"/>
        <w:rPr>
          <w:sz w:val="24"/>
        </w:rPr>
      </w:pPr>
      <w:r>
        <w:rPr>
          <w:rFonts w:hint="eastAsia"/>
          <w:sz w:val="24"/>
        </w:rPr>
        <w:t>（5）环境保护措施</w:t>
      </w:r>
    </w:p>
    <w:p>
      <w:pPr>
        <w:spacing w:line="420" w:lineRule="exact"/>
        <w:ind w:firstLine="480" w:firstLineChars="200"/>
        <w:rPr>
          <w:sz w:val="24"/>
        </w:rPr>
      </w:pPr>
      <w:r>
        <w:rPr>
          <w:rFonts w:hint="eastAsia"/>
          <w:sz w:val="24"/>
        </w:rPr>
        <w:t>（6）边通车边施工方案（投标人应详细编写边通车边施工的技术方案，若中标及时送主管单位审批）</w:t>
      </w:r>
    </w:p>
    <w:p>
      <w:pPr>
        <w:spacing w:line="420" w:lineRule="exact"/>
        <w:ind w:firstLine="480" w:firstLineChars="200"/>
        <w:rPr>
          <w:sz w:val="24"/>
        </w:rPr>
      </w:pPr>
      <w:r>
        <w:rPr>
          <w:rFonts w:hint="eastAsia"/>
          <w:sz w:val="24"/>
        </w:rPr>
        <w:t>（7）其它应说明的事项</w:t>
      </w:r>
    </w:p>
    <w:p>
      <w:pPr>
        <w:spacing w:line="420" w:lineRule="exact"/>
        <w:ind w:firstLine="600" w:firstLineChars="250"/>
        <w:rPr>
          <w:sz w:val="24"/>
        </w:rPr>
      </w:pPr>
      <w:r>
        <w:rPr>
          <w:rFonts w:hint="eastAsia"/>
          <w:sz w:val="24"/>
        </w:rPr>
        <w:t>2．养护工程作业方案除采用文字表述外可附下列图表，图表及格式要求附后。</w:t>
      </w:r>
    </w:p>
    <w:p>
      <w:pPr>
        <w:spacing w:line="420" w:lineRule="exact"/>
        <w:ind w:firstLine="960" w:firstLineChars="400"/>
        <w:rPr>
          <w:sz w:val="24"/>
        </w:rPr>
      </w:pPr>
      <w:r>
        <w:rPr>
          <w:rFonts w:hint="eastAsia"/>
          <w:sz w:val="24"/>
        </w:rPr>
        <w:t>附表一  总体作业计划表</w:t>
      </w:r>
    </w:p>
    <w:p>
      <w:pPr>
        <w:spacing w:line="420" w:lineRule="exact"/>
        <w:ind w:firstLine="960" w:firstLineChars="400"/>
        <w:rPr>
          <w:sz w:val="24"/>
        </w:rPr>
      </w:pPr>
      <w:r>
        <w:rPr>
          <w:rFonts w:hint="eastAsia"/>
          <w:sz w:val="24"/>
        </w:rPr>
        <w:t>附表二  施工总平面图</w:t>
      </w:r>
    </w:p>
    <w:p>
      <w:pPr>
        <w:spacing w:line="420" w:lineRule="exact"/>
        <w:ind w:firstLine="960" w:firstLineChars="400"/>
        <w:rPr>
          <w:sz w:val="24"/>
        </w:rPr>
      </w:pPr>
      <w:r>
        <w:rPr>
          <w:rFonts w:hint="eastAsia"/>
          <w:sz w:val="24"/>
        </w:rPr>
        <w:t>附表三  劳动力计划表</w:t>
      </w:r>
    </w:p>
    <w:p>
      <w:pPr>
        <w:spacing w:line="420" w:lineRule="exact"/>
        <w:ind w:firstLine="960" w:firstLineChars="400"/>
        <w:rPr>
          <w:sz w:val="24"/>
        </w:rPr>
      </w:pPr>
      <w:r>
        <w:rPr>
          <w:rFonts w:hint="eastAsia"/>
          <w:sz w:val="24"/>
        </w:rPr>
        <w:t>附表四  临时占地计划表</w:t>
      </w:r>
    </w:p>
    <w:p>
      <w:pPr>
        <w:spacing w:line="420" w:lineRule="exact"/>
        <w:ind w:firstLine="960" w:firstLineChars="400"/>
        <w:rPr>
          <w:sz w:val="24"/>
        </w:rPr>
      </w:pPr>
      <w:r>
        <w:rPr>
          <w:rFonts w:hint="eastAsia"/>
          <w:sz w:val="24"/>
        </w:rPr>
        <w:t>附表五  外供电力需求计划表</w:t>
      </w:r>
    </w:p>
    <w:p>
      <w:pPr>
        <w:spacing w:line="420" w:lineRule="exact"/>
        <w:ind w:firstLine="960" w:firstLineChars="400"/>
        <w:rPr>
          <w:sz w:val="24"/>
        </w:rPr>
      </w:pPr>
      <w:r>
        <w:rPr>
          <w:rFonts w:hint="eastAsia"/>
          <w:sz w:val="24"/>
        </w:rPr>
        <w:t>附表六  合同用款估算表</w:t>
      </w:r>
    </w:p>
    <w:p>
      <w:pPr>
        <w:spacing w:afterLines="50" w:line="240" w:lineRule="exact"/>
        <w:rPr>
          <w:sz w:val="24"/>
        </w:rPr>
      </w:pPr>
    </w:p>
    <w:p>
      <w:pPr>
        <w:spacing w:afterLines="50" w:line="240" w:lineRule="exact"/>
        <w:rPr>
          <w:sz w:val="24"/>
        </w:rPr>
      </w:pPr>
    </w:p>
    <w:p>
      <w:pPr>
        <w:spacing w:afterLines="50" w:line="240" w:lineRule="exact"/>
        <w:rPr>
          <w:sz w:val="24"/>
        </w:rPr>
      </w:pPr>
    </w:p>
    <w:p>
      <w:pPr>
        <w:spacing w:afterLines="50" w:line="240" w:lineRule="exact"/>
        <w:rPr>
          <w:sz w:val="24"/>
        </w:rPr>
      </w:pPr>
    </w:p>
    <w:p>
      <w:pPr>
        <w:pStyle w:val="2"/>
        <w:ind w:firstLine="240"/>
      </w:pPr>
    </w:p>
    <w:p>
      <w:pPr>
        <w:pStyle w:val="2"/>
        <w:ind w:firstLine="240"/>
      </w:pPr>
    </w:p>
    <w:p>
      <w:pPr>
        <w:spacing w:afterLines="50" w:line="240" w:lineRule="exact"/>
        <w:rPr>
          <w:sz w:val="24"/>
        </w:rPr>
      </w:pPr>
    </w:p>
    <w:p>
      <w:pPr>
        <w:pStyle w:val="2"/>
        <w:ind w:firstLine="240"/>
      </w:pPr>
    </w:p>
    <w:p>
      <w:pPr>
        <w:pStyle w:val="6"/>
        <w:spacing w:before="0" w:after="0" w:line="260" w:lineRule="exact"/>
        <w:rPr>
          <w:rFonts w:ascii="黑体" w:hAnsi="黑体" w:eastAsia="黑体"/>
          <w:b w:val="0"/>
          <w:bCs w:val="0"/>
          <w:sz w:val="24"/>
          <w:szCs w:val="24"/>
        </w:rPr>
      </w:pPr>
      <w:bookmarkStart w:id="7164" w:name="_Toc13596"/>
      <w:bookmarkStart w:id="7165" w:name="_Toc283794564"/>
      <w:bookmarkStart w:id="7166" w:name="_Toc27400"/>
      <w:bookmarkStart w:id="7167" w:name="_Toc5281"/>
      <w:bookmarkStart w:id="7168" w:name="_Toc14372"/>
      <w:bookmarkStart w:id="7169" w:name="_Toc13238"/>
      <w:bookmarkStart w:id="7170" w:name="_Toc10675"/>
      <w:bookmarkStart w:id="7171" w:name="_Toc287853717"/>
      <w:bookmarkStart w:id="7172" w:name="_Toc648"/>
      <w:bookmarkStart w:id="7173" w:name="_Toc13292"/>
      <w:bookmarkStart w:id="7174" w:name="_Toc11148"/>
      <w:bookmarkStart w:id="7175" w:name="_Toc282787831"/>
      <w:bookmarkStart w:id="7176" w:name="_Toc13317"/>
      <w:bookmarkStart w:id="7177" w:name="_Toc806"/>
      <w:bookmarkStart w:id="7178" w:name="_Toc11927"/>
      <w:bookmarkStart w:id="7179" w:name="_Toc288547020"/>
      <w:bookmarkStart w:id="7180" w:name="_Toc30697"/>
      <w:bookmarkStart w:id="7181" w:name="_Toc282779367"/>
      <w:bookmarkStart w:id="7182" w:name="_Toc14620"/>
      <w:bookmarkStart w:id="7183" w:name="_Toc29553"/>
      <w:bookmarkStart w:id="7184" w:name="_Toc288491895"/>
      <w:bookmarkStart w:id="7185" w:name="_Toc11070"/>
      <w:bookmarkStart w:id="7186" w:name="_Toc18804"/>
      <w:bookmarkStart w:id="7187" w:name="_Toc24112"/>
      <w:bookmarkStart w:id="7188" w:name="_Toc282779876"/>
      <w:r>
        <w:rPr>
          <w:rFonts w:hint="eastAsia" w:ascii="黑体" w:hAnsi="黑体" w:eastAsia="黑体"/>
          <w:b w:val="0"/>
          <w:bCs w:val="0"/>
          <w:sz w:val="24"/>
          <w:szCs w:val="24"/>
        </w:rPr>
        <w:t>附表一  总体作业计划表</w:t>
      </w:r>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p>
    <w:tbl>
      <w:tblPr>
        <w:tblStyle w:val="20"/>
        <w:tblpPr w:leftFromText="180" w:rightFromText="180" w:vertAnchor="text" w:horzAnchor="margin" w:tblpX="94" w:tblpY="684"/>
        <w:tblOverlap w:val="never"/>
        <w:tblW w:w="862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00"/>
        <w:gridCol w:w="483"/>
        <w:gridCol w:w="781"/>
        <w:gridCol w:w="397"/>
        <w:gridCol w:w="398"/>
        <w:gridCol w:w="397"/>
        <w:gridCol w:w="397"/>
        <w:gridCol w:w="398"/>
        <w:gridCol w:w="397"/>
        <w:gridCol w:w="398"/>
        <w:gridCol w:w="397"/>
        <w:gridCol w:w="398"/>
        <w:gridCol w:w="397"/>
        <w:gridCol w:w="398"/>
        <w:gridCol w:w="397"/>
        <w:gridCol w:w="397"/>
        <w:gridCol w:w="398"/>
        <w:gridCol w:w="398"/>
        <w:gridCol w:w="396"/>
        <w:gridCol w:w="39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2" w:hRule="atLeast"/>
        </w:trPr>
        <w:tc>
          <w:tcPr>
            <w:tcW w:w="600" w:type="dxa"/>
            <w:vMerge w:val="restart"/>
            <w:tcBorders>
              <w:top w:val="nil"/>
              <w:left w:val="nil"/>
              <w:bottom w:val="nil"/>
              <w:right w:val="single" w:color="auto" w:sz="12" w:space="0"/>
            </w:tcBorders>
            <w:textDirection w:val="btLr"/>
            <w:vAlign w:val="center"/>
          </w:tcPr>
          <w:p>
            <w:pPr>
              <w:spacing w:line="420" w:lineRule="exact"/>
              <w:ind w:left="113" w:leftChars="54" w:right="113" w:firstLine="160" w:firstLineChars="50"/>
              <w:rPr>
                <w:rFonts w:ascii="黑体" w:eastAsia="黑体"/>
                <w:sz w:val="32"/>
                <w:szCs w:val="32"/>
              </w:rPr>
            </w:pPr>
            <w:r>
              <w:rPr>
                <w:rFonts w:hint="eastAsia" w:ascii="黑体" w:eastAsia="黑体"/>
                <w:sz w:val="32"/>
                <w:szCs w:val="32"/>
              </w:rPr>
              <w:t xml:space="preserve">                               总体作业计划表</w:t>
            </w:r>
          </w:p>
        </w:tc>
        <w:tc>
          <w:tcPr>
            <w:tcW w:w="483" w:type="dxa"/>
            <w:vMerge w:val="restart"/>
            <w:tcBorders>
              <w:top w:val="single" w:color="auto" w:sz="12" w:space="0"/>
              <w:left w:val="single" w:color="auto" w:sz="12" w:space="0"/>
            </w:tcBorders>
            <w:textDirection w:val="btLr"/>
            <w:vAlign w:val="center"/>
          </w:tcPr>
          <w:p>
            <w:pPr>
              <w:spacing w:line="200" w:lineRule="exact"/>
              <w:ind w:left="113" w:leftChars="54" w:right="113" w:firstLine="180" w:firstLineChars="100"/>
              <w:rPr>
                <w:sz w:val="18"/>
                <w:szCs w:val="18"/>
              </w:rPr>
            </w:pPr>
            <w:r>
              <w:rPr>
                <w:rFonts w:hAnsi="宋体"/>
                <w:sz w:val="18"/>
                <w:szCs w:val="18"/>
              </w:rPr>
              <w:t>年</w:t>
            </w:r>
          </w:p>
        </w:tc>
        <w:tc>
          <w:tcPr>
            <w:tcW w:w="781" w:type="dxa"/>
            <w:textDirection w:val="btLr"/>
            <w:vAlign w:val="center"/>
          </w:tcPr>
          <w:p>
            <w:pPr>
              <w:spacing w:line="200" w:lineRule="exact"/>
              <w:ind w:left="113" w:right="113"/>
              <w:jc w:val="center"/>
              <w:rPr>
                <w:rFonts w:ascii="宋体" w:hAnsi="宋体"/>
                <w:sz w:val="18"/>
                <w:szCs w:val="18"/>
              </w:rPr>
            </w:pPr>
            <w:r>
              <w:rPr>
                <w:rFonts w:ascii="宋体" w:hAnsi="宋体"/>
                <w:sz w:val="18"/>
                <w:szCs w:val="18"/>
              </w:rPr>
              <w:t>…</w:t>
            </w: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6"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00" w:hRule="atLeast"/>
        </w:trPr>
        <w:tc>
          <w:tcPr>
            <w:tcW w:w="600" w:type="dxa"/>
            <w:vMerge w:val="continue"/>
            <w:tcBorders>
              <w:left w:val="nil"/>
              <w:bottom w:val="nil"/>
              <w:right w:val="single" w:color="auto" w:sz="12" w:space="0"/>
            </w:tcBorders>
            <w:textDirection w:val="btLr"/>
          </w:tcPr>
          <w:p>
            <w:pPr>
              <w:spacing w:line="200" w:lineRule="exact"/>
              <w:ind w:left="113" w:right="113"/>
              <w:rPr>
                <w:sz w:val="18"/>
                <w:szCs w:val="18"/>
              </w:rPr>
            </w:pPr>
          </w:p>
        </w:tc>
        <w:tc>
          <w:tcPr>
            <w:tcW w:w="483" w:type="dxa"/>
            <w:vMerge w:val="continue"/>
            <w:tcBorders>
              <w:left w:val="single" w:color="auto" w:sz="12" w:space="0"/>
            </w:tcBorders>
            <w:textDirection w:val="btLr"/>
            <w:vAlign w:val="center"/>
          </w:tcPr>
          <w:p>
            <w:pPr>
              <w:spacing w:line="200" w:lineRule="exact"/>
              <w:ind w:left="113" w:right="113"/>
              <w:rPr>
                <w:sz w:val="18"/>
                <w:szCs w:val="18"/>
              </w:rPr>
            </w:pPr>
          </w:p>
        </w:tc>
        <w:tc>
          <w:tcPr>
            <w:tcW w:w="781" w:type="dxa"/>
            <w:textDirection w:val="btLr"/>
            <w:vAlign w:val="center"/>
          </w:tcPr>
          <w:p>
            <w:pPr>
              <w:spacing w:line="200" w:lineRule="exact"/>
              <w:ind w:left="113" w:right="113"/>
              <w:rPr>
                <w:sz w:val="18"/>
                <w:szCs w:val="18"/>
              </w:rPr>
            </w:pPr>
            <w:r>
              <w:rPr>
                <w:sz w:val="18"/>
                <w:szCs w:val="18"/>
              </w:rPr>
              <w:t>5</w:t>
            </w: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6"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00" w:hRule="atLeast"/>
        </w:trPr>
        <w:tc>
          <w:tcPr>
            <w:tcW w:w="600" w:type="dxa"/>
            <w:vMerge w:val="continue"/>
            <w:tcBorders>
              <w:left w:val="nil"/>
              <w:bottom w:val="nil"/>
              <w:right w:val="single" w:color="auto" w:sz="12" w:space="0"/>
            </w:tcBorders>
            <w:textDirection w:val="btLr"/>
          </w:tcPr>
          <w:p>
            <w:pPr>
              <w:spacing w:line="200" w:lineRule="exact"/>
              <w:ind w:left="113" w:right="113"/>
              <w:rPr>
                <w:sz w:val="18"/>
                <w:szCs w:val="18"/>
              </w:rPr>
            </w:pPr>
          </w:p>
        </w:tc>
        <w:tc>
          <w:tcPr>
            <w:tcW w:w="483" w:type="dxa"/>
            <w:vMerge w:val="continue"/>
            <w:tcBorders>
              <w:left w:val="single" w:color="auto" w:sz="12" w:space="0"/>
            </w:tcBorders>
            <w:textDirection w:val="btLr"/>
            <w:vAlign w:val="center"/>
          </w:tcPr>
          <w:p>
            <w:pPr>
              <w:spacing w:line="200" w:lineRule="exact"/>
              <w:ind w:left="113" w:right="113"/>
              <w:rPr>
                <w:sz w:val="18"/>
                <w:szCs w:val="18"/>
              </w:rPr>
            </w:pPr>
          </w:p>
        </w:tc>
        <w:tc>
          <w:tcPr>
            <w:tcW w:w="781" w:type="dxa"/>
            <w:textDirection w:val="btLr"/>
            <w:vAlign w:val="center"/>
          </w:tcPr>
          <w:p>
            <w:pPr>
              <w:spacing w:line="200" w:lineRule="exact"/>
              <w:ind w:left="113" w:right="113"/>
              <w:rPr>
                <w:sz w:val="18"/>
                <w:szCs w:val="18"/>
              </w:rPr>
            </w:pPr>
            <w:r>
              <w:rPr>
                <w:sz w:val="18"/>
                <w:szCs w:val="18"/>
              </w:rPr>
              <w:t>4</w:t>
            </w: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6"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00" w:hRule="atLeast"/>
        </w:trPr>
        <w:tc>
          <w:tcPr>
            <w:tcW w:w="600" w:type="dxa"/>
            <w:vMerge w:val="continue"/>
            <w:tcBorders>
              <w:left w:val="nil"/>
              <w:bottom w:val="nil"/>
              <w:right w:val="single" w:color="auto" w:sz="12" w:space="0"/>
            </w:tcBorders>
            <w:textDirection w:val="btLr"/>
          </w:tcPr>
          <w:p>
            <w:pPr>
              <w:spacing w:line="200" w:lineRule="exact"/>
              <w:ind w:left="113" w:right="113"/>
              <w:rPr>
                <w:sz w:val="18"/>
                <w:szCs w:val="18"/>
              </w:rPr>
            </w:pPr>
          </w:p>
        </w:tc>
        <w:tc>
          <w:tcPr>
            <w:tcW w:w="483" w:type="dxa"/>
            <w:vMerge w:val="continue"/>
            <w:tcBorders>
              <w:left w:val="single" w:color="auto" w:sz="12" w:space="0"/>
            </w:tcBorders>
            <w:textDirection w:val="btLr"/>
            <w:vAlign w:val="center"/>
          </w:tcPr>
          <w:p>
            <w:pPr>
              <w:spacing w:line="200" w:lineRule="exact"/>
              <w:ind w:left="113" w:right="113"/>
              <w:rPr>
                <w:sz w:val="18"/>
                <w:szCs w:val="18"/>
              </w:rPr>
            </w:pPr>
          </w:p>
        </w:tc>
        <w:tc>
          <w:tcPr>
            <w:tcW w:w="781" w:type="dxa"/>
            <w:textDirection w:val="btLr"/>
            <w:vAlign w:val="center"/>
          </w:tcPr>
          <w:p>
            <w:pPr>
              <w:spacing w:line="200" w:lineRule="exact"/>
              <w:ind w:left="113" w:right="113"/>
              <w:rPr>
                <w:sz w:val="18"/>
                <w:szCs w:val="18"/>
              </w:rPr>
            </w:pPr>
            <w:r>
              <w:rPr>
                <w:sz w:val="18"/>
                <w:szCs w:val="18"/>
              </w:rPr>
              <w:t>3</w:t>
            </w: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6"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00" w:hRule="atLeast"/>
        </w:trPr>
        <w:tc>
          <w:tcPr>
            <w:tcW w:w="600" w:type="dxa"/>
            <w:vMerge w:val="continue"/>
            <w:tcBorders>
              <w:left w:val="nil"/>
              <w:bottom w:val="nil"/>
              <w:right w:val="single" w:color="auto" w:sz="12" w:space="0"/>
            </w:tcBorders>
            <w:textDirection w:val="btLr"/>
          </w:tcPr>
          <w:p>
            <w:pPr>
              <w:spacing w:line="200" w:lineRule="exact"/>
              <w:ind w:left="113" w:right="113"/>
              <w:rPr>
                <w:sz w:val="18"/>
                <w:szCs w:val="18"/>
              </w:rPr>
            </w:pPr>
          </w:p>
        </w:tc>
        <w:tc>
          <w:tcPr>
            <w:tcW w:w="483" w:type="dxa"/>
            <w:vMerge w:val="continue"/>
            <w:tcBorders>
              <w:left w:val="single" w:color="auto" w:sz="12" w:space="0"/>
            </w:tcBorders>
            <w:textDirection w:val="btLr"/>
            <w:vAlign w:val="center"/>
          </w:tcPr>
          <w:p>
            <w:pPr>
              <w:spacing w:line="200" w:lineRule="exact"/>
              <w:ind w:left="113" w:right="113"/>
              <w:rPr>
                <w:sz w:val="18"/>
                <w:szCs w:val="18"/>
              </w:rPr>
            </w:pPr>
          </w:p>
        </w:tc>
        <w:tc>
          <w:tcPr>
            <w:tcW w:w="781" w:type="dxa"/>
            <w:textDirection w:val="btLr"/>
            <w:vAlign w:val="center"/>
          </w:tcPr>
          <w:p>
            <w:pPr>
              <w:spacing w:line="200" w:lineRule="exact"/>
              <w:ind w:left="113" w:right="113"/>
              <w:rPr>
                <w:sz w:val="18"/>
                <w:szCs w:val="18"/>
              </w:rPr>
            </w:pPr>
            <w:r>
              <w:rPr>
                <w:sz w:val="18"/>
                <w:szCs w:val="18"/>
              </w:rPr>
              <w:t>2</w:t>
            </w: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6"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00" w:hRule="atLeast"/>
        </w:trPr>
        <w:tc>
          <w:tcPr>
            <w:tcW w:w="600" w:type="dxa"/>
            <w:vMerge w:val="continue"/>
            <w:tcBorders>
              <w:left w:val="nil"/>
              <w:bottom w:val="nil"/>
              <w:right w:val="single" w:color="auto" w:sz="12" w:space="0"/>
            </w:tcBorders>
            <w:textDirection w:val="btLr"/>
          </w:tcPr>
          <w:p>
            <w:pPr>
              <w:spacing w:line="200" w:lineRule="exact"/>
              <w:ind w:left="113" w:right="113"/>
              <w:rPr>
                <w:sz w:val="18"/>
                <w:szCs w:val="18"/>
              </w:rPr>
            </w:pPr>
          </w:p>
        </w:tc>
        <w:tc>
          <w:tcPr>
            <w:tcW w:w="483" w:type="dxa"/>
            <w:vMerge w:val="continue"/>
            <w:tcBorders>
              <w:left w:val="single" w:color="auto" w:sz="12" w:space="0"/>
            </w:tcBorders>
            <w:textDirection w:val="btLr"/>
            <w:vAlign w:val="center"/>
          </w:tcPr>
          <w:p>
            <w:pPr>
              <w:spacing w:line="200" w:lineRule="exact"/>
              <w:ind w:left="113" w:right="113"/>
              <w:rPr>
                <w:sz w:val="18"/>
                <w:szCs w:val="18"/>
              </w:rPr>
            </w:pPr>
          </w:p>
        </w:tc>
        <w:tc>
          <w:tcPr>
            <w:tcW w:w="781" w:type="dxa"/>
            <w:textDirection w:val="btLr"/>
            <w:vAlign w:val="center"/>
          </w:tcPr>
          <w:p>
            <w:pPr>
              <w:spacing w:line="200" w:lineRule="exact"/>
              <w:ind w:left="113" w:right="113"/>
              <w:rPr>
                <w:sz w:val="18"/>
                <w:szCs w:val="18"/>
              </w:rPr>
            </w:pPr>
            <w:r>
              <w:rPr>
                <w:sz w:val="18"/>
                <w:szCs w:val="18"/>
              </w:rPr>
              <w:t>1</w:t>
            </w: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6"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00" w:hRule="atLeast"/>
        </w:trPr>
        <w:tc>
          <w:tcPr>
            <w:tcW w:w="600" w:type="dxa"/>
            <w:vMerge w:val="continue"/>
            <w:tcBorders>
              <w:left w:val="nil"/>
              <w:bottom w:val="nil"/>
              <w:right w:val="single" w:color="auto" w:sz="12" w:space="0"/>
            </w:tcBorders>
            <w:textDirection w:val="btLr"/>
          </w:tcPr>
          <w:p>
            <w:pPr>
              <w:spacing w:line="200" w:lineRule="exact"/>
              <w:ind w:left="113" w:leftChars="54" w:right="113" w:firstLine="180" w:firstLineChars="100"/>
              <w:rPr>
                <w:sz w:val="18"/>
                <w:szCs w:val="18"/>
              </w:rPr>
            </w:pPr>
          </w:p>
        </w:tc>
        <w:tc>
          <w:tcPr>
            <w:tcW w:w="483" w:type="dxa"/>
            <w:vMerge w:val="restart"/>
            <w:tcBorders>
              <w:left w:val="single" w:color="auto" w:sz="12" w:space="0"/>
            </w:tcBorders>
            <w:textDirection w:val="btLr"/>
            <w:vAlign w:val="center"/>
          </w:tcPr>
          <w:p>
            <w:pPr>
              <w:spacing w:line="200" w:lineRule="exact"/>
              <w:ind w:left="113" w:leftChars="54" w:right="113" w:firstLine="180" w:firstLineChars="100"/>
              <w:rPr>
                <w:sz w:val="18"/>
                <w:szCs w:val="18"/>
              </w:rPr>
            </w:pPr>
            <w:r>
              <w:rPr>
                <w:rFonts w:hAnsi="宋体"/>
                <w:sz w:val="18"/>
                <w:szCs w:val="18"/>
              </w:rPr>
              <w:t>年</w:t>
            </w:r>
          </w:p>
        </w:tc>
        <w:tc>
          <w:tcPr>
            <w:tcW w:w="781" w:type="dxa"/>
            <w:textDirection w:val="btLr"/>
            <w:vAlign w:val="center"/>
          </w:tcPr>
          <w:p>
            <w:pPr>
              <w:spacing w:line="200" w:lineRule="exact"/>
              <w:jc w:val="center"/>
              <w:rPr>
                <w:sz w:val="18"/>
                <w:szCs w:val="18"/>
              </w:rPr>
            </w:pPr>
            <w:r>
              <w:rPr>
                <w:sz w:val="18"/>
                <w:szCs w:val="18"/>
              </w:rPr>
              <w:t>12</w:t>
            </w: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6"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00" w:hRule="atLeast"/>
        </w:trPr>
        <w:tc>
          <w:tcPr>
            <w:tcW w:w="600" w:type="dxa"/>
            <w:vMerge w:val="continue"/>
            <w:tcBorders>
              <w:left w:val="nil"/>
              <w:bottom w:val="nil"/>
              <w:right w:val="single" w:color="auto" w:sz="12" w:space="0"/>
            </w:tcBorders>
            <w:textDirection w:val="btLr"/>
          </w:tcPr>
          <w:p>
            <w:pPr>
              <w:spacing w:line="200" w:lineRule="exact"/>
              <w:ind w:left="113" w:right="113"/>
              <w:rPr>
                <w:sz w:val="18"/>
                <w:szCs w:val="18"/>
              </w:rPr>
            </w:pPr>
          </w:p>
        </w:tc>
        <w:tc>
          <w:tcPr>
            <w:tcW w:w="483" w:type="dxa"/>
            <w:vMerge w:val="continue"/>
            <w:tcBorders>
              <w:left w:val="single" w:color="auto" w:sz="12" w:space="0"/>
            </w:tcBorders>
            <w:textDirection w:val="btLr"/>
            <w:vAlign w:val="center"/>
          </w:tcPr>
          <w:p>
            <w:pPr>
              <w:spacing w:line="200" w:lineRule="exact"/>
              <w:ind w:left="113" w:right="113"/>
              <w:rPr>
                <w:sz w:val="18"/>
                <w:szCs w:val="18"/>
              </w:rPr>
            </w:pPr>
          </w:p>
        </w:tc>
        <w:tc>
          <w:tcPr>
            <w:tcW w:w="781" w:type="dxa"/>
            <w:textDirection w:val="btLr"/>
            <w:vAlign w:val="center"/>
          </w:tcPr>
          <w:p>
            <w:pPr>
              <w:spacing w:line="200" w:lineRule="exact"/>
              <w:jc w:val="center"/>
              <w:rPr>
                <w:sz w:val="18"/>
                <w:szCs w:val="18"/>
              </w:rPr>
            </w:pPr>
            <w:r>
              <w:rPr>
                <w:sz w:val="18"/>
                <w:szCs w:val="18"/>
              </w:rPr>
              <w:t>11</w:t>
            </w: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6"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00" w:hRule="atLeast"/>
        </w:trPr>
        <w:tc>
          <w:tcPr>
            <w:tcW w:w="600" w:type="dxa"/>
            <w:vMerge w:val="continue"/>
            <w:tcBorders>
              <w:left w:val="nil"/>
              <w:bottom w:val="nil"/>
              <w:right w:val="single" w:color="auto" w:sz="12" w:space="0"/>
            </w:tcBorders>
            <w:textDirection w:val="btLr"/>
          </w:tcPr>
          <w:p>
            <w:pPr>
              <w:spacing w:line="200" w:lineRule="exact"/>
              <w:ind w:left="113" w:right="113"/>
              <w:rPr>
                <w:sz w:val="18"/>
                <w:szCs w:val="18"/>
              </w:rPr>
            </w:pPr>
          </w:p>
        </w:tc>
        <w:tc>
          <w:tcPr>
            <w:tcW w:w="483" w:type="dxa"/>
            <w:vMerge w:val="continue"/>
            <w:tcBorders>
              <w:left w:val="single" w:color="auto" w:sz="12" w:space="0"/>
            </w:tcBorders>
            <w:textDirection w:val="btLr"/>
            <w:vAlign w:val="center"/>
          </w:tcPr>
          <w:p>
            <w:pPr>
              <w:spacing w:line="200" w:lineRule="exact"/>
              <w:ind w:left="113" w:right="113"/>
              <w:rPr>
                <w:sz w:val="18"/>
                <w:szCs w:val="18"/>
              </w:rPr>
            </w:pPr>
          </w:p>
        </w:tc>
        <w:tc>
          <w:tcPr>
            <w:tcW w:w="781" w:type="dxa"/>
            <w:textDirection w:val="btLr"/>
            <w:vAlign w:val="center"/>
          </w:tcPr>
          <w:p>
            <w:pPr>
              <w:spacing w:line="200" w:lineRule="exact"/>
              <w:jc w:val="center"/>
              <w:rPr>
                <w:sz w:val="18"/>
                <w:szCs w:val="18"/>
              </w:rPr>
            </w:pPr>
            <w:r>
              <w:rPr>
                <w:sz w:val="18"/>
                <w:szCs w:val="18"/>
              </w:rPr>
              <w:t>10</w:t>
            </w: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6"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00" w:hRule="atLeast"/>
        </w:trPr>
        <w:tc>
          <w:tcPr>
            <w:tcW w:w="600" w:type="dxa"/>
            <w:vMerge w:val="continue"/>
            <w:tcBorders>
              <w:left w:val="nil"/>
              <w:bottom w:val="nil"/>
              <w:right w:val="single" w:color="auto" w:sz="12" w:space="0"/>
            </w:tcBorders>
            <w:textDirection w:val="btLr"/>
          </w:tcPr>
          <w:p>
            <w:pPr>
              <w:spacing w:line="200" w:lineRule="exact"/>
              <w:ind w:left="113" w:right="113"/>
              <w:rPr>
                <w:sz w:val="18"/>
                <w:szCs w:val="18"/>
              </w:rPr>
            </w:pPr>
          </w:p>
        </w:tc>
        <w:tc>
          <w:tcPr>
            <w:tcW w:w="483" w:type="dxa"/>
            <w:vMerge w:val="continue"/>
            <w:tcBorders>
              <w:left w:val="single" w:color="auto" w:sz="12" w:space="0"/>
            </w:tcBorders>
            <w:textDirection w:val="btLr"/>
            <w:vAlign w:val="center"/>
          </w:tcPr>
          <w:p>
            <w:pPr>
              <w:spacing w:line="200" w:lineRule="exact"/>
              <w:ind w:left="113" w:right="113"/>
              <w:rPr>
                <w:sz w:val="18"/>
                <w:szCs w:val="18"/>
              </w:rPr>
            </w:pPr>
          </w:p>
        </w:tc>
        <w:tc>
          <w:tcPr>
            <w:tcW w:w="781" w:type="dxa"/>
            <w:textDirection w:val="btLr"/>
            <w:vAlign w:val="center"/>
          </w:tcPr>
          <w:p>
            <w:pPr>
              <w:spacing w:line="200" w:lineRule="exact"/>
              <w:ind w:left="113" w:right="113"/>
              <w:rPr>
                <w:sz w:val="18"/>
                <w:szCs w:val="18"/>
              </w:rPr>
            </w:pPr>
            <w:r>
              <w:rPr>
                <w:sz w:val="18"/>
                <w:szCs w:val="18"/>
              </w:rPr>
              <w:t>9</w:t>
            </w: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6"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00" w:hRule="atLeast"/>
        </w:trPr>
        <w:tc>
          <w:tcPr>
            <w:tcW w:w="600" w:type="dxa"/>
            <w:vMerge w:val="continue"/>
            <w:tcBorders>
              <w:left w:val="nil"/>
              <w:bottom w:val="nil"/>
              <w:right w:val="single" w:color="auto" w:sz="12" w:space="0"/>
            </w:tcBorders>
            <w:textDirection w:val="btLr"/>
          </w:tcPr>
          <w:p>
            <w:pPr>
              <w:spacing w:line="200" w:lineRule="exact"/>
              <w:ind w:left="113" w:right="113"/>
              <w:rPr>
                <w:sz w:val="18"/>
                <w:szCs w:val="18"/>
              </w:rPr>
            </w:pPr>
          </w:p>
        </w:tc>
        <w:tc>
          <w:tcPr>
            <w:tcW w:w="483" w:type="dxa"/>
            <w:vMerge w:val="continue"/>
            <w:tcBorders>
              <w:left w:val="single" w:color="auto" w:sz="12" w:space="0"/>
            </w:tcBorders>
            <w:textDirection w:val="btLr"/>
            <w:vAlign w:val="center"/>
          </w:tcPr>
          <w:p>
            <w:pPr>
              <w:spacing w:line="200" w:lineRule="exact"/>
              <w:ind w:left="113" w:right="113"/>
              <w:rPr>
                <w:sz w:val="18"/>
                <w:szCs w:val="18"/>
              </w:rPr>
            </w:pPr>
          </w:p>
        </w:tc>
        <w:tc>
          <w:tcPr>
            <w:tcW w:w="781" w:type="dxa"/>
            <w:textDirection w:val="btLr"/>
            <w:vAlign w:val="center"/>
          </w:tcPr>
          <w:p>
            <w:pPr>
              <w:spacing w:line="200" w:lineRule="exact"/>
              <w:ind w:left="113" w:right="113"/>
              <w:rPr>
                <w:sz w:val="18"/>
                <w:szCs w:val="18"/>
              </w:rPr>
            </w:pPr>
            <w:r>
              <w:rPr>
                <w:sz w:val="18"/>
                <w:szCs w:val="18"/>
              </w:rPr>
              <w:t>8</w:t>
            </w: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6"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00" w:hRule="atLeast"/>
        </w:trPr>
        <w:tc>
          <w:tcPr>
            <w:tcW w:w="600" w:type="dxa"/>
            <w:vMerge w:val="continue"/>
            <w:tcBorders>
              <w:left w:val="nil"/>
              <w:bottom w:val="nil"/>
              <w:right w:val="single" w:color="auto" w:sz="12" w:space="0"/>
            </w:tcBorders>
            <w:textDirection w:val="btLr"/>
          </w:tcPr>
          <w:p>
            <w:pPr>
              <w:spacing w:line="200" w:lineRule="exact"/>
              <w:ind w:left="113" w:right="113"/>
              <w:rPr>
                <w:sz w:val="18"/>
                <w:szCs w:val="18"/>
              </w:rPr>
            </w:pPr>
          </w:p>
        </w:tc>
        <w:tc>
          <w:tcPr>
            <w:tcW w:w="483" w:type="dxa"/>
            <w:vMerge w:val="continue"/>
            <w:tcBorders>
              <w:left w:val="single" w:color="auto" w:sz="12" w:space="0"/>
            </w:tcBorders>
            <w:textDirection w:val="btLr"/>
            <w:vAlign w:val="center"/>
          </w:tcPr>
          <w:p>
            <w:pPr>
              <w:spacing w:line="200" w:lineRule="exact"/>
              <w:ind w:left="113" w:right="113"/>
              <w:rPr>
                <w:sz w:val="18"/>
                <w:szCs w:val="18"/>
              </w:rPr>
            </w:pPr>
          </w:p>
        </w:tc>
        <w:tc>
          <w:tcPr>
            <w:tcW w:w="781" w:type="dxa"/>
            <w:textDirection w:val="btLr"/>
            <w:vAlign w:val="center"/>
          </w:tcPr>
          <w:p>
            <w:pPr>
              <w:spacing w:line="200" w:lineRule="exact"/>
              <w:ind w:left="113" w:right="113"/>
              <w:rPr>
                <w:sz w:val="18"/>
                <w:szCs w:val="18"/>
              </w:rPr>
            </w:pPr>
            <w:r>
              <w:rPr>
                <w:sz w:val="18"/>
                <w:szCs w:val="18"/>
              </w:rPr>
              <w:t>7</w:t>
            </w: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6"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00" w:hRule="atLeast"/>
        </w:trPr>
        <w:tc>
          <w:tcPr>
            <w:tcW w:w="600" w:type="dxa"/>
            <w:vMerge w:val="continue"/>
            <w:tcBorders>
              <w:left w:val="nil"/>
              <w:bottom w:val="nil"/>
              <w:right w:val="single" w:color="auto" w:sz="12" w:space="0"/>
            </w:tcBorders>
            <w:textDirection w:val="btLr"/>
          </w:tcPr>
          <w:p>
            <w:pPr>
              <w:spacing w:line="200" w:lineRule="exact"/>
              <w:ind w:left="113" w:right="113"/>
              <w:rPr>
                <w:sz w:val="18"/>
                <w:szCs w:val="18"/>
              </w:rPr>
            </w:pPr>
          </w:p>
        </w:tc>
        <w:tc>
          <w:tcPr>
            <w:tcW w:w="483" w:type="dxa"/>
            <w:vMerge w:val="continue"/>
            <w:tcBorders>
              <w:left w:val="single" w:color="auto" w:sz="12" w:space="0"/>
            </w:tcBorders>
            <w:textDirection w:val="btLr"/>
            <w:vAlign w:val="center"/>
          </w:tcPr>
          <w:p>
            <w:pPr>
              <w:spacing w:line="200" w:lineRule="exact"/>
              <w:ind w:left="113" w:right="113"/>
              <w:rPr>
                <w:sz w:val="18"/>
                <w:szCs w:val="18"/>
              </w:rPr>
            </w:pPr>
          </w:p>
        </w:tc>
        <w:tc>
          <w:tcPr>
            <w:tcW w:w="781" w:type="dxa"/>
            <w:textDirection w:val="btLr"/>
            <w:vAlign w:val="center"/>
          </w:tcPr>
          <w:p>
            <w:pPr>
              <w:spacing w:line="200" w:lineRule="exact"/>
              <w:ind w:left="113" w:right="113"/>
              <w:rPr>
                <w:sz w:val="18"/>
                <w:szCs w:val="18"/>
              </w:rPr>
            </w:pPr>
            <w:r>
              <w:rPr>
                <w:sz w:val="18"/>
                <w:szCs w:val="18"/>
              </w:rPr>
              <w:t>6</w:t>
            </w: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6"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00" w:hRule="atLeast"/>
        </w:trPr>
        <w:tc>
          <w:tcPr>
            <w:tcW w:w="600" w:type="dxa"/>
            <w:vMerge w:val="continue"/>
            <w:tcBorders>
              <w:left w:val="nil"/>
              <w:bottom w:val="nil"/>
              <w:right w:val="single" w:color="auto" w:sz="12" w:space="0"/>
            </w:tcBorders>
            <w:textDirection w:val="btLr"/>
          </w:tcPr>
          <w:p>
            <w:pPr>
              <w:spacing w:line="200" w:lineRule="exact"/>
              <w:ind w:left="113" w:right="113"/>
              <w:rPr>
                <w:sz w:val="18"/>
                <w:szCs w:val="18"/>
              </w:rPr>
            </w:pPr>
          </w:p>
        </w:tc>
        <w:tc>
          <w:tcPr>
            <w:tcW w:w="483" w:type="dxa"/>
            <w:vMerge w:val="continue"/>
            <w:tcBorders>
              <w:left w:val="single" w:color="auto" w:sz="12" w:space="0"/>
            </w:tcBorders>
            <w:textDirection w:val="btLr"/>
            <w:vAlign w:val="center"/>
          </w:tcPr>
          <w:p>
            <w:pPr>
              <w:spacing w:line="200" w:lineRule="exact"/>
              <w:ind w:left="113" w:right="113"/>
              <w:rPr>
                <w:sz w:val="18"/>
                <w:szCs w:val="18"/>
              </w:rPr>
            </w:pPr>
          </w:p>
        </w:tc>
        <w:tc>
          <w:tcPr>
            <w:tcW w:w="781" w:type="dxa"/>
            <w:textDirection w:val="btLr"/>
            <w:vAlign w:val="center"/>
          </w:tcPr>
          <w:p>
            <w:pPr>
              <w:spacing w:line="200" w:lineRule="exact"/>
              <w:ind w:left="113" w:right="113"/>
              <w:rPr>
                <w:sz w:val="18"/>
                <w:szCs w:val="18"/>
              </w:rPr>
            </w:pPr>
            <w:r>
              <w:rPr>
                <w:sz w:val="18"/>
                <w:szCs w:val="18"/>
              </w:rPr>
              <w:t>5</w:t>
            </w: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6"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00" w:hRule="atLeast"/>
        </w:trPr>
        <w:tc>
          <w:tcPr>
            <w:tcW w:w="600" w:type="dxa"/>
            <w:vMerge w:val="continue"/>
            <w:tcBorders>
              <w:left w:val="nil"/>
              <w:bottom w:val="nil"/>
              <w:right w:val="single" w:color="auto" w:sz="12" w:space="0"/>
            </w:tcBorders>
            <w:textDirection w:val="btLr"/>
          </w:tcPr>
          <w:p>
            <w:pPr>
              <w:spacing w:line="200" w:lineRule="exact"/>
              <w:ind w:left="113" w:right="113"/>
              <w:rPr>
                <w:sz w:val="18"/>
                <w:szCs w:val="18"/>
              </w:rPr>
            </w:pPr>
          </w:p>
        </w:tc>
        <w:tc>
          <w:tcPr>
            <w:tcW w:w="483" w:type="dxa"/>
            <w:vMerge w:val="continue"/>
            <w:tcBorders>
              <w:left w:val="single" w:color="auto" w:sz="12" w:space="0"/>
            </w:tcBorders>
            <w:textDirection w:val="btLr"/>
            <w:vAlign w:val="center"/>
          </w:tcPr>
          <w:p>
            <w:pPr>
              <w:spacing w:line="200" w:lineRule="exact"/>
              <w:ind w:left="113" w:right="113"/>
              <w:rPr>
                <w:sz w:val="18"/>
                <w:szCs w:val="18"/>
              </w:rPr>
            </w:pPr>
          </w:p>
        </w:tc>
        <w:tc>
          <w:tcPr>
            <w:tcW w:w="781" w:type="dxa"/>
            <w:textDirection w:val="btLr"/>
            <w:vAlign w:val="center"/>
          </w:tcPr>
          <w:p>
            <w:pPr>
              <w:spacing w:line="200" w:lineRule="exact"/>
              <w:ind w:left="113" w:right="113"/>
              <w:rPr>
                <w:sz w:val="18"/>
                <w:szCs w:val="18"/>
              </w:rPr>
            </w:pPr>
            <w:r>
              <w:rPr>
                <w:sz w:val="18"/>
                <w:szCs w:val="18"/>
              </w:rPr>
              <w:t>4</w:t>
            </w: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6"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00" w:hRule="atLeast"/>
        </w:trPr>
        <w:tc>
          <w:tcPr>
            <w:tcW w:w="600" w:type="dxa"/>
            <w:vMerge w:val="continue"/>
            <w:tcBorders>
              <w:left w:val="nil"/>
              <w:bottom w:val="nil"/>
              <w:right w:val="single" w:color="auto" w:sz="12" w:space="0"/>
            </w:tcBorders>
            <w:textDirection w:val="btLr"/>
          </w:tcPr>
          <w:p>
            <w:pPr>
              <w:spacing w:line="200" w:lineRule="exact"/>
              <w:ind w:left="113" w:right="113"/>
              <w:rPr>
                <w:sz w:val="18"/>
                <w:szCs w:val="18"/>
              </w:rPr>
            </w:pPr>
          </w:p>
        </w:tc>
        <w:tc>
          <w:tcPr>
            <w:tcW w:w="483" w:type="dxa"/>
            <w:vMerge w:val="continue"/>
            <w:tcBorders>
              <w:left w:val="single" w:color="auto" w:sz="12" w:space="0"/>
            </w:tcBorders>
            <w:textDirection w:val="btLr"/>
            <w:vAlign w:val="center"/>
          </w:tcPr>
          <w:p>
            <w:pPr>
              <w:spacing w:line="200" w:lineRule="exact"/>
              <w:ind w:left="113" w:right="113"/>
              <w:rPr>
                <w:sz w:val="18"/>
                <w:szCs w:val="18"/>
              </w:rPr>
            </w:pPr>
          </w:p>
        </w:tc>
        <w:tc>
          <w:tcPr>
            <w:tcW w:w="781" w:type="dxa"/>
            <w:textDirection w:val="btLr"/>
            <w:vAlign w:val="center"/>
          </w:tcPr>
          <w:p>
            <w:pPr>
              <w:spacing w:line="200" w:lineRule="exact"/>
              <w:ind w:left="113" w:right="113"/>
              <w:rPr>
                <w:sz w:val="18"/>
                <w:szCs w:val="18"/>
              </w:rPr>
            </w:pPr>
            <w:r>
              <w:rPr>
                <w:sz w:val="18"/>
                <w:szCs w:val="18"/>
              </w:rPr>
              <w:t>3</w:t>
            </w: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6"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00" w:hRule="atLeast"/>
        </w:trPr>
        <w:tc>
          <w:tcPr>
            <w:tcW w:w="600" w:type="dxa"/>
            <w:vMerge w:val="continue"/>
            <w:tcBorders>
              <w:left w:val="nil"/>
              <w:bottom w:val="nil"/>
              <w:right w:val="single" w:color="auto" w:sz="12" w:space="0"/>
            </w:tcBorders>
            <w:textDirection w:val="btLr"/>
          </w:tcPr>
          <w:p>
            <w:pPr>
              <w:spacing w:line="200" w:lineRule="exact"/>
              <w:ind w:left="113" w:right="113"/>
              <w:rPr>
                <w:sz w:val="18"/>
                <w:szCs w:val="18"/>
              </w:rPr>
            </w:pPr>
          </w:p>
        </w:tc>
        <w:tc>
          <w:tcPr>
            <w:tcW w:w="483" w:type="dxa"/>
            <w:vMerge w:val="continue"/>
            <w:tcBorders>
              <w:left w:val="single" w:color="auto" w:sz="12" w:space="0"/>
            </w:tcBorders>
            <w:textDirection w:val="btLr"/>
            <w:vAlign w:val="center"/>
          </w:tcPr>
          <w:p>
            <w:pPr>
              <w:spacing w:line="200" w:lineRule="exact"/>
              <w:ind w:left="113" w:right="113"/>
              <w:rPr>
                <w:sz w:val="18"/>
                <w:szCs w:val="18"/>
              </w:rPr>
            </w:pPr>
          </w:p>
        </w:tc>
        <w:tc>
          <w:tcPr>
            <w:tcW w:w="781" w:type="dxa"/>
            <w:textDirection w:val="btLr"/>
            <w:vAlign w:val="center"/>
          </w:tcPr>
          <w:p>
            <w:pPr>
              <w:spacing w:line="200" w:lineRule="exact"/>
              <w:ind w:left="113" w:right="113"/>
              <w:rPr>
                <w:sz w:val="18"/>
                <w:szCs w:val="18"/>
              </w:rPr>
            </w:pPr>
            <w:r>
              <w:rPr>
                <w:sz w:val="18"/>
                <w:szCs w:val="18"/>
              </w:rPr>
              <w:t>2</w:t>
            </w: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6"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00" w:hRule="atLeast"/>
        </w:trPr>
        <w:tc>
          <w:tcPr>
            <w:tcW w:w="600" w:type="dxa"/>
            <w:vMerge w:val="continue"/>
            <w:tcBorders>
              <w:left w:val="nil"/>
              <w:bottom w:val="nil"/>
              <w:right w:val="single" w:color="auto" w:sz="12" w:space="0"/>
            </w:tcBorders>
            <w:textDirection w:val="btLr"/>
          </w:tcPr>
          <w:p>
            <w:pPr>
              <w:spacing w:line="200" w:lineRule="exact"/>
              <w:ind w:left="113" w:right="113"/>
              <w:rPr>
                <w:sz w:val="18"/>
                <w:szCs w:val="18"/>
              </w:rPr>
            </w:pPr>
          </w:p>
        </w:tc>
        <w:tc>
          <w:tcPr>
            <w:tcW w:w="483" w:type="dxa"/>
            <w:vMerge w:val="continue"/>
            <w:tcBorders>
              <w:left w:val="single" w:color="auto" w:sz="12" w:space="0"/>
            </w:tcBorders>
            <w:textDirection w:val="btLr"/>
            <w:vAlign w:val="center"/>
          </w:tcPr>
          <w:p>
            <w:pPr>
              <w:spacing w:line="200" w:lineRule="exact"/>
              <w:ind w:left="113" w:right="113"/>
              <w:rPr>
                <w:sz w:val="18"/>
                <w:szCs w:val="18"/>
              </w:rPr>
            </w:pPr>
          </w:p>
        </w:tc>
        <w:tc>
          <w:tcPr>
            <w:tcW w:w="781" w:type="dxa"/>
            <w:textDirection w:val="btLr"/>
            <w:vAlign w:val="center"/>
          </w:tcPr>
          <w:p>
            <w:pPr>
              <w:spacing w:line="200" w:lineRule="exact"/>
              <w:ind w:left="113" w:right="113"/>
              <w:rPr>
                <w:sz w:val="18"/>
                <w:szCs w:val="18"/>
              </w:rPr>
            </w:pPr>
            <w:r>
              <w:rPr>
                <w:sz w:val="18"/>
                <w:szCs w:val="18"/>
              </w:rPr>
              <w:t>1</w:t>
            </w: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6"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00" w:hRule="atLeast"/>
        </w:trPr>
        <w:tc>
          <w:tcPr>
            <w:tcW w:w="600" w:type="dxa"/>
            <w:vMerge w:val="continue"/>
            <w:tcBorders>
              <w:left w:val="nil"/>
              <w:bottom w:val="nil"/>
              <w:right w:val="single" w:color="auto" w:sz="12" w:space="0"/>
            </w:tcBorders>
            <w:textDirection w:val="btLr"/>
          </w:tcPr>
          <w:p>
            <w:pPr>
              <w:spacing w:line="200" w:lineRule="exact"/>
              <w:ind w:left="113" w:leftChars="54" w:right="113" w:firstLine="180" w:firstLineChars="100"/>
              <w:rPr>
                <w:sz w:val="18"/>
                <w:szCs w:val="18"/>
              </w:rPr>
            </w:pPr>
          </w:p>
        </w:tc>
        <w:tc>
          <w:tcPr>
            <w:tcW w:w="483" w:type="dxa"/>
            <w:vMerge w:val="restart"/>
            <w:tcBorders>
              <w:left w:val="single" w:color="auto" w:sz="12" w:space="0"/>
            </w:tcBorders>
            <w:textDirection w:val="btLr"/>
            <w:vAlign w:val="center"/>
          </w:tcPr>
          <w:p>
            <w:pPr>
              <w:spacing w:line="200" w:lineRule="exact"/>
              <w:ind w:left="113" w:leftChars="54" w:right="113" w:firstLine="180" w:firstLineChars="100"/>
              <w:rPr>
                <w:sz w:val="18"/>
                <w:szCs w:val="18"/>
              </w:rPr>
            </w:pPr>
            <w:r>
              <w:rPr>
                <w:rFonts w:hAnsi="宋体"/>
                <w:sz w:val="18"/>
                <w:szCs w:val="18"/>
              </w:rPr>
              <w:t>年</w:t>
            </w:r>
          </w:p>
        </w:tc>
        <w:tc>
          <w:tcPr>
            <w:tcW w:w="781" w:type="dxa"/>
            <w:textDirection w:val="btLr"/>
            <w:vAlign w:val="center"/>
          </w:tcPr>
          <w:p>
            <w:pPr>
              <w:spacing w:line="200" w:lineRule="exact"/>
              <w:jc w:val="center"/>
              <w:rPr>
                <w:sz w:val="18"/>
                <w:szCs w:val="18"/>
              </w:rPr>
            </w:pPr>
            <w:r>
              <w:rPr>
                <w:sz w:val="18"/>
                <w:szCs w:val="18"/>
              </w:rPr>
              <w:t>12</w:t>
            </w: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6"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00" w:hRule="atLeast"/>
        </w:trPr>
        <w:tc>
          <w:tcPr>
            <w:tcW w:w="600" w:type="dxa"/>
            <w:vMerge w:val="continue"/>
            <w:tcBorders>
              <w:left w:val="nil"/>
              <w:bottom w:val="nil"/>
              <w:right w:val="single" w:color="auto" w:sz="12" w:space="0"/>
            </w:tcBorders>
            <w:textDirection w:val="lrTbV"/>
          </w:tcPr>
          <w:p>
            <w:pPr>
              <w:spacing w:line="200" w:lineRule="exact"/>
              <w:rPr>
                <w:sz w:val="18"/>
                <w:szCs w:val="18"/>
              </w:rPr>
            </w:pPr>
          </w:p>
        </w:tc>
        <w:tc>
          <w:tcPr>
            <w:tcW w:w="483" w:type="dxa"/>
            <w:vMerge w:val="continue"/>
            <w:tcBorders>
              <w:left w:val="single" w:color="auto" w:sz="12" w:space="0"/>
            </w:tcBorders>
            <w:textDirection w:val="lrTbV"/>
            <w:vAlign w:val="center"/>
          </w:tcPr>
          <w:p>
            <w:pPr>
              <w:spacing w:line="200" w:lineRule="exact"/>
              <w:rPr>
                <w:sz w:val="18"/>
                <w:szCs w:val="18"/>
              </w:rPr>
            </w:pPr>
          </w:p>
        </w:tc>
        <w:tc>
          <w:tcPr>
            <w:tcW w:w="781" w:type="dxa"/>
            <w:textDirection w:val="btLr"/>
            <w:vAlign w:val="center"/>
          </w:tcPr>
          <w:p>
            <w:pPr>
              <w:spacing w:line="200" w:lineRule="exact"/>
              <w:jc w:val="center"/>
              <w:rPr>
                <w:sz w:val="18"/>
                <w:szCs w:val="18"/>
              </w:rPr>
            </w:pPr>
            <w:r>
              <w:rPr>
                <w:sz w:val="18"/>
                <w:szCs w:val="18"/>
              </w:rPr>
              <w:t>11</w:t>
            </w: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6"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00" w:hRule="atLeast"/>
        </w:trPr>
        <w:tc>
          <w:tcPr>
            <w:tcW w:w="600" w:type="dxa"/>
            <w:vMerge w:val="continue"/>
            <w:tcBorders>
              <w:left w:val="nil"/>
              <w:bottom w:val="nil"/>
              <w:right w:val="single" w:color="auto" w:sz="12" w:space="0"/>
            </w:tcBorders>
            <w:textDirection w:val="lrTbV"/>
          </w:tcPr>
          <w:p>
            <w:pPr>
              <w:spacing w:line="200" w:lineRule="exact"/>
              <w:rPr>
                <w:sz w:val="18"/>
                <w:szCs w:val="18"/>
              </w:rPr>
            </w:pPr>
          </w:p>
        </w:tc>
        <w:tc>
          <w:tcPr>
            <w:tcW w:w="483" w:type="dxa"/>
            <w:vMerge w:val="continue"/>
            <w:tcBorders>
              <w:left w:val="single" w:color="auto" w:sz="12" w:space="0"/>
            </w:tcBorders>
            <w:textDirection w:val="lrTbV"/>
            <w:vAlign w:val="center"/>
          </w:tcPr>
          <w:p>
            <w:pPr>
              <w:spacing w:line="200" w:lineRule="exact"/>
              <w:rPr>
                <w:sz w:val="18"/>
                <w:szCs w:val="18"/>
              </w:rPr>
            </w:pPr>
          </w:p>
        </w:tc>
        <w:tc>
          <w:tcPr>
            <w:tcW w:w="781" w:type="dxa"/>
            <w:textDirection w:val="btLr"/>
            <w:vAlign w:val="center"/>
          </w:tcPr>
          <w:p>
            <w:pPr>
              <w:spacing w:line="200" w:lineRule="exact"/>
              <w:jc w:val="center"/>
              <w:rPr>
                <w:sz w:val="18"/>
                <w:szCs w:val="18"/>
              </w:rPr>
            </w:pPr>
            <w:r>
              <w:rPr>
                <w:sz w:val="18"/>
                <w:szCs w:val="18"/>
              </w:rPr>
              <w:t>10</w:t>
            </w: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6"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00" w:hRule="atLeast"/>
        </w:trPr>
        <w:tc>
          <w:tcPr>
            <w:tcW w:w="600" w:type="dxa"/>
            <w:vMerge w:val="continue"/>
            <w:tcBorders>
              <w:left w:val="nil"/>
              <w:bottom w:val="nil"/>
              <w:right w:val="single" w:color="auto" w:sz="12" w:space="0"/>
            </w:tcBorders>
            <w:textDirection w:val="lrTbV"/>
          </w:tcPr>
          <w:p>
            <w:pPr>
              <w:spacing w:line="200" w:lineRule="exact"/>
              <w:rPr>
                <w:sz w:val="18"/>
                <w:szCs w:val="18"/>
              </w:rPr>
            </w:pPr>
          </w:p>
        </w:tc>
        <w:tc>
          <w:tcPr>
            <w:tcW w:w="483" w:type="dxa"/>
            <w:vMerge w:val="continue"/>
            <w:tcBorders>
              <w:left w:val="single" w:color="auto" w:sz="12" w:space="0"/>
            </w:tcBorders>
            <w:textDirection w:val="lrTbV"/>
            <w:vAlign w:val="center"/>
          </w:tcPr>
          <w:p>
            <w:pPr>
              <w:spacing w:line="200" w:lineRule="exact"/>
              <w:rPr>
                <w:sz w:val="18"/>
                <w:szCs w:val="18"/>
              </w:rPr>
            </w:pPr>
          </w:p>
        </w:tc>
        <w:tc>
          <w:tcPr>
            <w:tcW w:w="781" w:type="dxa"/>
            <w:textDirection w:val="btLr"/>
            <w:vAlign w:val="center"/>
          </w:tcPr>
          <w:p>
            <w:pPr>
              <w:spacing w:line="200" w:lineRule="exact"/>
              <w:jc w:val="center"/>
              <w:rPr>
                <w:sz w:val="18"/>
                <w:szCs w:val="18"/>
              </w:rPr>
            </w:pPr>
            <w:r>
              <w:rPr>
                <w:sz w:val="18"/>
                <w:szCs w:val="18"/>
              </w:rPr>
              <w:t>9</w:t>
            </w: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6"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00" w:hRule="atLeast"/>
        </w:trPr>
        <w:tc>
          <w:tcPr>
            <w:tcW w:w="600" w:type="dxa"/>
            <w:vMerge w:val="continue"/>
            <w:tcBorders>
              <w:left w:val="nil"/>
              <w:bottom w:val="nil"/>
              <w:right w:val="single" w:color="auto" w:sz="12" w:space="0"/>
            </w:tcBorders>
            <w:textDirection w:val="lrTbV"/>
          </w:tcPr>
          <w:p>
            <w:pPr>
              <w:spacing w:line="200" w:lineRule="exact"/>
              <w:rPr>
                <w:sz w:val="18"/>
                <w:szCs w:val="18"/>
              </w:rPr>
            </w:pPr>
          </w:p>
        </w:tc>
        <w:tc>
          <w:tcPr>
            <w:tcW w:w="483" w:type="dxa"/>
            <w:vMerge w:val="continue"/>
            <w:tcBorders>
              <w:left w:val="single" w:color="auto" w:sz="12" w:space="0"/>
            </w:tcBorders>
            <w:textDirection w:val="lrTbV"/>
            <w:vAlign w:val="center"/>
          </w:tcPr>
          <w:p>
            <w:pPr>
              <w:spacing w:line="200" w:lineRule="exact"/>
              <w:rPr>
                <w:sz w:val="18"/>
                <w:szCs w:val="18"/>
              </w:rPr>
            </w:pPr>
          </w:p>
        </w:tc>
        <w:tc>
          <w:tcPr>
            <w:tcW w:w="781" w:type="dxa"/>
            <w:textDirection w:val="btLr"/>
            <w:vAlign w:val="center"/>
          </w:tcPr>
          <w:p>
            <w:pPr>
              <w:spacing w:line="200" w:lineRule="exact"/>
              <w:jc w:val="center"/>
              <w:rPr>
                <w:sz w:val="18"/>
                <w:szCs w:val="18"/>
              </w:rPr>
            </w:pPr>
            <w:r>
              <w:rPr>
                <w:sz w:val="18"/>
                <w:szCs w:val="18"/>
              </w:rPr>
              <w:t>8</w:t>
            </w: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6"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00" w:hRule="atLeast"/>
        </w:trPr>
        <w:tc>
          <w:tcPr>
            <w:tcW w:w="600" w:type="dxa"/>
            <w:vMerge w:val="continue"/>
            <w:tcBorders>
              <w:left w:val="nil"/>
              <w:bottom w:val="nil"/>
              <w:right w:val="single" w:color="auto" w:sz="12" w:space="0"/>
            </w:tcBorders>
            <w:textDirection w:val="lrTbV"/>
          </w:tcPr>
          <w:p>
            <w:pPr>
              <w:spacing w:line="200" w:lineRule="exact"/>
              <w:rPr>
                <w:sz w:val="18"/>
                <w:szCs w:val="18"/>
              </w:rPr>
            </w:pPr>
          </w:p>
        </w:tc>
        <w:tc>
          <w:tcPr>
            <w:tcW w:w="483" w:type="dxa"/>
            <w:vMerge w:val="continue"/>
            <w:tcBorders>
              <w:left w:val="single" w:color="auto" w:sz="12" w:space="0"/>
            </w:tcBorders>
            <w:textDirection w:val="lrTbV"/>
            <w:vAlign w:val="center"/>
          </w:tcPr>
          <w:p>
            <w:pPr>
              <w:spacing w:line="200" w:lineRule="exact"/>
              <w:rPr>
                <w:sz w:val="18"/>
                <w:szCs w:val="18"/>
              </w:rPr>
            </w:pPr>
          </w:p>
        </w:tc>
        <w:tc>
          <w:tcPr>
            <w:tcW w:w="781" w:type="dxa"/>
            <w:textDirection w:val="btLr"/>
            <w:vAlign w:val="center"/>
          </w:tcPr>
          <w:p>
            <w:pPr>
              <w:spacing w:line="200" w:lineRule="exact"/>
              <w:jc w:val="center"/>
              <w:rPr>
                <w:sz w:val="18"/>
                <w:szCs w:val="18"/>
              </w:rPr>
            </w:pPr>
            <w:r>
              <w:rPr>
                <w:sz w:val="18"/>
                <w:szCs w:val="18"/>
              </w:rPr>
              <w:t>7</w:t>
            </w: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6"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00" w:hRule="atLeast"/>
        </w:trPr>
        <w:tc>
          <w:tcPr>
            <w:tcW w:w="600" w:type="dxa"/>
            <w:vMerge w:val="continue"/>
            <w:tcBorders>
              <w:left w:val="nil"/>
              <w:bottom w:val="nil"/>
              <w:right w:val="single" w:color="auto" w:sz="12" w:space="0"/>
            </w:tcBorders>
            <w:textDirection w:val="lrTbV"/>
          </w:tcPr>
          <w:p>
            <w:pPr>
              <w:spacing w:line="200" w:lineRule="exact"/>
              <w:rPr>
                <w:sz w:val="18"/>
                <w:szCs w:val="18"/>
              </w:rPr>
            </w:pPr>
          </w:p>
        </w:tc>
        <w:tc>
          <w:tcPr>
            <w:tcW w:w="483" w:type="dxa"/>
            <w:vMerge w:val="continue"/>
            <w:tcBorders>
              <w:left w:val="single" w:color="auto" w:sz="12" w:space="0"/>
            </w:tcBorders>
            <w:textDirection w:val="lrTbV"/>
            <w:vAlign w:val="center"/>
          </w:tcPr>
          <w:p>
            <w:pPr>
              <w:spacing w:line="200" w:lineRule="exact"/>
              <w:rPr>
                <w:sz w:val="18"/>
                <w:szCs w:val="18"/>
              </w:rPr>
            </w:pPr>
          </w:p>
        </w:tc>
        <w:tc>
          <w:tcPr>
            <w:tcW w:w="781" w:type="dxa"/>
            <w:textDirection w:val="btLr"/>
            <w:vAlign w:val="center"/>
          </w:tcPr>
          <w:p>
            <w:pPr>
              <w:spacing w:line="200" w:lineRule="exact"/>
              <w:ind w:left="113" w:right="113"/>
              <w:rPr>
                <w:sz w:val="18"/>
                <w:szCs w:val="18"/>
              </w:rPr>
            </w:pPr>
            <w:r>
              <w:rPr>
                <w:sz w:val="18"/>
                <w:szCs w:val="18"/>
              </w:rPr>
              <w:t>6</w:t>
            </w: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6"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00" w:hRule="atLeast"/>
        </w:trPr>
        <w:tc>
          <w:tcPr>
            <w:tcW w:w="600" w:type="dxa"/>
            <w:vMerge w:val="continue"/>
            <w:tcBorders>
              <w:left w:val="nil"/>
              <w:bottom w:val="nil"/>
              <w:right w:val="single" w:color="auto" w:sz="12" w:space="0"/>
            </w:tcBorders>
            <w:textDirection w:val="lrTbV"/>
          </w:tcPr>
          <w:p>
            <w:pPr>
              <w:spacing w:line="200" w:lineRule="exact"/>
              <w:rPr>
                <w:sz w:val="18"/>
                <w:szCs w:val="18"/>
              </w:rPr>
            </w:pPr>
          </w:p>
        </w:tc>
        <w:tc>
          <w:tcPr>
            <w:tcW w:w="483" w:type="dxa"/>
            <w:vMerge w:val="continue"/>
            <w:tcBorders>
              <w:left w:val="single" w:color="auto" w:sz="12" w:space="0"/>
            </w:tcBorders>
            <w:textDirection w:val="lrTbV"/>
            <w:vAlign w:val="center"/>
          </w:tcPr>
          <w:p>
            <w:pPr>
              <w:spacing w:line="200" w:lineRule="exact"/>
              <w:rPr>
                <w:sz w:val="18"/>
                <w:szCs w:val="18"/>
              </w:rPr>
            </w:pPr>
          </w:p>
        </w:tc>
        <w:tc>
          <w:tcPr>
            <w:tcW w:w="781" w:type="dxa"/>
            <w:textDirection w:val="btLr"/>
            <w:vAlign w:val="center"/>
          </w:tcPr>
          <w:p>
            <w:pPr>
              <w:spacing w:line="200" w:lineRule="exact"/>
              <w:ind w:left="113" w:right="113"/>
              <w:rPr>
                <w:sz w:val="18"/>
                <w:szCs w:val="18"/>
              </w:rPr>
            </w:pPr>
            <w:r>
              <w:rPr>
                <w:sz w:val="18"/>
                <w:szCs w:val="18"/>
              </w:rPr>
              <w:t>5</w:t>
            </w: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6"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00" w:hRule="atLeast"/>
        </w:trPr>
        <w:tc>
          <w:tcPr>
            <w:tcW w:w="600" w:type="dxa"/>
            <w:vMerge w:val="continue"/>
            <w:tcBorders>
              <w:left w:val="nil"/>
              <w:bottom w:val="nil"/>
              <w:right w:val="single" w:color="auto" w:sz="12" w:space="0"/>
            </w:tcBorders>
            <w:textDirection w:val="lrTbV"/>
          </w:tcPr>
          <w:p>
            <w:pPr>
              <w:spacing w:line="200" w:lineRule="exact"/>
              <w:rPr>
                <w:sz w:val="18"/>
                <w:szCs w:val="18"/>
              </w:rPr>
            </w:pPr>
          </w:p>
        </w:tc>
        <w:tc>
          <w:tcPr>
            <w:tcW w:w="483" w:type="dxa"/>
            <w:vMerge w:val="continue"/>
            <w:tcBorders>
              <w:left w:val="single" w:color="auto" w:sz="12" w:space="0"/>
            </w:tcBorders>
            <w:textDirection w:val="lrTbV"/>
            <w:vAlign w:val="center"/>
          </w:tcPr>
          <w:p>
            <w:pPr>
              <w:spacing w:line="200" w:lineRule="exact"/>
              <w:rPr>
                <w:sz w:val="18"/>
                <w:szCs w:val="18"/>
              </w:rPr>
            </w:pPr>
          </w:p>
        </w:tc>
        <w:tc>
          <w:tcPr>
            <w:tcW w:w="781" w:type="dxa"/>
            <w:textDirection w:val="btLr"/>
            <w:vAlign w:val="center"/>
          </w:tcPr>
          <w:p>
            <w:pPr>
              <w:spacing w:line="200" w:lineRule="exact"/>
              <w:ind w:left="113" w:right="113"/>
              <w:rPr>
                <w:sz w:val="18"/>
                <w:szCs w:val="18"/>
              </w:rPr>
            </w:pPr>
            <w:r>
              <w:rPr>
                <w:sz w:val="18"/>
                <w:szCs w:val="18"/>
              </w:rPr>
              <w:t>4</w:t>
            </w: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6"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00" w:hRule="atLeast"/>
        </w:trPr>
        <w:tc>
          <w:tcPr>
            <w:tcW w:w="600" w:type="dxa"/>
            <w:vMerge w:val="continue"/>
            <w:tcBorders>
              <w:left w:val="nil"/>
              <w:bottom w:val="nil"/>
              <w:right w:val="single" w:color="auto" w:sz="12" w:space="0"/>
            </w:tcBorders>
            <w:textDirection w:val="lrTbV"/>
          </w:tcPr>
          <w:p>
            <w:pPr>
              <w:spacing w:line="200" w:lineRule="exact"/>
              <w:rPr>
                <w:sz w:val="18"/>
                <w:szCs w:val="18"/>
              </w:rPr>
            </w:pPr>
          </w:p>
        </w:tc>
        <w:tc>
          <w:tcPr>
            <w:tcW w:w="483" w:type="dxa"/>
            <w:vMerge w:val="continue"/>
            <w:tcBorders>
              <w:left w:val="single" w:color="auto" w:sz="12" w:space="0"/>
            </w:tcBorders>
            <w:textDirection w:val="lrTbV"/>
            <w:vAlign w:val="center"/>
          </w:tcPr>
          <w:p>
            <w:pPr>
              <w:spacing w:line="200" w:lineRule="exact"/>
              <w:rPr>
                <w:sz w:val="18"/>
                <w:szCs w:val="18"/>
              </w:rPr>
            </w:pPr>
          </w:p>
        </w:tc>
        <w:tc>
          <w:tcPr>
            <w:tcW w:w="781" w:type="dxa"/>
            <w:textDirection w:val="btLr"/>
            <w:vAlign w:val="center"/>
          </w:tcPr>
          <w:p>
            <w:pPr>
              <w:spacing w:line="200" w:lineRule="exact"/>
              <w:ind w:left="113" w:right="113"/>
              <w:jc w:val="center"/>
              <w:rPr>
                <w:sz w:val="18"/>
                <w:szCs w:val="18"/>
              </w:rPr>
            </w:pPr>
            <w:r>
              <w:rPr>
                <w:sz w:val="18"/>
                <w:szCs w:val="18"/>
              </w:rPr>
              <w:t>3</w:t>
            </w: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6"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00" w:hRule="atLeast"/>
        </w:trPr>
        <w:tc>
          <w:tcPr>
            <w:tcW w:w="600" w:type="dxa"/>
            <w:vMerge w:val="continue"/>
            <w:tcBorders>
              <w:left w:val="nil"/>
              <w:bottom w:val="nil"/>
              <w:right w:val="single" w:color="auto" w:sz="12" w:space="0"/>
            </w:tcBorders>
            <w:textDirection w:val="lrTbV"/>
          </w:tcPr>
          <w:p>
            <w:pPr>
              <w:spacing w:line="200" w:lineRule="exact"/>
              <w:rPr>
                <w:sz w:val="18"/>
                <w:szCs w:val="18"/>
              </w:rPr>
            </w:pPr>
          </w:p>
        </w:tc>
        <w:tc>
          <w:tcPr>
            <w:tcW w:w="483" w:type="dxa"/>
            <w:vMerge w:val="continue"/>
            <w:tcBorders>
              <w:left w:val="single" w:color="auto" w:sz="12" w:space="0"/>
            </w:tcBorders>
            <w:textDirection w:val="lrTbV"/>
            <w:vAlign w:val="center"/>
          </w:tcPr>
          <w:p>
            <w:pPr>
              <w:spacing w:line="200" w:lineRule="exact"/>
              <w:rPr>
                <w:sz w:val="18"/>
                <w:szCs w:val="18"/>
              </w:rPr>
            </w:pPr>
          </w:p>
        </w:tc>
        <w:tc>
          <w:tcPr>
            <w:tcW w:w="781" w:type="dxa"/>
            <w:textDirection w:val="btLr"/>
            <w:vAlign w:val="center"/>
          </w:tcPr>
          <w:p>
            <w:pPr>
              <w:spacing w:line="200" w:lineRule="exact"/>
              <w:ind w:left="42" w:leftChars="20" w:right="42" w:rightChars="20"/>
              <w:jc w:val="center"/>
              <w:rPr>
                <w:sz w:val="18"/>
                <w:szCs w:val="18"/>
              </w:rPr>
            </w:pPr>
            <w:r>
              <w:rPr>
                <w:sz w:val="18"/>
                <w:szCs w:val="18"/>
              </w:rPr>
              <w:t>2</w:t>
            </w: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6"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00" w:hRule="atLeast"/>
        </w:trPr>
        <w:tc>
          <w:tcPr>
            <w:tcW w:w="600" w:type="dxa"/>
            <w:vMerge w:val="continue"/>
            <w:tcBorders>
              <w:left w:val="nil"/>
              <w:bottom w:val="nil"/>
              <w:right w:val="single" w:color="auto" w:sz="12" w:space="0"/>
            </w:tcBorders>
            <w:textDirection w:val="lrTbV"/>
          </w:tcPr>
          <w:p>
            <w:pPr>
              <w:spacing w:line="200" w:lineRule="exact"/>
              <w:rPr>
                <w:sz w:val="18"/>
                <w:szCs w:val="18"/>
              </w:rPr>
            </w:pPr>
          </w:p>
        </w:tc>
        <w:tc>
          <w:tcPr>
            <w:tcW w:w="483" w:type="dxa"/>
            <w:vMerge w:val="continue"/>
            <w:tcBorders>
              <w:left w:val="single" w:color="auto" w:sz="12" w:space="0"/>
            </w:tcBorders>
            <w:textDirection w:val="lrTbV"/>
            <w:vAlign w:val="center"/>
          </w:tcPr>
          <w:p>
            <w:pPr>
              <w:spacing w:line="200" w:lineRule="exact"/>
              <w:rPr>
                <w:sz w:val="18"/>
                <w:szCs w:val="18"/>
              </w:rPr>
            </w:pPr>
          </w:p>
        </w:tc>
        <w:tc>
          <w:tcPr>
            <w:tcW w:w="781" w:type="dxa"/>
            <w:textDirection w:val="btLr"/>
            <w:vAlign w:val="center"/>
          </w:tcPr>
          <w:p>
            <w:pPr>
              <w:spacing w:line="200" w:lineRule="exact"/>
              <w:ind w:left="42" w:leftChars="20" w:right="42" w:rightChars="20"/>
              <w:jc w:val="center"/>
              <w:rPr>
                <w:sz w:val="18"/>
                <w:szCs w:val="18"/>
              </w:rPr>
            </w:pPr>
            <w:r>
              <w:rPr>
                <w:sz w:val="18"/>
                <w:szCs w:val="18"/>
              </w:rPr>
              <w:t>1</w:t>
            </w: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7"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c>
          <w:tcPr>
            <w:tcW w:w="396" w:type="dxa"/>
            <w:textDirection w:val="lrTbV"/>
            <w:vAlign w:val="center"/>
          </w:tcPr>
          <w:p>
            <w:pPr>
              <w:spacing w:line="200" w:lineRule="exact"/>
              <w:rPr>
                <w:sz w:val="18"/>
                <w:szCs w:val="18"/>
              </w:rPr>
            </w:pPr>
          </w:p>
        </w:tc>
        <w:tc>
          <w:tcPr>
            <w:tcW w:w="398" w:type="dxa"/>
            <w:textDirection w:val="lrTbV"/>
            <w:vAlign w:val="center"/>
          </w:tcPr>
          <w:p>
            <w:pPr>
              <w:spacing w:line="200" w:lineRule="exact"/>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725" w:hRule="atLeast"/>
        </w:trPr>
        <w:tc>
          <w:tcPr>
            <w:tcW w:w="600" w:type="dxa"/>
            <w:vMerge w:val="continue"/>
            <w:tcBorders>
              <w:left w:val="nil"/>
              <w:bottom w:val="nil"/>
              <w:right w:val="single" w:color="auto" w:sz="12" w:space="0"/>
            </w:tcBorders>
            <w:textDirection w:val="lrTbV"/>
          </w:tcPr>
          <w:p>
            <w:pPr>
              <w:spacing w:line="200" w:lineRule="exact"/>
              <w:jc w:val="center"/>
              <w:rPr>
                <w:sz w:val="18"/>
                <w:szCs w:val="18"/>
              </w:rPr>
            </w:pPr>
          </w:p>
        </w:tc>
        <w:tc>
          <w:tcPr>
            <w:tcW w:w="483" w:type="dxa"/>
            <w:tcBorders>
              <w:left w:val="single" w:color="auto" w:sz="12" w:space="0"/>
            </w:tcBorders>
            <w:textDirection w:val="lrTbV"/>
            <w:vAlign w:val="center"/>
          </w:tcPr>
          <w:p>
            <w:pPr>
              <w:spacing w:line="200" w:lineRule="exact"/>
              <w:jc w:val="center"/>
              <w:rPr>
                <w:sz w:val="18"/>
                <w:szCs w:val="18"/>
              </w:rPr>
            </w:pPr>
          </w:p>
          <w:p>
            <w:pPr>
              <w:spacing w:line="200" w:lineRule="exact"/>
              <w:jc w:val="center"/>
              <w:rPr>
                <w:sz w:val="18"/>
                <w:szCs w:val="18"/>
              </w:rPr>
            </w:pPr>
          </w:p>
          <w:p>
            <w:pPr>
              <w:spacing w:line="200" w:lineRule="exact"/>
              <w:jc w:val="center"/>
              <w:rPr>
                <w:sz w:val="18"/>
                <w:szCs w:val="18"/>
              </w:rPr>
            </w:pPr>
            <w:r>
              <w:rPr>
                <w:rFonts w:hAnsi="宋体"/>
                <w:sz w:val="18"/>
                <w:szCs w:val="18"/>
              </w:rPr>
              <w:t>度</w:t>
            </w:r>
          </w:p>
          <w:p>
            <w:pPr>
              <w:spacing w:line="200" w:lineRule="exact"/>
              <w:jc w:val="center"/>
              <w:rPr>
                <w:sz w:val="18"/>
                <w:szCs w:val="18"/>
              </w:rPr>
            </w:pPr>
          </w:p>
          <w:p>
            <w:pPr>
              <w:spacing w:line="200" w:lineRule="exact"/>
              <w:jc w:val="center"/>
              <w:rPr>
                <w:sz w:val="18"/>
                <w:szCs w:val="18"/>
              </w:rPr>
            </w:pPr>
            <w:r>
              <w:rPr>
                <w:rFonts w:hAnsi="宋体"/>
                <w:sz w:val="18"/>
                <w:szCs w:val="18"/>
              </w:rPr>
              <w:t>年</w:t>
            </w:r>
          </w:p>
          <w:p>
            <w:pPr>
              <w:spacing w:line="200" w:lineRule="exact"/>
              <w:jc w:val="center"/>
              <w:rPr>
                <w:sz w:val="18"/>
                <w:szCs w:val="18"/>
              </w:rPr>
            </w:pPr>
          </w:p>
          <w:p>
            <w:pPr>
              <w:spacing w:line="200" w:lineRule="exact"/>
              <w:jc w:val="center"/>
              <w:rPr>
                <w:sz w:val="18"/>
                <w:szCs w:val="18"/>
              </w:rPr>
            </w:pPr>
          </w:p>
        </w:tc>
        <w:tc>
          <w:tcPr>
            <w:tcW w:w="781" w:type="dxa"/>
            <w:tcBorders>
              <w:tr2bl w:val="single" w:color="auto" w:sz="4" w:space="0"/>
            </w:tcBorders>
            <w:textDirection w:val="lrTbV"/>
            <w:vAlign w:val="center"/>
          </w:tcPr>
          <w:p>
            <w:pPr>
              <w:spacing w:line="200" w:lineRule="exact"/>
              <w:rPr>
                <w:sz w:val="18"/>
                <w:szCs w:val="18"/>
              </w:rPr>
            </w:pPr>
            <w:r>
              <w:rPr>
                <w:rFonts w:hAnsi="宋体"/>
                <w:sz w:val="18"/>
                <w:szCs w:val="18"/>
              </w:rPr>
              <w:t>份</w:t>
            </w:r>
          </w:p>
          <w:p>
            <w:pPr>
              <w:spacing w:line="200" w:lineRule="exact"/>
              <w:rPr>
                <w:sz w:val="18"/>
                <w:szCs w:val="18"/>
              </w:rPr>
            </w:pPr>
            <w:r>
              <w:rPr>
                <w:rFonts w:hAnsi="宋体"/>
                <w:sz w:val="18"/>
                <w:szCs w:val="18"/>
              </w:rPr>
              <w:t>月</w:t>
            </w:r>
          </w:p>
          <w:p>
            <w:pPr>
              <w:spacing w:line="200" w:lineRule="exact"/>
              <w:ind w:left="270" w:hanging="270" w:hangingChars="150"/>
              <w:rPr>
                <w:sz w:val="18"/>
                <w:szCs w:val="18"/>
              </w:rPr>
            </w:pPr>
          </w:p>
          <w:p>
            <w:pPr>
              <w:spacing w:line="200" w:lineRule="exact"/>
              <w:ind w:left="-105" w:leftChars="-50" w:right="-105" w:rightChars="-50" w:firstLine="450" w:firstLineChars="250"/>
              <w:rPr>
                <w:sz w:val="18"/>
                <w:szCs w:val="18"/>
              </w:rPr>
            </w:pPr>
            <w:r>
              <w:rPr>
                <w:rFonts w:hAnsi="宋体"/>
                <w:sz w:val="18"/>
                <w:szCs w:val="18"/>
              </w:rPr>
              <w:t>目</w:t>
            </w:r>
          </w:p>
          <w:p>
            <w:pPr>
              <w:spacing w:line="200" w:lineRule="exact"/>
              <w:ind w:left="-105" w:leftChars="-50" w:right="-105" w:rightChars="-50" w:firstLine="450" w:firstLineChars="250"/>
              <w:rPr>
                <w:sz w:val="18"/>
                <w:szCs w:val="18"/>
              </w:rPr>
            </w:pPr>
            <w:r>
              <w:rPr>
                <w:rFonts w:hAnsi="宋体"/>
                <w:sz w:val="18"/>
                <w:szCs w:val="18"/>
              </w:rPr>
              <w:t>项</w:t>
            </w:r>
          </w:p>
          <w:p>
            <w:pPr>
              <w:spacing w:line="200" w:lineRule="exact"/>
              <w:ind w:left="-105" w:leftChars="-50" w:right="-105" w:rightChars="-50" w:firstLine="450" w:firstLineChars="250"/>
              <w:rPr>
                <w:sz w:val="18"/>
                <w:szCs w:val="18"/>
              </w:rPr>
            </w:pPr>
            <w:r>
              <w:rPr>
                <w:rFonts w:hAnsi="宋体"/>
                <w:sz w:val="18"/>
                <w:szCs w:val="18"/>
              </w:rPr>
              <w:t>程</w:t>
            </w:r>
          </w:p>
          <w:p>
            <w:pPr>
              <w:spacing w:line="200" w:lineRule="exact"/>
              <w:ind w:left="-105" w:leftChars="-50" w:right="-105" w:rightChars="-50" w:firstLine="450" w:firstLineChars="250"/>
              <w:rPr>
                <w:sz w:val="18"/>
                <w:szCs w:val="18"/>
              </w:rPr>
            </w:pPr>
            <w:r>
              <w:rPr>
                <w:rFonts w:hAnsi="宋体"/>
                <w:sz w:val="18"/>
                <w:szCs w:val="18"/>
              </w:rPr>
              <w:t>工</w:t>
            </w:r>
          </w:p>
          <w:p>
            <w:pPr>
              <w:spacing w:line="200" w:lineRule="exact"/>
              <w:ind w:left="-105" w:leftChars="-50" w:right="-105" w:rightChars="-50" w:firstLine="450" w:firstLineChars="250"/>
              <w:rPr>
                <w:sz w:val="18"/>
                <w:szCs w:val="18"/>
              </w:rPr>
            </w:pPr>
            <w:r>
              <w:rPr>
                <w:rFonts w:hAnsi="宋体"/>
                <w:sz w:val="18"/>
                <w:szCs w:val="18"/>
              </w:rPr>
              <w:t>要</w:t>
            </w:r>
          </w:p>
          <w:p>
            <w:pPr>
              <w:spacing w:line="200" w:lineRule="exact"/>
              <w:ind w:left="-105" w:leftChars="-50" w:right="-105" w:rightChars="-50" w:firstLine="450" w:firstLineChars="250"/>
              <w:rPr>
                <w:sz w:val="18"/>
                <w:szCs w:val="18"/>
              </w:rPr>
            </w:pPr>
            <w:r>
              <w:rPr>
                <w:rFonts w:hAnsi="宋体"/>
                <w:sz w:val="18"/>
                <w:szCs w:val="18"/>
              </w:rPr>
              <w:t>主</w:t>
            </w:r>
          </w:p>
        </w:tc>
        <w:tc>
          <w:tcPr>
            <w:tcW w:w="397" w:type="dxa"/>
            <w:textDirection w:val="btLr"/>
            <w:vAlign w:val="center"/>
          </w:tcPr>
          <w:p>
            <w:pPr>
              <w:spacing w:line="200" w:lineRule="exact"/>
              <w:ind w:left="113" w:right="113"/>
              <w:rPr>
                <w:sz w:val="18"/>
                <w:szCs w:val="18"/>
              </w:rPr>
            </w:pPr>
            <w:r>
              <w:rPr>
                <w:rFonts w:hint="eastAsia"/>
                <w:sz w:val="18"/>
                <w:szCs w:val="18"/>
              </w:rPr>
              <w:t>1．施工准备</w:t>
            </w:r>
          </w:p>
        </w:tc>
        <w:tc>
          <w:tcPr>
            <w:tcW w:w="398" w:type="dxa"/>
            <w:textDirection w:val="btLr"/>
            <w:vAlign w:val="center"/>
          </w:tcPr>
          <w:p>
            <w:pPr>
              <w:spacing w:line="200" w:lineRule="exact"/>
              <w:ind w:left="113" w:right="113"/>
              <w:rPr>
                <w:sz w:val="18"/>
                <w:szCs w:val="18"/>
              </w:rPr>
            </w:pPr>
            <w:r>
              <w:rPr>
                <w:rFonts w:hint="eastAsia"/>
                <w:sz w:val="18"/>
                <w:szCs w:val="18"/>
              </w:rPr>
              <w:t>2．路基工程</w:t>
            </w:r>
          </w:p>
        </w:tc>
        <w:tc>
          <w:tcPr>
            <w:tcW w:w="397" w:type="dxa"/>
            <w:textDirection w:val="btLr"/>
            <w:vAlign w:val="center"/>
          </w:tcPr>
          <w:p>
            <w:pPr>
              <w:spacing w:line="200" w:lineRule="exact"/>
              <w:ind w:left="113" w:right="113"/>
              <w:rPr>
                <w:sz w:val="18"/>
                <w:szCs w:val="18"/>
              </w:rPr>
            </w:pPr>
            <w:r>
              <w:rPr>
                <w:rFonts w:hint="eastAsia"/>
                <w:sz w:val="18"/>
                <w:szCs w:val="18"/>
              </w:rPr>
              <w:t>（1）边坡维护</w:t>
            </w:r>
          </w:p>
        </w:tc>
        <w:tc>
          <w:tcPr>
            <w:tcW w:w="397" w:type="dxa"/>
            <w:textDirection w:val="btLr"/>
            <w:vAlign w:val="center"/>
          </w:tcPr>
          <w:p>
            <w:pPr>
              <w:spacing w:line="200" w:lineRule="exact"/>
              <w:ind w:left="113" w:right="113"/>
              <w:rPr>
                <w:sz w:val="18"/>
                <w:szCs w:val="18"/>
              </w:rPr>
            </w:pPr>
            <w:r>
              <w:rPr>
                <w:rFonts w:hint="eastAsia"/>
                <w:sz w:val="18"/>
                <w:szCs w:val="18"/>
              </w:rPr>
              <w:t>（2）挡墙修复</w:t>
            </w:r>
          </w:p>
        </w:tc>
        <w:tc>
          <w:tcPr>
            <w:tcW w:w="398" w:type="dxa"/>
            <w:textDirection w:val="btLr"/>
            <w:vAlign w:val="center"/>
          </w:tcPr>
          <w:p>
            <w:pPr>
              <w:spacing w:line="200" w:lineRule="exact"/>
              <w:ind w:left="113" w:right="113"/>
              <w:rPr>
                <w:sz w:val="18"/>
                <w:szCs w:val="18"/>
              </w:rPr>
            </w:pPr>
            <w:r>
              <w:rPr>
                <w:rFonts w:hint="eastAsia"/>
                <w:sz w:val="18"/>
                <w:szCs w:val="18"/>
              </w:rPr>
              <w:t>（3）路肩维修</w:t>
            </w:r>
          </w:p>
        </w:tc>
        <w:tc>
          <w:tcPr>
            <w:tcW w:w="397" w:type="dxa"/>
            <w:textDirection w:val="btLr"/>
            <w:vAlign w:val="center"/>
          </w:tcPr>
          <w:p>
            <w:pPr>
              <w:spacing w:line="200" w:lineRule="exact"/>
              <w:ind w:left="113" w:right="113"/>
              <w:rPr>
                <w:sz w:val="18"/>
                <w:szCs w:val="18"/>
              </w:rPr>
            </w:pPr>
            <w:r>
              <w:rPr>
                <w:rFonts w:hint="eastAsia"/>
                <w:sz w:val="18"/>
                <w:szCs w:val="18"/>
              </w:rPr>
              <w:t>……</w:t>
            </w:r>
          </w:p>
        </w:tc>
        <w:tc>
          <w:tcPr>
            <w:tcW w:w="398" w:type="dxa"/>
            <w:textDirection w:val="btLr"/>
            <w:vAlign w:val="center"/>
          </w:tcPr>
          <w:p>
            <w:pPr>
              <w:spacing w:line="200" w:lineRule="exact"/>
              <w:ind w:left="113" w:right="113"/>
              <w:rPr>
                <w:sz w:val="18"/>
                <w:szCs w:val="18"/>
              </w:rPr>
            </w:pPr>
            <w:r>
              <w:rPr>
                <w:rFonts w:hint="eastAsia"/>
                <w:sz w:val="18"/>
                <w:szCs w:val="18"/>
              </w:rPr>
              <w:t>3．路面工程</w:t>
            </w:r>
          </w:p>
        </w:tc>
        <w:tc>
          <w:tcPr>
            <w:tcW w:w="397" w:type="dxa"/>
            <w:textDirection w:val="btLr"/>
            <w:vAlign w:val="center"/>
          </w:tcPr>
          <w:p>
            <w:pPr>
              <w:spacing w:line="200" w:lineRule="exact"/>
              <w:ind w:left="113" w:right="113"/>
              <w:rPr>
                <w:sz w:val="18"/>
                <w:szCs w:val="18"/>
              </w:rPr>
            </w:pPr>
            <w:r>
              <w:rPr>
                <w:rFonts w:hint="eastAsia"/>
                <w:sz w:val="18"/>
                <w:szCs w:val="18"/>
              </w:rPr>
              <w:t>（1）坑洞修补</w:t>
            </w:r>
          </w:p>
        </w:tc>
        <w:tc>
          <w:tcPr>
            <w:tcW w:w="398" w:type="dxa"/>
            <w:textDirection w:val="btLr"/>
            <w:vAlign w:val="center"/>
          </w:tcPr>
          <w:p>
            <w:pPr>
              <w:spacing w:line="200" w:lineRule="exact"/>
              <w:ind w:left="113" w:right="113"/>
              <w:rPr>
                <w:sz w:val="18"/>
                <w:szCs w:val="18"/>
              </w:rPr>
            </w:pPr>
            <w:r>
              <w:rPr>
                <w:rFonts w:hint="eastAsia"/>
                <w:sz w:val="18"/>
                <w:szCs w:val="18"/>
              </w:rPr>
              <w:t>（2）沉陷维修</w:t>
            </w:r>
          </w:p>
        </w:tc>
        <w:tc>
          <w:tcPr>
            <w:tcW w:w="397" w:type="dxa"/>
            <w:textDirection w:val="btLr"/>
            <w:vAlign w:val="center"/>
          </w:tcPr>
          <w:p>
            <w:pPr>
              <w:spacing w:line="200" w:lineRule="exact"/>
              <w:ind w:left="113" w:right="113"/>
              <w:rPr>
                <w:sz w:val="18"/>
                <w:szCs w:val="18"/>
              </w:rPr>
            </w:pPr>
            <w:r>
              <w:rPr>
                <w:rFonts w:hint="eastAsia"/>
                <w:sz w:val="18"/>
                <w:szCs w:val="18"/>
              </w:rPr>
              <w:t>……</w:t>
            </w:r>
          </w:p>
        </w:tc>
        <w:tc>
          <w:tcPr>
            <w:tcW w:w="398" w:type="dxa"/>
            <w:textDirection w:val="btLr"/>
            <w:vAlign w:val="center"/>
          </w:tcPr>
          <w:p>
            <w:pPr>
              <w:spacing w:line="200" w:lineRule="exact"/>
              <w:ind w:left="113" w:right="113"/>
              <w:rPr>
                <w:sz w:val="18"/>
                <w:szCs w:val="18"/>
              </w:rPr>
            </w:pPr>
            <w:r>
              <w:rPr>
                <w:rFonts w:hint="eastAsia"/>
                <w:sz w:val="18"/>
                <w:szCs w:val="18"/>
              </w:rPr>
              <w:t>4．桥涵工程</w:t>
            </w:r>
          </w:p>
        </w:tc>
        <w:tc>
          <w:tcPr>
            <w:tcW w:w="397" w:type="dxa"/>
            <w:textDirection w:val="btLr"/>
            <w:vAlign w:val="center"/>
          </w:tcPr>
          <w:p>
            <w:pPr>
              <w:spacing w:line="200" w:lineRule="exact"/>
              <w:ind w:left="113" w:right="113"/>
              <w:rPr>
                <w:sz w:val="18"/>
                <w:szCs w:val="18"/>
              </w:rPr>
            </w:pPr>
            <w:r>
              <w:rPr>
                <w:rFonts w:hint="eastAsia"/>
                <w:sz w:val="18"/>
                <w:szCs w:val="18"/>
              </w:rPr>
              <w:t>（1）桥面排水系修复</w:t>
            </w:r>
          </w:p>
        </w:tc>
        <w:tc>
          <w:tcPr>
            <w:tcW w:w="397" w:type="dxa"/>
            <w:textDirection w:val="btLr"/>
            <w:vAlign w:val="center"/>
          </w:tcPr>
          <w:p>
            <w:pPr>
              <w:spacing w:line="200" w:lineRule="exact"/>
              <w:ind w:left="113" w:right="113"/>
              <w:rPr>
                <w:sz w:val="18"/>
                <w:szCs w:val="18"/>
              </w:rPr>
            </w:pPr>
            <w:r>
              <w:rPr>
                <w:rFonts w:hint="eastAsia"/>
                <w:sz w:val="18"/>
                <w:szCs w:val="18"/>
              </w:rPr>
              <w:t>（2）伸缩缝保养</w:t>
            </w:r>
          </w:p>
        </w:tc>
        <w:tc>
          <w:tcPr>
            <w:tcW w:w="398" w:type="dxa"/>
            <w:textDirection w:val="btLr"/>
            <w:vAlign w:val="center"/>
          </w:tcPr>
          <w:p>
            <w:pPr>
              <w:spacing w:line="200" w:lineRule="exact"/>
              <w:ind w:left="113" w:right="113"/>
              <w:rPr>
                <w:sz w:val="18"/>
                <w:szCs w:val="18"/>
              </w:rPr>
            </w:pPr>
            <w:r>
              <w:rPr>
                <w:rFonts w:hint="eastAsia"/>
                <w:sz w:val="18"/>
                <w:szCs w:val="18"/>
              </w:rPr>
              <w:t>……</w:t>
            </w:r>
          </w:p>
        </w:tc>
        <w:tc>
          <w:tcPr>
            <w:tcW w:w="398" w:type="dxa"/>
            <w:textDirection w:val="btLr"/>
            <w:vAlign w:val="center"/>
          </w:tcPr>
          <w:p>
            <w:pPr>
              <w:spacing w:line="200" w:lineRule="exact"/>
              <w:ind w:left="113" w:right="113"/>
              <w:rPr>
                <w:sz w:val="18"/>
                <w:szCs w:val="18"/>
              </w:rPr>
            </w:pPr>
            <w:r>
              <w:rPr>
                <w:rFonts w:hint="eastAsia"/>
                <w:sz w:val="18"/>
                <w:szCs w:val="18"/>
              </w:rPr>
              <w:t>5．隧道工程</w:t>
            </w:r>
          </w:p>
        </w:tc>
        <w:tc>
          <w:tcPr>
            <w:tcW w:w="396" w:type="dxa"/>
            <w:textDirection w:val="btLr"/>
            <w:vAlign w:val="center"/>
          </w:tcPr>
          <w:p>
            <w:pPr>
              <w:spacing w:line="200" w:lineRule="exact"/>
              <w:ind w:left="113" w:right="113"/>
              <w:rPr>
                <w:sz w:val="18"/>
                <w:szCs w:val="18"/>
              </w:rPr>
            </w:pPr>
            <w:r>
              <w:rPr>
                <w:rFonts w:hint="eastAsia"/>
                <w:sz w:val="18"/>
                <w:szCs w:val="18"/>
              </w:rPr>
              <w:t>（1）洞口仰坡清理</w:t>
            </w:r>
          </w:p>
        </w:tc>
        <w:tc>
          <w:tcPr>
            <w:tcW w:w="398" w:type="dxa"/>
            <w:textDirection w:val="btLr"/>
            <w:vAlign w:val="center"/>
          </w:tcPr>
          <w:p>
            <w:pPr>
              <w:spacing w:line="200" w:lineRule="exact"/>
              <w:ind w:left="113" w:right="113"/>
              <w:rPr>
                <w:sz w:val="18"/>
                <w:szCs w:val="18"/>
              </w:rPr>
            </w:pPr>
            <w:r>
              <w:rPr>
                <w:rFonts w:hint="eastAsia"/>
                <w:sz w:val="18"/>
                <w:szCs w:val="18"/>
              </w:rPr>
              <w:t>……</w:t>
            </w:r>
          </w:p>
        </w:tc>
      </w:tr>
    </w:tbl>
    <w:p>
      <w:pPr>
        <w:pStyle w:val="6"/>
        <w:spacing w:before="0" w:after="360" w:line="260" w:lineRule="exact"/>
        <w:rPr>
          <w:rFonts w:ascii="黑体" w:hAnsi="黑体" w:eastAsia="黑体"/>
          <w:b w:val="0"/>
          <w:bCs w:val="0"/>
          <w:sz w:val="24"/>
          <w:szCs w:val="24"/>
        </w:rPr>
      </w:pPr>
      <w:bookmarkStart w:id="7189" w:name="_Toc288491896"/>
      <w:bookmarkStart w:id="7190" w:name="_Toc288547021"/>
      <w:bookmarkStart w:id="7191" w:name="_Toc282787832"/>
      <w:bookmarkStart w:id="7192" w:name="_Toc282779368"/>
      <w:bookmarkStart w:id="7193" w:name="_Toc283794565"/>
      <w:bookmarkStart w:id="7194" w:name="_Toc282779877"/>
      <w:bookmarkStart w:id="7195" w:name="_Toc287853718"/>
      <w:bookmarkStart w:id="7196" w:name="_Toc233436029"/>
      <w:bookmarkStart w:id="7197" w:name="_Toc233290486"/>
      <w:bookmarkStart w:id="7198" w:name="_Toc233429888"/>
      <w:bookmarkStart w:id="7199" w:name="_Toc233215041"/>
      <w:bookmarkStart w:id="7200" w:name="_Toc252720327"/>
      <w:bookmarkStart w:id="7201" w:name="_Toc233423371"/>
    </w:p>
    <w:p>
      <w:pPr>
        <w:pStyle w:val="6"/>
        <w:spacing w:before="0" w:after="0" w:line="360" w:lineRule="auto"/>
        <w:rPr>
          <w:rFonts w:ascii="黑体" w:hAnsi="黑体" w:eastAsia="黑体"/>
          <w:b w:val="0"/>
          <w:bCs w:val="0"/>
          <w:sz w:val="24"/>
          <w:szCs w:val="24"/>
        </w:rPr>
      </w:pPr>
    </w:p>
    <w:p/>
    <w:p>
      <w:bookmarkStart w:id="7202" w:name="_Toc21495"/>
      <w:bookmarkStart w:id="7203" w:name="_Toc10229"/>
      <w:bookmarkStart w:id="7204" w:name="_Toc1945"/>
      <w:bookmarkStart w:id="7205" w:name="_Toc3508"/>
      <w:bookmarkStart w:id="7206" w:name="_Toc22455"/>
      <w:bookmarkStart w:id="7207" w:name="_Toc8039"/>
      <w:bookmarkStart w:id="7208" w:name="_Toc14062"/>
      <w:bookmarkStart w:id="7209" w:name="_Toc2964"/>
      <w:bookmarkStart w:id="7210" w:name="_Toc1053"/>
      <w:bookmarkStart w:id="7211" w:name="_Toc6248"/>
      <w:bookmarkStart w:id="7212" w:name="_Toc5894"/>
      <w:bookmarkStart w:id="7213" w:name="_Toc18735"/>
      <w:bookmarkStart w:id="7214" w:name="_Toc11433"/>
    </w:p>
    <w:p>
      <w:bookmarkStart w:id="7215" w:name="_Toc15813"/>
    </w:p>
    <w:p>
      <w:pPr>
        <w:pStyle w:val="6"/>
        <w:spacing w:before="0" w:after="0" w:line="260" w:lineRule="exact"/>
        <w:rPr>
          <w:rFonts w:ascii="黑体" w:hAnsi="黑体" w:eastAsia="黑体"/>
          <w:b w:val="0"/>
          <w:bCs w:val="0"/>
          <w:sz w:val="24"/>
          <w:szCs w:val="24"/>
        </w:rPr>
      </w:pPr>
      <w:bookmarkStart w:id="7216" w:name="_Toc21857"/>
      <w:bookmarkStart w:id="7217" w:name="_Toc19373"/>
      <w:bookmarkStart w:id="7218" w:name="_Toc16980"/>
      <w:bookmarkStart w:id="7219" w:name="_Toc14397"/>
      <w:r>
        <w:rPr>
          <w:rFonts w:hint="eastAsia" w:ascii="黑体" w:hAnsi="黑体" w:eastAsia="黑体"/>
          <w:b w:val="0"/>
          <w:bCs w:val="0"/>
          <w:sz w:val="24"/>
          <w:szCs w:val="24"/>
        </w:rPr>
        <w:t>附表二  施工总平面图</w:t>
      </w:r>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p>
    <w:p>
      <w:pPr>
        <w:spacing w:line="360" w:lineRule="auto"/>
        <w:ind w:firstLine="480" w:firstLineChars="200"/>
        <w:rPr>
          <w:rFonts w:ascii="黑体" w:hAnsi="黑体" w:eastAsia="黑体"/>
          <w:sz w:val="24"/>
        </w:rPr>
      </w:pPr>
      <w:r>
        <w:rPr>
          <w:rFonts w:hint="eastAsia"/>
          <w:sz w:val="24"/>
        </w:rPr>
        <w:t>投标人应递交一份施工总平面图，绘出现场临时设施布置图表并附上文字说明，说明临时营地、料场、临时设施、供电、供水、道路、消防等设施的情况和布置。</w:t>
      </w:r>
    </w:p>
    <w:bookmarkEnd w:id="7189"/>
    <w:bookmarkEnd w:id="7190"/>
    <w:bookmarkEnd w:id="7191"/>
    <w:bookmarkEnd w:id="7192"/>
    <w:bookmarkEnd w:id="7193"/>
    <w:bookmarkEnd w:id="7194"/>
    <w:bookmarkEnd w:id="7195"/>
    <w:p>
      <w:pPr>
        <w:pStyle w:val="6"/>
        <w:tabs>
          <w:tab w:val="left" w:pos="1463"/>
        </w:tabs>
        <w:spacing w:beforeLines="150" w:after="360" w:line="260" w:lineRule="exact"/>
        <w:rPr>
          <w:rFonts w:ascii="黑体" w:hAnsi="黑体" w:eastAsia="黑体"/>
          <w:b w:val="0"/>
          <w:bCs w:val="0"/>
          <w:sz w:val="24"/>
          <w:szCs w:val="24"/>
        </w:rPr>
      </w:pPr>
      <w:bookmarkStart w:id="7220" w:name="_Toc28192"/>
      <w:bookmarkStart w:id="7221" w:name="_Toc32112"/>
      <w:bookmarkStart w:id="7222" w:name="_Toc29085"/>
      <w:bookmarkStart w:id="7223" w:name="_Toc17287"/>
      <w:bookmarkStart w:id="7224" w:name="_Toc7132"/>
      <w:bookmarkStart w:id="7225" w:name="_Toc10631"/>
      <w:bookmarkStart w:id="7226" w:name="_Toc31997"/>
      <w:bookmarkStart w:id="7227" w:name="_Toc12555"/>
      <w:bookmarkStart w:id="7228" w:name="_Toc20320"/>
      <w:bookmarkStart w:id="7229" w:name="_Toc21071"/>
      <w:bookmarkStart w:id="7230" w:name="_Toc9972"/>
      <w:bookmarkStart w:id="7231" w:name="_Toc25047"/>
      <w:bookmarkStart w:id="7232" w:name="_Toc12458"/>
      <w:bookmarkStart w:id="7233" w:name="_Toc26641"/>
      <w:bookmarkStart w:id="7234" w:name="_Toc8725"/>
      <w:bookmarkStart w:id="7235" w:name="_Toc16632"/>
      <w:bookmarkStart w:id="7236" w:name="_Toc15757"/>
      <w:bookmarkStart w:id="7237" w:name="_Toc10098"/>
      <w:bookmarkStart w:id="7238" w:name="_Toc282787833"/>
      <w:bookmarkStart w:id="7239" w:name="_Toc287853719"/>
      <w:bookmarkStart w:id="7240" w:name="_Toc233436028"/>
      <w:bookmarkStart w:id="7241" w:name="_Toc233423370"/>
      <w:bookmarkStart w:id="7242" w:name="_Toc233429887"/>
      <w:bookmarkStart w:id="7243" w:name="_Toc282779878"/>
      <w:bookmarkStart w:id="7244" w:name="_Toc282779369"/>
      <w:bookmarkStart w:id="7245" w:name="_Toc288491897"/>
      <w:bookmarkStart w:id="7246" w:name="_Toc233290485"/>
      <w:bookmarkStart w:id="7247" w:name="_Toc233215040"/>
      <w:bookmarkStart w:id="7248" w:name="_Toc283794566"/>
      <w:bookmarkStart w:id="7249" w:name="_Toc288547022"/>
      <w:r>
        <w:rPr>
          <w:rFonts w:hint="eastAsia" w:ascii="黑体" w:hAnsi="黑体" w:eastAsia="黑体"/>
          <w:b w:val="0"/>
          <w:bCs w:val="0"/>
          <w:sz w:val="24"/>
          <w:szCs w:val="24"/>
        </w:rPr>
        <w:t>附表三  劳动力计划表</w:t>
      </w:r>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p>
    <w:bookmarkEnd w:id="7238"/>
    <w:bookmarkEnd w:id="7239"/>
    <w:bookmarkEnd w:id="7240"/>
    <w:bookmarkEnd w:id="7241"/>
    <w:bookmarkEnd w:id="7242"/>
    <w:bookmarkEnd w:id="7243"/>
    <w:bookmarkEnd w:id="7244"/>
    <w:bookmarkEnd w:id="7245"/>
    <w:bookmarkEnd w:id="7246"/>
    <w:bookmarkEnd w:id="7247"/>
    <w:bookmarkEnd w:id="7248"/>
    <w:bookmarkEnd w:id="7249"/>
    <w:tbl>
      <w:tblPr>
        <w:tblStyle w:val="20"/>
        <w:tblW w:w="9043" w:type="dxa"/>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256"/>
        <w:gridCol w:w="973"/>
        <w:gridCol w:w="973"/>
        <w:gridCol w:w="974"/>
        <w:gridCol w:w="973"/>
        <w:gridCol w:w="973"/>
        <w:gridCol w:w="974"/>
        <w:gridCol w:w="973"/>
        <w:gridCol w:w="97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14" w:hRule="atLeast"/>
        </w:trPr>
        <w:tc>
          <w:tcPr>
            <w:tcW w:w="1256" w:type="dxa"/>
            <w:tcBorders>
              <w:bottom w:val="single" w:color="auto" w:sz="4" w:space="0"/>
              <w:right w:val="single" w:color="auto" w:sz="4" w:space="0"/>
            </w:tcBorders>
            <w:vAlign w:val="center"/>
          </w:tcPr>
          <w:p>
            <w:pPr>
              <w:spacing w:line="240" w:lineRule="exact"/>
              <w:jc w:val="center"/>
              <w:rPr>
                <w:rFonts w:ascii="宋体" w:hAnsi="宋体"/>
              </w:rPr>
            </w:pPr>
            <w:r>
              <w:rPr>
                <w:rFonts w:hint="eastAsia" w:ascii="宋体" w:hAnsi="宋体"/>
              </w:rPr>
              <w:t>工种</w:t>
            </w:r>
          </w:p>
        </w:tc>
        <w:tc>
          <w:tcPr>
            <w:tcW w:w="7787" w:type="dxa"/>
            <w:gridSpan w:val="8"/>
            <w:tcBorders>
              <w:left w:val="single" w:color="auto" w:sz="4" w:space="0"/>
              <w:bottom w:val="single" w:color="auto" w:sz="4" w:space="0"/>
            </w:tcBorders>
            <w:vAlign w:val="center"/>
          </w:tcPr>
          <w:p>
            <w:pPr>
              <w:spacing w:line="240" w:lineRule="exact"/>
              <w:jc w:val="center"/>
              <w:rPr>
                <w:rFonts w:ascii="宋体" w:hAnsi="宋体"/>
              </w:rPr>
            </w:pPr>
            <w:r>
              <w:rPr>
                <w:rFonts w:hint="eastAsia" w:ascii="宋体" w:hAnsi="宋体"/>
              </w:rPr>
              <w:t>按工程施工阶段投入劳动力情况</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35" w:hRule="atLeast"/>
        </w:trPr>
        <w:tc>
          <w:tcPr>
            <w:tcW w:w="1256" w:type="dxa"/>
            <w:tcBorders>
              <w:top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4"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4"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4" w:type="dxa"/>
            <w:tcBorders>
              <w:top w:val="single" w:color="auto" w:sz="4" w:space="0"/>
              <w:left w:val="single" w:color="auto" w:sz="4" w:space="0"/>
              <w:bottom w:val="single" w:color="auto" w:sz="4" w:space="0"/>
            </w:tcBorders>
          </w:tcPr>
          <w:p>
            <w:pPr>
              <w:spacing w:line="420" w:lineRule="exact"/>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35" w:hRule="atLeast"/>
        </w:trPr>
        <w:tc>
          <w:tcPr>
            <w:tcW w:w="1256" w:type="dxa"/>
            <w:tcBorders>
              <w:top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4"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4"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4" w:type="dxa"/>
            <w:tcBorders>
              <w:top w:val="single" w:color="auto" w:sz="4" w:space="0"/>
              <w:left w:val="single" w:color="auto" w:sz="4" w:space="0"/>
              <w:bottom w:val="single" w:color="auto" w:sz="4" w:space="0"/>
            </w:tcBorders>
          </w:tcPr>
          <w:p>
            <w:pPr>
              <w:spacing w:line="420" w:lineRule="exact"/>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35" w:hRule="atLeast"/>
        </w:trPr>
        <w:tc>
          <w:tcPr>
            <w:tcW w:w="1256" w:type="dxa"/>
            <w:tcBorders>
              <w:top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4"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4"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4" w:type="dxa"/>
            <w:tcBorders>
              <w:top w:val="single" w:color="auto" w:sz="4" w:space="0"/>
              <w:left w:val="single" w:color="auto" w:sz="4" w:space="0"/>
              <w:bottom w:val="single" w:color="auto" w:sz="4" w:space="0"/>
            </w:tcBorders>
          </w:tcPr>
          <w:p>
            <w:pPr>
              <w:spacing w:line="420" w:lineRule="exact"/>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35" w:hRule="atLeast"/>
        </w:trPr>
        <w:tc>
          <w:tcPr>
            <w:tcW w:w="1256" w:type="dxa"/>
            <w:tcBorders>
              <w:top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4"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4"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4" w:type="dxa"/>
            <w:tcBorders>
              <w:top w:val="single" w:color="auto" w:sz="4" w:space="0"/>
              <w:left w:val="single" w:color="auto" w:sz="4" w:space="0"/>
              <w:bottom w:val="single" w:color="auto" w:sz="4" w:space="0"/>
            </w:tcBorders>
          </w:tcPr>
          <w:p>
            <w:pPr>
              <w:spacing w:line="420" w:lineRule="exact"/>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35" w:hRule="atLeast"/>
        </w:trPr>
        <w:tc>
          <w:tcPr>
            <w:tcW w:w="1256" w:type="dxa"/>
            <w:tcBorders>
              <w:top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4"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4"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4" w:type="dxa"/>
            <w:tcBorders>
              <w:top w:val="single" w:color="auto" w:sz="4" w:space="0"/>
              <w:left w:val="single" w:color="auto" w:sz="4" w:space="0"/>
              <w:bottom w:val="single" w:color="auto" w:sz="4" w:space="0"/>
            </w:tcBorders>
          </w:tcPr>
          <w:p>
            <w:pPr>
              <w:spacing w:line="420" w:lineRule="exact"/>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35" w:hRule="atLeast"/>
        </w:trPr>
        <w:tc>
          <w:tcPr>
            <w:tcW w:w="1256" w:type="dxa"/>
            <w:tcBorders>
              <w:top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4"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4"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4" w:type="dxa"/>
            <w:tcBorders>
              <w:top w:val="single" w:color="auto" w:sz="4" w:space="0"/>
              <w:left w:val="single" w:color="auto" w:sz="4" w:space="0"/>
              <w:bottom w:val="single" w:color="auto" w:sz="4" w:space="0"/>
            </w:tcBorders>
          </w:tcPr>
          <w:p>
            <w:pPr>
              <w:spacing w:line="420" w:lineRule="exact"/>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35" w:hRule="atLeast"/>
        </w:trPr>
        <w:tc>
          <w:tcPr>
            <w:tcW w:w="1256" w:type="dxa"/>
            <w:tcBorders>
              <w:top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4"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4"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4" w:type="dxa"/>
            <w:tcBorders>
              <w:top w:val="single" w:color="auto" w:sz="4" w:space="0"/>
              <w:left w:val="single" w:color="auto" w:sz="4" w:space="0"/>
              <w:bottom w:val="single" w:color="auto" w:sz="4" w:space="0"/>
            </w:tcBorders>
          </w:tcPr>
          <w:p>
            <w:pPr>
              <w:spacing w:line="420" w:lineRule="exact"/>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35" w:hRule="atLeast"/>
        </w:trPr>
        <w:tc>
          <w:tcPr>
            <w:tcW w:w="1256" w:type="dxa"/>
            <w:tcBorders>
              <w:top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4"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4"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4" w:type="dxa"/>
            <w:tcBorders>
              <w:top w:val="single" w:color="auto" w:sz="4" w:space="0"/>
              <w:left w:val="single" w:color="auto" w:sz="4" w:space="0"/>
              <w:bottom w:val="single" w:color="auto" w:sz="4" w:space="0"/>
            </w:tcBorders>
          </w:tcPr>
          <w:p>
            <w:pPr>
              <w:spacing w:line="420" w:lineRule="exact"/>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35" w:hRule="atLeast"/>
        </w:trPr>
        <w:tc>
          <w:tcPr>
            <w:tcW w:w="1256" w:type="dxa"/>
            <w:tcBorders>
              <w:top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4"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4"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4" w:type="dxa"/>
            <w:tcBorders>
              <w:top w:val="single" w:color="auto" w:sz="4" w:space="0"/>
              <w:left w:val="single" w:color="auto" w:sz="4" w:space="0"/>
              <w:bottom w:val="single" w:color="auto" w:sz="4" w:space="0"/>
            </w:tcBorders>
          </w:tcPr>
          <w:p>
            <w:pPr>
              <w:spacing w:line="420" w:lineRule="exact"/>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35" w:hRule="atLeast"/>
        </w:trPr>
        <w:tc>
          <w:tcPr>
            <w:tcW w:w="1256" w:type="dxa"/>
            <w:tcBorders>
              <w:top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4"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4"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4" w:type="dxa"/>
            <w:tcBorders>
              <w:top w:val="single" w:color="auto" w:sz="4" w:space="0"/>
              <w:left w:val="single" w:color="auto" w:sz="4" w:space="0"/>
              <w:bottom w:val="single" w:color="auto" w:sz="4" w:space="0"/>
            </w:tcBorders>
          </w:tcPr>
          <w:p>
            <w:pPr>
              <w:spacing w:line="420" w:lineRule="exact"/>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35" w:hRule="atLeast"/>
        </w:trPr>
        <w:tc>
          <w:tcPr>
            <w:tcW w:w="1256" w:type="dxa"/>
            <w:tcBorders>
              <w:top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4"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4"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4" w:type="dxa"/>
            <w:tcBorders>
              <w:top w:val="single" w:color="auto" w:sz="4" w:space="0"/>
              <w:left w:val="single" w:color="auto" w:sz="4" w:space="0"/>
              <w:bottom w:val="single" w:color="auto" w:sz="4" w:space="0"/>
            </w:tcBorders>
          </w:tcPr>
          <w:p>
            <w:pPr>
              <w:spacing w:line="420" w:lineRule="exact"/>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35" w:hRule="atLeast"/>
        </w:trPr>
        <w:tc>
          <w:tcPr>
            <w:tcW w:w="1256" w:type="dxa"/>
            <w:tcBorders>
              <w:top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4"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4"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4" w:type="dxa"/>
            <w:tcBorders>
              <w:top w:val="single" w:color="auto" w:sz="4" w:space="0"/>
              <w:left w:val="single" w:color="auto" w:sz="4" w:space="0"/>
              <w:bottom w:val="single" w:color="auto" w:sz="4" w:space="0"/>
            </w:tcBorders>
          </w:tcPr>
          <w:p>
            <w:pPr>
              <w:spacing w:line="420" w:lineRule="exact"/>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35" w:hRule="atLeast"/>
        </w:trPr>
        <w:tc>
          <w:tcPr>
            <w:tcW w:w="1256" w:type="dxa"/>
            <w:tcBorders>
              <w:top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4"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4"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4" w:type="dxa"/>
            <w:tcBorders>
              <w:top w:val="single" w:color="auto" w:sz="4" w:space="0"/>
              <w:left w:val="single" w:color="auto" w:sz="4" w:space="0"/>
              <w:bottom w:val="single" w:color="auto" w:sz="4" w:space="0"/>
            </w:tcBorders>
          </w:tcPr>
          <w:p>
            <w:pPr>
              <w:spacing w:line="420" w:lineRule="exact"/>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35" w:hRule="atLeast"/>
        </w:trPr>
        <w:tc>
          <w:tcPr>
            <w:tcW w:w="1256" w:type="dxa"/>
            <w:tcBorders>
              <w:top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4"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4"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4" w:type="dxa"/>
            <w:tcBorders>
              <w:top w:val="single" w:color="auto" w:sz="4" w:space="0"/>
              <w:left w:val="single" w:color="auto" w:sz="4" w:space="0"/>
              <w:bottom w:val="single" w:color="auto" w:sz="4" w:space="0"/>
            </w:tcBorders>
          </w:tcPr>
          <w:p>
            <w:pPr>
              <w:spacing w:line="420" w:lineRule="exact"/>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35" w:hRule="atLeast"/>
        </w:trPr>
        <w:tc>
          <w:tcPr>
            <w:tcW w:w="1256" w:type="dxa"/>
            <w:tcBorders>
              <w:top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4"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4"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4" w:type="dxa"/>
            <w:tcBorders>
              <w:top w:val="single" w:color="auto" w:sz="4" w:space="0"/>
              <w:left w:val="single" w:color="auto" w:sz="4" w:space="0"/>
              <w:bottom w:val="single" w:color="auto" w:sz="4" w:space="0"/>
            </w:tcBorders>
          </w:tcPr>
          <w:p>
            <w:pPr>
              <w:spacing w:line="420" w:lineRule="exact"/>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35" w:hRule="atLeast"/>
        </w:trPr>
        <w:tc>
          <w:tcPr>
            <w:tcW w:w="1256" w:type="dxa"/>
            <w:tcBorders>
              <w:top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4"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4"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4" w:type="dxa"/>
            <w:tcBorders>
              <w:top w:val="single" w:color="auto" w:sz="4" w:space="0"/>
              <w:left w:val="single" w:color="auto" w:sz="4" w:space="0"/>
              <w:bottom w:val="single" w:color="auto" w:sz="4" w:space="0"/>
            </w:tcBorders>
          </w:tcPr>
          <w:p>
            <w:pPr>
              <w:spacing w:line="420" w:lineRule="exact"/>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35" w:hRule="atLeast"/>
        </w:trPr>
        <w:tc>
          <w:tcPr>
            <w:tcW w:w="1256" w:type="dxa"/>
            <w:tcBorders>
              <w:top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4"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4"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4" w:type="dxa"/>
            <w:tcBorders>
              <w:top w:val="single" w:color="auto" w:sz="4" w:space="0"/>
              <w:left w:val="single" w:color="auto" w:sz="4" w:space="0"/>
              <w:bottom w:val="single" w:color="auto" w:sz="4" w:space="0"/>
            </w:tcBorders>
          </w:tcPr>
          <w:p>
            <w:pPr>
              <w:spacing w:line="420" w:lineRule="exact"/>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35" w:hRule="atLeast"/>
        </w:trPr>
        <w:tc>
          <w:tcPr>
            <w:tcW w:w="1256" w:type="dxa"/>
            <w:tcBorders>
              <w:top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4"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4"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4" w:type="dxa"/>
            <w:tcBorders>
              <w:top w:val="single" w:color="auto" w:sz="4" w:space="0"/>
              <w:left w:val="single" w:color="auto" w:sz="4" w:space="0"/>
              <w:bottom w:val="single" w:color="auto" w:sz="4" w:space="0"/>
            </w:tcBorders>
          </w:tcPr>
          <w:p>
            <w:pPr>
              <w:spacing w:line="420" w:lineRule="exact"/>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35" w:hRule="atLeast"/>
        </w:trPr>
        <w:tc>
          <w:tcPr>
            <w:tcW w:w="1256" w:type="dxa"/>
            <w:tcBorders>
              <w:top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4"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4"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4" w:type="dxa"/>
            <w:tcBorders>
              <w:top w:val="single" w:color="auto" w:sz="4" w:space="0"/>
              <w:left w:val="single" w:color="auto" w:sz="4" w:space="0"/>
              <w:bottom w:val="single" w:color="auto" w:sz="4" w:space="0"/>
            </w:tcBorders>
          </w:tcPr>
          <w:p>
            <w:pPr>
              <w:spacing w:line="420" w:lineRule="exact"/>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35" w:hRule="atLeast"/>
        </w:trPr>
        <w:tc>
          <w:tcPr>
            <w:tcW w:w="1256" w:type="dxa"/>
            <w:tcBorders>
              <w:top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4"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4"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4" w:type="dxa"/>
            <w:tcBorders>
              <w:top w:val="single" w:color="auto" w:sz="4" w:space="0"/>
              <w:left w:val="single" w:color="auto" w:sz="4" w:space="0"/>
              <w:bottom w:val="single" w:color="auto" w:sz="4" w:space="0"/>
            </w:tcBorders>
          </w:tcPr>
          <w:p>
            <w:pPr>
              <w:spacing w:line="420" w:lineRule="exact"/>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35" w:hRule="atLeast"/>
        </w:trPr>
        <w:tc>
          <w:tcPr>
            <w:tcW w:w="1256" w:type="dxa"/>
            <w:tcBorders>
              <w:top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4"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4"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4" w:type="dxa"/>
            <w:tcBorders>
              <w:top w:val="single" w:color="auto" w:sz="4" w:space="0"/>
              <w:left w:val="single" w:color="auto" w:sz="4" w:space="0"/>
              <w:bottom w:val="single" w:color="auto" w:sz="4" w:space="0"/>
            </w:tcBorders>
          </w:tcPr>
          <w:p>
            <w:pPr>
              <w:spacing w:line="420" w:lineRule="exact"/>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35" w:hRule="atLeast"/>
        </w:trPr>
        <w:tc>
          <w:tcPr>
            <w:tcW w:w="1256" w:type="dxa"/>
            <w:tcBorders>
              <w:top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4"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4"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974" w:type="dxa"/>
            <w:tcBorders>
              <w:top w:val="single" w:color="auto" w:sz="4" w:space="0"/>
              <w:left w:val="single" w:color="auto" w:sz="4" w:space="0"/>
              <w:bottom w:val="single" w:color="auto" w:sz="4" w:space="0"/>
            </w:tcBorders>
          </w:tcPr>
          <w:p>
            <w:pPr>
              <w:spacing w:line="420" w:lineRule="exact"/>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35" w:hRule="atLeast"/>
        </w:trPr>
        <w:tc>
          <w:tcPr>
            <w:tcW w:w="1256" w:type="dxa"/>
            <w:tcBorders>
              <w:top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right w:val="single" w:color="auto" w:sz="4" w:space="0"/>
            </w:tcBorders>
          </w:tcPr>
          <w:p>
            <w:pPr>
              <w:spacing w:line="420" w:lineRule="exact"/>
              <w:rPr>
                <w:rFonts w:ascii="宋体" w:hAnsi="宋体"/>
              </w:rPr>
            </w:pPr>
          </w:p>
        </w:tc>
        <w:tc>
          <w:tcPr>
            <w:tcW w:w="974" w:type="dxa"/>
            <w:tcBorders>
              <w:top w:val="single" w:color="auto" w:sz="4" w:space="0"/>
              <w:left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right w:val="single" w:color="auto" w:sz="4" w:space="0"/>
            </w:tcBorders>
          </w:tcPr>
          <w:p>
            <w:pPr>
              <w:spacing w:line="420" w:lineRule="exact"/>
              <w:rPr>
                <w:rFonts w:ascii="宋体" w:hAnsi="宋体"/>
              </w:rPr>
            </w:pPr>
          </w:p>
        </w:tc>
        <w:tc>
          <w:tcPr>
            <w:tcW w:w="974" w:type="dxa"/>
            <w:tcBorders>
              <w:top w:val="single" w:color="auto" w:sz="4" w:space="0"/>
              <w:left w:val="single" w:color="auto" w:sz="4" w:space="0"/>
              <w:right w:val="single" w:color="auto" w:sz="4" w:space="0"/>
            </w:tcBorders>
          </w:tcPr>
          <w:p>
            <w:pPr>
              <w:spacing w:line="420" w:lineRule="exact"/>
              <w:rPr>
                <w:rFonts w:ascii="宋体" w:hAnsi="宋体"/>
              </w:rPr>
            </w:pPr>
          </w:p>
        </w:tc>
        <w:tc>
          <w:tcPr>
            <w:tcW w:w="973" w:type="dxa"/>
            <w:tcBorders>
              <w:top w:val="single" w:color="auto" w:sz="4" w:space="0"/>
              <w:left w:val="single" w:color="auto" w:sz="4" w:space="0"/>
              <w:right w:val="single" w:color="auto" w:sz="4" w:space="0"/>
            </w:tcBorders>
          </w:tcPr>
          <w:p>
            <w:pPr>
              <w:spacing w:line="420" w:lineRule="exact"/>
              <w:rPr>
                <w:rFonts w:ascii="宋体" w:hAnsi="宋体"/>
              </w:rPr>
            </w:pPr>
          </w:p>
        </w:tc>
        <w:tc>
          <w:tcPr>
            <w:tcW w:w="974" w:type="dxa"/>
            <w:tcBorders>
              <w:top w:val="single" w:color="auto" w:sz="4" w:space="0"/>
              <w:left w:val="single" w:color="auto" w:sz="4" w:space="0"/>
            </w:tcBorders>
          </w:tcPr>
          <w:p>
            <w:pPr>
              <w:spacing w:line="420" w:lineRule="exact"/>
              <w:rPr>
                <w:rFonts w:ascii="宋体" w:hAnsi="宋体"/>
              </w:rPr>
            </w:pPr>
          </w:p>
        </w:tc>
      </w:tr>
    </w:tbl>
    <w:p>
      <w:pPr>
        <w:spacing w:line="120" w:lineRule="exact"/>
        <w:ind w:firstLine="360" w:firstLineChars="200"/>
        <w:rPr>
          <w:sz w:val="18"/>
          <w:szCs w:val="18"/>
        </w:rPr>
      </w:pPr>
    </w:p>
    <w:p>
      <w:pPr>
        <w:pStyle w:val="6"/>
        <w:spacing w:before="0" w:after="360" w:line="260" w:lineRule="exact"/>
        <w:rPr>
          <w:rFonts w:ascii="黑体" w:hAnsi="黑体" w:eastAsia="黑体"/>
          <w:b w:val="0"/>
          <w:bCs w:val="0"/>
          <w:sz w:val="24"/>
          <w:szCs w:val="24"/>
        </w:rPr>
      </w:pPr>
      <w:bookmarkStart w:id="7250" w:name="_Toc24578"/>
      <w:bookmarkStart w:id="7251" w:name="_Toc282779370"/>
      <w:bookmarkStart w:id="7252" w:name="_Toc16558"/>
      <w:bookmarkStart w:id="7253" w:name="_Toc31425"/>
      <w:bookmarkStart w:id="7254" w:name="_Toc11428"/>
      <w:bookmarkStart w:id="7255" w:name="_Toc288491898"/>
      <w:bookmarkStart w:id="7256" w:name="_Toc1172"/>
      <w:bookmarkStart w:id="7257" w:name="_Toc1170"/>
      <w:bookmarkStart w:id="7258" w:name="_Toc3504"/>
      <w:bookmarkStart w:id="7259" w:name="_Toc171"/>
      <w:bookmarkStart w:id="7260" w:name="_Toc13018"/>
      <w:bookmarkStart w:id="7261" w:name="_Toc21224"/>
      <w:bookmarkStart w:id="7262" w:name="_Toc27198"/>
      <w:bookmarkStart w:id="7263" w:name="_Toc3036"/>
      <w:bookmarkStart w:id="7264" w:name="_Toc283794567"/>
      <w:bookmarkStart w:id="7265" w:name="_Toc287853720"/>
      <w:bookmarkStart w:id="7266" w:name="_Toc21452"/>
      <w:bookmarkStart w:id="7267" w:name="_Toc282779879"/>
      <w:bookmarkStart w:id="7268" w:name="_Toc8510"/>
      <w:bookmarkStart w:id="7269" w:name="_Toc27392"/>
      <w:bookmarkStart w:id="7270" w:name="_Toc11654"/>
      <w:bookmarkStart w:id="7271" w:name="_Toc21891"/>
      <w:bookmarkStart w:id="7272" w:name="_Toc288547023"/>
      <w:bookmarkStart w:id="7273" w:name="_Toc282787834"/>
      <w:bookmarkStart w:id="7274" w:name="_Toc2412"/>
      <w:r>
        <w:rPr>
          <w:rFonts w:hint="eastAsia" w:ascii="黑体" w:hAnsi="黑体" w:eastAsia="黑体"/>
          <w:b w:val="0"/>
          <w:bCs w:val="0"/>
          <w:sz w:val="24"/>
          <w:szCs w:val="24"/>
        </w:rPr>
        <w:t>附表四  临时占地计划表</w:t>
      </w:r>
      <w:bookmarkEnd w:id="7196"/>
      <w:bookmarkEnd w:id="7197"/>
      <w:bookmarkEnd w:id="7198"/>
      <w:bookmarkEnd w:id="7199"/>
      <w:bookmarkEnd w:id="7200"/>
      <w:bookmarkEnd w:id="7201"/>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p>
    <w:tbl>
      <w:tblPr>
        <w:tblStyle w:val="20"/>
        <w:tblW w:w="9071"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80"/>
        <w:gridCol w:w="540"/>
        <w:gridCol w:w="540"/>
        <w:gridCol w:w="540"/>
        <w:gridCol w:w="540"/>
        <w:gridCol w:w="540"/>
        <w:gridCol w:w="1914"/>
        <w:gridCol w:w="825"/>
        <w:gridCol w:w="826"/>
        <w:gridCol w:w="82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8" w:hRule="atLeast"/>
        </w:trPr>
        <w:tc>
          <w:tcPr>
            <w:tcW w:w="1980" w:type="dxa"/>
            <w:vMerge w:val="restart"/>
            <w:vAlign w:val="center"/>
          </w:tcPr>
          <w:p>
            <w:pPr>
              <w:spacing w:line="420" w:lineRule="exact"/>
              <w:jc w:val="center"/>
              <w:rPr>
                <w:rFonts w:ascii="宋体" w:hAnsi="宋体"/>
              </w:rPr>
            </w:pPr>
            <w:r>
              <w:rPr>
                <w:rFonts w:hint="eastAsia" w:ascii="宋体" w:hAnsi="宋体"/>
              </w:rPr>
              <w:t>用  途</w:t>
            </w:r>
          </w:p>
        </w:tc>
        <w:tc>
          <w:tcPr>
            <w:tcW w:w="2700" w:type="dxa"/>
            <w:gridSpan w:val="5"/>
            <w:vAlign w:val="center"/>
          </w:tcPr>
          <w:p>
            <w:pPr>
              <w:jc w:val="center"/>
              <w:rPr>
                <w:rFonts w:ascii="宋体" w:hAnsi="宋体"/>
              </w:rPr>
            </w:pPr>
            <w:r>
              <w:rPr>
                <w:rFonts w:hint="eastAsia" w:ascii="宋体" w:hAnsi="宋体"/>
              </w:rPr>
              <w:t>面积</w:t>
            </w:r>
            <w:r>
              <w:rPr>
                <w:rFonts w:hAnsi="宋体"/>
              </w:rPr>
              <w:t>（</w:t>
            </w:r>
            <w:r>
              <w:t>m</w:t>
            </w:r>
            <w:r>
              <w:rPr>
                <w:vertAlign w:val="superscript"/>
              </w:rPr>
              <w:t>2</w:t>
            </w:r>
            <w:r>
              <w:rPr>
                <w:rFonts w:hAnsi="宋体"/>
              </w:rPr>
              <w:t>）</w:t>
            </w:r>
          </w:p>
        </w:tc>
        <w:tc>
          <w:tcPr>
            <w:tcW w:w="1914" w:type="dxa"/>
            <w:vMerge w:val="restart"/>
            <w:vAlign w:val="center"/>
          </w:tcPr>
          <w:p>
            <w:pPr>
              <w:jc w:val="center"/>
              <w:rPr>
                <w:rFonts w:ascii="宋体" w:hAnsi="宋体"/>
              </w:rPr>
            </w:pPr>
            <w:r>
              <w:rPr>
                <w:rFonts w:hint="eastAsia" w:ascii="宋体" w:hAnsi="宋体"/>
              </w:rPr>
              <w:t>需用时间</w:t>
            </w:r>
          </w:p>
          <w:p>
            <w:pPr>
              <w:jc w:val="center"/>
              <w:rPr>
                <w:rFonts w:ascii="宋体" w:hAnsi="宋体"/>
              </w:rPr>
            </w:pPr>
            <w:r>
              <w:rPr>
                <w:rFonts w:hint="eastAsia" w:ascii="宋体" w:hAnsi="宋体"/>
              </w:rPr>
              <w:t>年月至</w:t>
            </w:r>
          </w:p>
          <w:p>
            <w:pPr>
              <w:jc w:val="center"/>
              <w:rPr>
                <w:rFonts w:ascii="宋体" w:hAnsi="宋体"/>
              </w:rPr>
            </w:pPr>
            <w:r>
              <w:rPr>
                <w:rFonts w:hint="eastAsia" w:ascii="宋体" w:hAnsi="宋体"/>
              </w:rPr>
              <w:t>年月</w:t>
            </w:r>
          </w:p>
        </w:tc>
        <w:tc>
          <w:tcPr>
            <w:tcW w:w="2477" w:type="dxa"/>
            <w:gridSpan w:val="3"/>
            <w:vAlign w:val="center"/>
          </w:tcPr>
          <w:p>
            <w:pPr>
              <w:spacing w:line="240" w:lineRule="exact"/>
              <w:jc w:val="center"/>
              <w:rPr>
                <w:rFonts w:ascii="宋体" w:hAnsi="宋体"/>
              </w:rPr>
            </w:pPr>
            <w:r>
              <w:rPr>
                <w:rFonts w:hint="eastAsia" w:ascii="宋体" w:hAnsi="宋体"/>
              </w:rPr>
              <w:t>用地位置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5" w:hRule="atLeast"/>
        </w:trPr>
        <w:tc>
          <w:tcPr>
            <w:tcW w:w="1980" w:type="dxa"/>
            <w:vMerge w:val="continue"/>
          </w:tcPr>
          <w:p>
            <w:pPr>
              <w:spacing w:line="420" w:lineRule="exact"/>
              <w:rPr>
                <w:rFonts w:ascii="宋体" w:hAnsi="宋体"/>
              </w:rPr>
            </w:pPr>
          </w:p>
        </w:tc>
        <w:tc>
          <w:tcPr>
            <w:tcW w:w="540" w:type="dxa"/>
            <w:vAlign w:val="center"/>
          </w:tcPr>
          <w:p>
            <w:pPr>
              <w:jc w:val="center"/>
              <w:rPr>
                <w:rFonts w:ascii="宋体" w:hAnsi="宋体"/>
              </w:rPr>
            </w:pPr>
            <w:r>
              <w:rPr>
                <w:rFonts w:hint="eastAsia" w:ascii="宋体" w:hAnsi="宋体"/>
              </w:rPr>
              <w:t>菜地</w:t>
            </w:r>
          </w:p>
        </w:tc>
        <w:tc>
          <w:tcPr>
            <w:tcW w:w="540" w:type="dxa"/>
            <w:vAlign w:val="center"/>
          </w:tcPr>
          <w:p>
            <w:pPr>
              <w:jc w:val="center"/>
              <w:rPr>
                <w:rFonts w:ascii="宋体" w:hAnsi="宋体"/>
              </w:rPr>
            </w:pPr>
            <w:r>
              <w:rPr>
                <w:rFonts w:hint="eastAsia" w:ascii="宋体" w:hAnsi="宋体"/>
              </w:rPr>
              <w:t>水田</w:t>
            </w:r>
          </w:p>
        </w:tc>
        <w:tc>
          <w:tcPr>
            <w:tcW w:w="540" w:type="dxa"/>
            <w:vAlign w:val="center"/>
          </w:tcPr>
          <w:p>
            <w:pPr>
              <w:jc w:val="center"/>
              <w:rPr>
                <w:rFonts w:ascii="宋体" w:hAnsi="宋体"/>
              </w:rPr>
            </w:pPr>
            <w:r>
              <w:rPr>
                <w:rFonts w:hint="eastAsia" w:ascii="宋体" w:hAnsi="宋体"/>
              </w:rPr>
              <w:t>旱地</w:t>
            </w:r>
          </w:p>
        </w:tc>
        <w:tc>
          <w:tcPr>
            <w:tcW w:w="540" w:type="dxa"/>
            <w:vAlign w:val="center"/>
          </w:tcPr>
          <w:p>
            <w:pPr>
              <w:widowControl/>
              <w:jc w:val="center"/>
              <w:rPr>
                <w:rFonts w:ascii="宋体" w:hAnsi="宋体"/>
              </w:rPr>
            </w:pPr>
            <w:r>
              <w:rPr>
                <w:rFonts w:hint="eastAsia" w:ascii="宋体" w:hAnsi="宋体"/>
              </w:rPr>
              <w:t>果园</w:t>
            </w:r>
          </w:p>
        </w:tc>
        <w:tc>
          <w:tcPr>
            <w:tcW w:w="540" w:type="dxa"/>
            <w:vAlign w:val="center"/>
          </w:tcPr>
          <w:p>
            <w:pPr>
              <w:jc w:val="center"/>
              <w:rPr>
                <w:rFonts w:ascii="宋体" w:hAnsi="宋体"/>
              </w:rPr>
            </w:pPr>
            <w:r>
              <w:rPr>
                <w:rFonts w:hint="eastAsia" w:ascii="宋体" w:hAnsi="宋体"/>
              </w:rPr>
              <w:t>荒地</w:t>
            </w:r>
          </w:p>
        </w:tc>
        <w:tc>
          <w:tcPr>
            <w:tcW w:w="1914" w:type="dxa"/>
            <w:vMerge w:val="continue"/>
          </w:tcPr>
          <w:p>
            <w:pPr>
              <w:spacing w:line="420" w:lineRule="exact"/>
              <w:rPr>
                <w:rFonts w:ascii="宋体" w:hAnsi="宋体"/>
              </w:rPr>
            </w:pPr>
          </w:p>
        </w:tc>
        <w:tc>
          <w:tcPr>
            <w:tcW w:w="825" w:type="dxa"/>
            <w:vAlign w:val="center"/>
          </w:tcPr>
          <w:p>
            <w:pPr>
              <w:widowControl/>
              <w:jc w:val="center"/>
            </w:pPr>
            <w:r>
              <w:rPr>
                <w:rFonts w:hAnsi="宋体"/>
              </w:rPr>
              <w:t>桩号</w:t>
            </w:r>
          </w:p>
        </w:tc>
        <w:tc>
          <w:tcPr>
            <w:tcW w:w="826" w:type="dxa"/>
            <w:vAlign w:val="center"/>
          </w:tcPr>
          <w:p>
            <w:pPr>
              <w:jc w:val="center"/>
              <w:rPr>
                <w:rFonts w:hAnsi="宋体"/>
              </w:rPr>
            </w:pPr>
            <w:r>
              <w:rPr>
                <w:rFonts w:hAnsi="宋体"/>
              </w:rPr>
              <w:t>左侧</w:t>
            </w:r>
          </w:p>
          <w:p>
            <w:pPr>
              <w:jc w:val="center"/>
            </w:pPr>
            <w:r>
              <w:rPr>
                <w:rFonts w:hAnsi="宋体"/>
              </w:rPr>
              <w:t>（</w:t>
            </w:r>
            <w:r>
              <w:t>m</w:t>
            </w:r>
            <w:r>
              <w:rPr>
                <w:rFonts w:hAnsi="宋体"/>
              </w:rPr>
              <w:t>）</w:t>
            </w:r>
          </w:p>
        </w:tc>
        <w:tc>
          <w:tcPr>
            <w:tcW w:w="826" w:type="dxa"/>
            <w:vAlign w:val="center"/>
          </w:tcPr>
          <w:p>
            <w:pPr>
              <w:widowControl/>
              <w:jc w:val="center"/>
            </w:pPr>
            <w:r>
              <w:rPr>
                <w:rFonts w:hAnsi="宋体"/>
              </w:rPr>
              <w:t>右侧（</w:t>
            </w:r>
            <w:r>
              <w:t>m</w:t>
            </w:r>
            <w:r>
              <w:rPr>
                <w:rFonts w:hAnsi="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980" w:type="dxa"/>
            <w:vAlign w:val="center"/>
          </w:tcPr>
          <w:p>
            <w:pPr>
              <w:ind w:firstLine="105" w:firstLineChars="50"/>
              <w:rPr>
                <w:rFonts w:ascii="宋体" w:hAnsi="宋体"/>
              </w:rPr>
            </w:pPr>
            <w:r>
              <w:rPr>
                <w:rFonts w:hint="eastAsia" w:ascii="宋体" w:hAnsi="宋体"/>
              </w:rPr>
              <w:t>一、临时工程</w:t>
            </w:r>
          </w:p>
        </w:tc>
        <w:tc>
          <w:tcPr>
            <w:tcW w:w="540" w:type="dxa"/>
          </w:tcPr>
          <w:p>
            <w:pPr>
              <w:spacing w:line="420" w:lineRule="exact"/>
              <w:rPr>
                <w:rFonts w:ascii="宋体" w:hAnsi="宋体"/>
              </w:rPr>
            </w:pPr>
          </w:p>
        </w:tc>
        <w:tc>
          <w:tcPr>
            <w:tcW w:w="540" w:type="dxa"/>
          </w:tcPr>
          <w:p>
            <w:pPr>
              <w:spacing w:line="420" w:lineRule="exact"/>
              <w:rPr>
                <w:rFonts w:ascii="宋体" w:hAnsi="宋体"/>
              </w:rPr>
            </w:pPr>
          </w:p>
        </w:tc>
        <w:tc>
          <w:tcPr>
            <w:tcW w:w="540" w:type="dxa"/>
          </w:tcPr>
          <w:p>
            <w:pPr>
              <w:spacing w:line="420" w:lineRule="exact"/>
              <w:rPr>
                <w:rFonts w:ascii="宋体" w:hAnsi="宋体"/>
              </w:rPr>
            </w:pPr>
          </w:p>
        </w:tc>
        <w:tc>
          <w:tcPr>
            <w:tcW w:w="540" w:type="dxa"/>
          </w:tcPr>
          <w:p>
            <w:pPr>
              <w:spacing w:line="420" w:lineRule="exact"/>
              <w:rPr>
                <w:rFonts w:ascii="宋体" w:hAnsi="宋体"/>
              </w:rPr>
            </w:pPr>
          </w:p>
        </w:tc>
        <w:tc>
          <w:tcPr>
            <w:tcW w:w="540" w:type="dxa"/>
          </w:tcPr>
          <w:p>
            <w:pPr>
              <w:spacing w:line="420" w:lineRule="exact"/>
              <w:rPr>
                <w:rFonts w:ascii="宋体" w:hAnsi="宋体"/>
              </w:rPr>
            </w:pPr>
          </w:p>
        </w:tc>
        <w:tc>
          <w:tcPr>
            <w:tcW w:w="1914" w:type="dxa"/>
          </w:tcPr>
          <w:p>
            <w:pPr>
              <w:spacing w:line="420" w:lineRule="exact"/>
              <w:rPr>
                <w:rFonts w:ascii="宋体" w:hAnsi="宋体"/>
              </w:rPr>
            </w:pPr>
          </w:p>
        </w:tc>
        <w:tc>
          <w:tcPr>
            <w:tcW w:w="825" w:type="dxa"/>
          </w:tcPr>
          <w:p>
            <w:pPr>
              <w:spacing w:line="420" w:lineRule="exact"/>
            </w:pPr>
          </w:p>
        </w:tc>
        <w:tc>
          <w:tcPr>
            <w:tcW w:w="826" w:type="dxa"/>
          </w:tcPr>
          <w:p>
            <w:pPr>
              <w:spacing w:line="420" w:lineRule="exact"/>
            </w:pPr>
          </w:p>
        </w:tc>
        <w:tc>
          <w:tcPr>
            <w:tcW w:w="826" w:type="dxa"/>
          </w:tcPr>
          <w:p>
            <w:pPr>
              <w:spacing w:line="42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1980" w:type="dxa"/>
            <w:vAlign w:val="center"/>
          </w:tcPr>
          <w:p>
            <w:pPr>
              <w:ind w:firstLine="420" w:firstLineChars="200"/>
            </w:pPr>
            <w:r>
              <w:t>1</w:t>
            </w:r>
            <w:r>
              <w:rPr>
                <w:rFonts w:hAnsi="宋体"/>
              </w:rPr>
              <w:t>．便道</w:t>
            </w:r>
          </w:p>
        </w:tc>
        <w:tc>
          <w:tcPr>
            <w:tcW w:w="540" w:type="dxa"/>
          </w:tcPr>
          <w:p>
            <w:pPr>
              <w:spacing w:line="420" w:lineRule="exact"/>
              <w:rPr>
                <w:rFonts w:ascii="宋体" w:hAnsi="宋体"/>
              </w:rPr>
            </w:pPr>
          </w:p>
        </w:tc>
        <w:tc>
          <w:tcPr>
            <w:tcW w:w="540" w:type="dxa"/>
          </w:tcPr>
          <w:p>
            <w:pPr>
              <w:spacing w:line="420" w:lineRule="exact"/>
              <w:rPr>
                <w:rFonts w:ascii="宋体" w:hAnsi="宋体"/>
              </w:rPr>
            </w:pPr>
          </w:p>
        </w:tc>
        <w:tc>
          <w:tcPr>
            <w:tcW w:w="540" w:type="dxa"/>
          </w:tcPr>
          <w:p>
            <w:pPr>
              <w:spacing w:line="420" w:lineRule="exact"/>
              <w:rPr>
                <w:rFonts w:ascii="宋体" w:hAnsi="宋体"/>
              </w:rPr>
            </w:pPr>
          </w:p>
        </w:tc>
        <w:tc>
          <w:tcPr>
            <w:tcW w:w="540" w:type="dxa"/>
          </w:tcPr>
          <w:p>
            <w:pPr>
              <w:spacing w:line="420" w:lineRule="exact"/>
              <w:rPr>
                <w:rFonts w:ascii="宋体" w:hAnsi="宋体"/>
              </w:rPr>
            </w:pPr>
          </w:p>
        </w:tc>
        <w:tc>
          <w:tcPr>
            <w:tcW w:w="540" w:type="dxa"/>
          </w:tcPr>
          <w:p>
            <w:pPr>
              <w:spacing w:line="420" w:lineRule="exact"/>
              <w:rPr>
                <w:rFonts w:ascii="宋体" w:hAnsi="宋体"/>
              </w:rPr>
            </w:pPr>
          </w:p>
        </w:tc>
        <w:tc>
          <w:tcPr>
            <w:tcW w:w="1914" w:type="dxa"/>
          </w:tcPr>
          <w:p>
            <w:pPr>
              <w:spacing w:line="420" w:lineRule="exact"/>
              <w:rPr>
                <w:rFonts w:ascii="宋体" w:hAnsi="宋体"/>
              </w:rPr>
            </w:pPr>
          </w:p>
        </w:tc>
        <w:tc>
          <w:tcPr>
            <w:tcW w:w="825" w:type="dxa"/>
          </w:tcPr>
          <w:p>
            <w:pPr>
              <w:spacing w:line="420" w:lineRule="exact"/>
            </w:pPr>
          </w:p>
        </w:tc>
        <w:tc>
          <w:tcPr>
            <w:tcW w:w="826" w:type="dxa"/>
          </w:tcPr>
          <w:p>
            <w:pPr>
              <w:spacing w:line="420" w:lineRule="exact"/>
            </w:pPr>
          </w:p>
        </w:tc>
        <w:tc>
          <w:tcPr>
            <w:tcW w:w="826" w:type="dxa"/>
          </w:tcPr>
          <w:p>
            <w:pPr>
              <w:spacing w:line="42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5" w:hRule="atLeast"/>
        </w:trPr>
        <w:tc>
          <w:tcPr>
            <w:tcW w:w="1980" w:type="dxa"/>
            <w:vAlign w:val="center"/>
          </w:tcPr>
          <w:p>
            <w:pPr>
              <w:ind w:firstLine="420" w:firstLineChars="200"/>
            </w:pPr>
            <w:r>
              <w:t>2</w:t>
            </w:r>
            <w:r>
              <w:rPr>
                <w:rFonts w:hAnsi="宋体"/>
              </w:rPr>
              <w:t>．便桥</w:t>
            </w:r>
          </w:p>
        </w:tc>
        <w:tc>
          <w:tcPr>
            <w:tcW w:w="540" w:type="dxa"/>
          </w:tcPr>
          <w:p>
            <w:pPr>
              <w:spacing w:line="420" w:lineRule="exact"/>
              <w:rPr>
                <w:rFonts w:ascii="宋体" w:hAnsi="宋体"/>
              </w:rPr>
            </w:pPr>
          </w:p>
        </w:tc>
        <w:tc>
          <w:tcPr>
            <w:tcW w:w="540" w:type="dxa"/>
          </w:tcPr>
          <w:p>
            <w:pPr>
              <w:spacing w:line="420" w:lineRule="exact"/>
              <w:rPr>
                <w:rFonts w:ascii="宋体" w:hAnsi="宋体"/>
              </w:rPr>
            </w:pPr>
          </w:p>
        </w:tc>
        <w:tc>
          <w:tcPr>
            <w:tcW w:w="540" w:type="dxa"/>
          </w:tcPr>
          <w:p>
            <w:pPr>
              <w:spacing w:line="420" w:lineRule="exact"/>
              <w:rPr>
                <w:rFonts w:ascii="宋体" w:hAnsi="宋体"/>
              </w:rPr>
            </w:pPr>
          </w:p>
        </w:tc>
        <w:tc>
          <w:tcPr>
            <w:tcW w:w="540" w:type="dxa"/>
          </w:tcPr>
          <w:p>
            <w:pPr>
              <w:spacing w:line="420" w:lineRule="exact"/>
              <w:rPr>
                <w:rFonts w:ascii="宋体" w:hAnsi="宋体"/>
              </w:rPr>
            </w:pPr>
          </w:p>
        </w:tc>
        <w:tc>
          <w:tcPr>
            <w:tcW w:w="540" w:type="dxa"/>
          </w:tcPr>
          <w:p>
            <w:pPr>
              <w:spacing w:line="420" w:lineRule="exact"/>
              <w:rPr>
                <w:rFonts w:ascii="宋体" w:hAnsi="宋体"/>
              </w:rPr>
            </w:pPr>
          </w:p>
        </w:tc>
        <w:tc>
          <w:tcPr>
            <w:tcW w:w="1914" w:type="dxa"/>
          </w:tcPr>
          <w:p>
            <w:pPr>
              <w:spacing w:line="420" w:lineRule="exact"/>
              <w:rPr>
                <w:rFonts w:ascii="宋体" w:hAnsi="宋体"/>
              </w:rPr>
            </w:pPr>
          </w:p>
        </w:tc>
        <w:tc>
          <w:tcPr>
            <w:tcW w:w="825" w:type="dxa"/>
          </w:tcPr>
          <w:p>
            <w:pPr>
              <w:spacing w:line="420" w:lineRule="exact"/>
            </w:pPr>
          </w:p>
        </w:tc>
        <w:tc>
          <w:tcPr>
            <w:tcW w:w="826" w:type="dxa"/>
          </w:tcPr>
          <w:p>
            <w:pPr>
              <w:spacing w:line="420" w:lineRule="exact"/>
            </w:pPr>
          </w:p>
        </w:tc>
        <w:tc>
          <w:tcPr>
            <w:tcW w:w="826" w:type="dxa"/>
          </w:tcPr>
          <w:p>
            <w:pPr>
              <w:spacing w:line="42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5" w:hRule="atLeast"/>
        </w:trPr>
        <w:tc>
          <w:tcPr>
            <w:tcW w:w="1980" w:type="dxa"/>
            <w:vAlign w:val="center"/>
          </w:tcPr>
          <w:p>
            <w:pPr>
              <w:ind w:firstLine="420" w:firstLineChars="200"/>
            </w:pPr>
            <w:r>
              <w:t>3</w:t>
            </w:r>
            <w:r>
              <w:rPr>
                <w:rFonts w:hAnsi="宋体"/>
              </w:rPr>
              <w:t>．</w:t>
            </w:r>
            <w:r>
              <w:rPr>
                <w:rFonts w:ascii="宋体" w:hAnsi="宋体"/>
              </w:rPr>
              <w:t>……</w:t>
            </w:r>
          </w:p>
        </w:tc>
        <w:tc>
          <w:tcPr>
            <w:tcW w:w="540" w:type="dxa"/>
          </w:tcPr>
          <w:p>
            <w:pPr>
              <w:spacing w:line="420" w:lineRule="exact"/>
              <w:rPr>
                <w:rFonts w:ascii="宋体" w:hAnsi="宋体"/>
              </w:rPr>
            </w:pPr>
          </w:p>
        </w:tc>
        <w:tc>
          <w:tcPr>
            <w:tcW w:w="540" w:type="dxa"/>
          </w:tcPr>
          <w:p>
            <w:pPr>
              <w:spacing w:line="420" w:lineRule="exact"/>
              <w:rPr>
                <w:rFonts w:ascii="宋体" w:hAnsi="宋体"/>
              </w:rPr>
            </w:pPr>
          </w:p>
        </w:tc>
        <w:tc>
          <w:tcPr>
            <w:tcW w:w="540" w:type="dxa"/>
          </w:tcPr>
          <w:p>
            <w:pPr>
              <w:spacing w:line="420" w:lineRule="exact"/>
              <w:rPr>
                <w:rFonts w:ascii="宋体" w:hAnsi="宋体"/>
              </w:rPr>
            </w:pPr>
          </w:p>
        </w:tc>
        <w:tc>
          <w:tcPr>
            <w:tcW w:w="540" w:type="dxa"/>
          </w:tcPr>
          <w:p>
            <w:pPr>
              <w:spacing w:line="420" w:lineRule="exact"/>
              <w:rPr>
                <w:rFonts w:ascii="宋体" w:hAnsi="宋体"/>
              </w:rPr>
            </w:pPr>
          </w:p>
        </w:tc>
        <w:tc>
          <w:tcPr>
            <w:tcW w:w="540" w:type="dxa"/>
          </w:tcPr>
          <w:p>
            <w:pPr>
              <w:spacing w:line="420" w:lineRule="exact"/>
              <w:rPr>
                <w:rFonts w:ascii="宋体" w:hAnsi="宋体"/>
              </w:rPr>
            </w:pPr>
          </w:p>
        </w:tc>
        <w:tc>
          <w:tcPr>
            <w:tcW w:w="1914" w:type="dxa"/>
          </w:tcPr>
          <w:p>
            <w:pPr>
              <w:spacing w:line="420" w:lineRule="exact"/>
              <w:rPr>
                <w:rFonts w:ascii="宋体" w:hAnsi="宋体"/>
              </w:rPr>
            </w:pPr>
          </w:p>
        </w:tc>
        <w:tc>
          <w:tcPr>
            <w:tcW w:w="825" w:type="dxa"/>
          </w:tcPr>
          <w:p>
            <w:pPr>
              <w:spacing w:line="420" w:lineRule="exact"/>
            </w:pPr>
          </w:p>
        </w:tc>
        <w:tc>
          <w:tcPr>
            <w:tcW w:w="826" w:type="dxa"/>
          </w:tcPr>
          <w:p>
            <w:pPr>
              <w:spacing w:line="420" w:lineRule="exact"/>
            </w:pPr>
          </w:p>
        </w:tc>
        <w:tc>
          <w:tcPr>
            <w:tcW w:w="826" w:type="dxa"/>
          </w:tcPr>
          <w:p>
            <w:pPr>
              <w:spacing w:line="42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5" w:hRule="atLeast"/>
        </w:trPr>
        <w:tc>
          <w:tcPr>
            <w:tcW w:w="1980" w:type="dxa"/>
            <w:vAlign w:val="center"/>
          </w:tcPr>
          <w:p>
            <w:pPr>
              <w:jc w:val="center"/>
              <w:rPr>
                <w:rFonts w:ascii="宋体" w:hAnsi="宋体"/>
              </w:rPr>
            </w:pPr>
            <w:r>
              <w:rPr>
                <w:rFonts w:ascii="宋体" w:hAnsi="宋体"/>
              </w:rPr>
              <w:t>……</w:t>
            </w:r>
          </w:p>
        </w:tc>
        <w:tc>
          <w:tcPr>
            <w:tcW w:w="540" w:type="dxa"/>
          </w:tcPr>
          <w:p>
            <w:pPr>
              <w:spacing w:line="420" w:lineRule="exact"/>
              <w:rPr>
                <w:rFonts w:ascii="宋体" w:hAnsi="宋体"/>
              </w:rPr>
            </w:pPr>
          </w:p>
        </w:tc>
        <w:tc>
          <w:tcPr>
            <w:tcW w:w="540" w:type="dxa"/>
          </w:tcPr>
          <w:p>
            <w:pPr>
              <w:spacing w:line="420" w:lineRule="exact"/>
              <w:rPr>
                <w:rFonts w:ascii="宋体" w:hAnsi="宋体"/>
              </w:rPr>
            </w:pPr>
          </w:p>
        </w:tc>
        <w:tc>
          <w:tcPr>
            <w:tcW w:w="540" w:type="dxa"/>
          </w:tcPr>
          <w:p>
            <w:pPr>
              <w:spacing w:line="420" w:lineRule="exact"/>
              <w:rPr>
                <w:rFonts w:ascii="宋体" w:hAnsi="宋体"/>
              </w:rPr>
            </w:pPr>
          </w:p>
        </w:tc>
        <w:tc>
          <w:tcPr>
            <w:tcW w:w="540" w:type="dxa"/>
          </w:tcPr>
          <w:p>
            <w:pPr>
              <w:spacing w:line="420" w:lineRule="exact"/>
              <w:rPr>
                <w:rFonts w:ascii="宋体" w:hAnsi="宋体"/>
              </w:rPr>
            </w:pPr>
          </w:p>
        </w:tc>
        <w:tc>
          <w:tcPr>
            <w:tcW w:w="540" w:type="dxa"/>
          </w:tcPr>
          <w:p>
            <w:pPr>
              <w:spacing w:line="420" w:lineRule="exact"/>
              <w:rPr>
                <w:rFonts w:ascii="宋体" w:hAnsi="宋体"/>
              </w:rPr>
            </w:pPr>
          </w:p>
        </w:tc>
        <w:tc>
          <w:tcPr>
            <w:tcW w:w="1914" w:type="dxa"/>
          </w:tcPr>
          <w:p>
            <w:pPr>
              <w:spacing w:line="420" w:lineRule="exact"/>
              <w:rPr>
                <w:rFonts w:ascii="宋体" w:hAnsi="宋体"/>
              </w:rPr>
            </w:pPr>
          </w:p>
        </w:tc>
        <w:tc>
          <w:tcPr>
            <w:tcW w:w="825" w:type="dxa"/>
          </w:tcPr>
          <w:p>
            <w:pPr>
              <w:spacing w:line="420" w:lineRule="exact"/>
            </w:pPr>
          </w:p>
        </w:tc>
        <w:tc>
          <w:tcPr>
            <w:tcW w:w="826" w:type="dxa"/>
          </w:tcPr>
          <w:p>
            <w:pPr>
              <w:spacing w:line="420" w:lineRule="exact"/>
            </w:pPr>
          </w:p>
        </w:tc>
        <w:tc>
          <w:tcPr>
            <w:tcW w:w="826" w:type="dxa"/>
          </w:tcPr>
          <w:p>
            <w:pPr>
              <w:spacing w:line="42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2" w:hRule="atLeast"/>
        </w:trPr>
        <w:tc>
          <w:tcPr>
            <w:tcW w:w="1980" w:type="dxa"/>
            <w:vAlign w:val="center"/>
          </w:tcPr>
          <w:p>
            <w:pPr>
              <w:jc w:val="center"/>
            </w:pPr>
            <w:r>
              <w:rPr>
                <w:rFonts w:hAnsi="宋体"/>
              </w:rPr>
              <w:t>二、生产及生活临时设施</w:t>
            </w:r>
          </w:p>
        </w:tc>
        <w:tc>
          <w:tcPr>
            <w:tcW w:w="540" w:type="dxa"/>
          </w:tcPr>
          <w:p>
            <w:pPr>
              <w:spacing w:line="420" w:lineRule="exact"/>
              <w:rPr>
                <w:rFonts w:ascii="宋体" w:hAnsi="宋体"/>
              </w:rPr>
            </w:pPr>
          </w:p>
        </w:tc>
        <w:tc>
          <w:tcPr>
            <w:tcW w:w="540" w:type="dxa"/>
          </w:tcPr>
          <w:p>
            <w:pPr>
              <w:spacing w:line="420" w:lineRule="exact"/>
              <w:rPr>
                <w:rFonts w:ascii="宋体" w:hAnsi="宋体"/>
              </w:rPr>
            </w:pPr>
          </w:p>
        </w:tc>
        <w:tc>
          <w:tcPr>
            <w:tcW w:w="540" w:type="dxa"/>
          </w:tcPr>
          <w:p>
            <w:pPr>
              <w:spacing w:line="420" w:lineRule="exact"/>
              <w:rPr>
                <w:rFonts w:ascii="宋体" w:hAnsi="宋体"/>
              </w:rPr>
            </w:pPr>
          </w:p>
        </w:tc>
        <w:tc>
          <w:tcPr>
            <w:tcW w:w="540" w:type="dxa"/>
          </w:tcPr>
          <w:p>
            <w:pPr>
              <w:spacing w:line="420" w:lineRule="exact"/>
              <w:rPr>
                <w:rFonts w:ascii="宋体" w:hAnsi="宋体"/>
              </w:rPr>
            </w:pPr>
          </w:p>
        </w:tc>
        <w:tc>
          <w:tcPr>
            <w:tcW w:w="540" w:type="dxa"/>
          </w:tcPr>
          <w:p>
            <w:pPr>
              <w:spacing w:line="420" w:lineRule="exact"/>
              <w:rPr>
                <w:rFonts w:ascii="宋体" w:hAnsi="宋体"/>
              </w:rPr>
            </w:pPr>
          </w:p>
        </w:tc>
        <w:tc>
          <w:tcPr>
            <w:tcW w:w="1914" w:type="dxa"/>
          </w:tcPr>
          <w:p>
            <w:pPr>
              <w:spacing w:line="420" w:lineRule="exact"/>
              <w:rPr>
                <w:rFonts w:ascii="宋体" w:hAnsi="宋体"/>
              </w:rPr>
            </w:pPr>
          </w:p>
        </w:tc>
        <w:tc>
          <w:tcPr>
            <w:tcW w:w="825" w:type="dxa"/>
          </w:tcPr>
          <w:p>
            <w:pPr>
              <w:spacing w:line="420" w:lineRule="exact"/>
            </w:pPr>
          </w:p>
        </w:tc>
        <w:tc>
          <w:tcPr>
            <w:tcW w:w="826" w:type="dxa"/>
          </w:tcPr>
          <w:p>
            <w:pPr>
              <w:spacing w:line="420" w:lineRule="exact"/>
            </w:pPr>
          </w:p>
        </w:tc>
        <w:tc>
          <w:tcPr>
            <w:tcW w:w="826" w:type="dxa"/>
          </w:tcPr>
          <w:p>
            <w:pPr>
              <w:spacing w:line="42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5" w:hRule="atLeast"/>
        </w:trPr>
        <w:tc>
          <w:tcPr>
            <w:tcW w:w="1980" w:type="dxa"/>
            <w:vAlign w:val="center"/>
          </w:tcPr>
          <w:p>
            <w:pPr>
              <w:ind w:firstLine="420" w:firstLineChars="200"/>
            </w:pPr>
            <w:r>
              <w:t>1</w:t>
            </w:r>
            <w:r>
              <w:rPr>
                <w:rFonts w:hAnsi="宋体"/>
              </w:rPr>
              <w:t>．临时住房</w:t>
            </w:r>
          </w:p>
        </w:tc>
        <w:tc>
          <w:tcPr>
            <w:tcW w:w="540" w:type="dxa"/>
          </w:tcPr>
          <w:p>
            <w:pPr>
              <w:spacing w:line="420" w:lineRule="exact"/>
              <w:rPr>
                <w:rFonts w:ascii="宋体" w:hAnsi="宋体"/>
              </w:rPr>
            </w:pPr>
          </w:p>
        </w:tc>
        <w:tc>
          <w:tcPr>
            <w:tcW w:w="540" w:type="dxa"/>
          </w:tcPr>
          <w:p>
            <w:pPr>
              <w:spacing w:line="420" w:lineRule="exact"/>
              <w:rPr>
                <w:rFonts w:ascii="宋体" w:hAnsi="宋体"/>
              </w:rPr>
            </w:pPr>
          </w:p>
        </w:tc>
        <w:tc>
          <w:tcPr>
            <w:tcW w:w="540" w:type="dxa"/>
          </w:tcPr>
          <w:p>
            <w:pPr>
              <w:spacing w:line="420" w:lineRule="exact"/>
              <w:rPr>
                <w:rFonts w:ascii="宋体" w:hAnsi="宋体"/>
              </w:rPr>
            </w:pPr>
          </w:p>
        </w:tc>
        <w:tc>
          <w:tcPr>
            <w:tcW w:w="540" w:type="dxa"/>
          </w:tcPr>
          <w:p>
            <w:pPr>
              <w:spacing w:line="420" w:lineRule="exact"/>
              <w:rPr>
                <w:rFonts w:ascii="宋体" w:hAnsi="宋体"/>
              </w:rPr>
            </w:pPr>
          </w:p>
        </w:tc>
        <w:tc>
          <w:tcPr>
            <w:tcW w:w="540" w:type="dxa"/>
          </w:tcPr>
          <w:p>
            <w:pPr>
              <w:spacing w:line="420" w:lineRule="exact"/>
              <w:rPr>
                <w:rFonts w:ascii="宋体" w:hAnsi="宋体"/>
              </w:rPr>
            </w:pPr>
          </w:p>
        </w:tc>
        <w:tc>
          <w:tcPr>
            <w:tcW w:w="1914" w:type="dxa"/>
          </w:tcPr>
          <w:p>
            <w:pPr>
              <w:spacing w:line="420" w:lineRule="exact"/>
              <w:rPr>
                <w:rFonts w:ascii="宋体" w:hAnsi="宋体"/>
              </w:rPr>
            </w:pPr>
          </w:p>
        </w:tc>
        <w:tc>
          <w:tcPr>
            <w:tcW w:w="825" w:type="dxa"/>
          </w:tcPr>
          <w:p>
            <w:pPr>
              <w:spacing w:line="420" w:lineRule="exact"/>
            </w:pPr>
          </w:p>
        </w:tc>
        <w:tc>
          <w:tcPr>
            <w:tcW w:w="826" w:type="dxa"/>
          </w:tcPr>
          <w:p>
            <w:pPr>
              <w:spacing w:line="420" w:lineRule="exact"/>
            </w:pPr>
          </w:p>
        </w:tc>
        <w:tc>
          <w:tcPr>
            <w:tcW w:w="826" w:type="dxa"/>
          </w:tcPr>
          <w:p>
            <w:pPr>
              <w:spacing w:line="42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4" w:hRule="atLeast"/>
        </w:trPr>
        <w:tc>
          <w:tcPr>
            <w:tcW w:w="1980" w:type="dxa"/>
            <w:vAlign w:val="center"/>
          </w:tcPr>
          <w:p>
            <w:pPr>
              <w:ind w:firstLine="420" w:firstLineChars="200"/>
            </w:pPr>
            <w:r>
              <w:t>2</w:t>
            </w:r>
            <w:r>
              <w:rPr>
                <w:rFonts w:hAnsi="宋体"/>
              </w:rPr>
              <w:t>．办公等公用房屋</w:t>
            </w:r>
          </w:p>
        </w:tc>
        <w:tc>
          <w:tcPr>
            <w:tcW w:w="540" w:type="dxa"/>
          </w:tcPr>
          <w:p>
            <w:pPr>
              <w:spacing w:line="420" w:lineRule="exact"/>
              <w:rPr>
                <w:rFonts w:ascii="宋体" w:hAnsi="宋体"/>
              </w:rPr>
            </w:pPr>
          </w:p>
        </w:tc>
        <w:tc>
          <w:tcPr>
            <w:tcW w:w="540" w:type="dxa"/>
          </w:tcPr>
          <w:p>
            <w:pPr>
              <w:spacing w:line="420" w:lineRule="exact"/>
              <w:rPr>
                <w:rFonts w:ascii="宋体" w:hAnsi="宋体"/>
              </w:rPr>
            </w:pPr>
          </w:p>
        </w:tc>
        <w:tc>
          <w:tcPr>
            <w:tcW w:w="540" w:type="dxa"/>
          </w:tcPr>
          <w:p>
            <w:pPr>
              <w:spacing w:line="420" w:lineRule="exact"/>
              <w:rPr>
                <w:rFonts w:ascii="宋体" w:hAnsi="宋体"/>
              </w:rPr>
            </w:pPr>
          </w:p>
        </w:tc>
        <w:tc>
          <w:tcPr>
            <w:tcW w:w="540" w:type="dxa"/>
          </w:tcPr>
          <w:p>
            <w:pPr>
              <w:spacing w:line="420" w:lineRule="exact"/>
              <w:rPr>
                <w:rFonts w:ascii="宋体" w:hAnsi="宋体"/>
              </w:rPr>
            </w:pPr>
          </w:p>
        </w:tc>
        <w:tc>
          <w:tcPr>
            <w:tcW w:w="540" w:type="dxa"/>
          </w:tcPr>
          <w:p>
            <w:pPr>
              <w:spacing w:line="420" w:lineRule="exact"/>
              <w:rPr>
                <w:rFonts w:ascii="宋体" w:hAnsi="宋体"/>
              </w:rPr>
            </w:pPr>
          </w:p>
        </w:tc>
        <w:tc>
          <w:tcPr>
            <w:tcW w:w="1914" w:type="dxa"/>
          </w:tcPr>
          <w:p>
            <w:pPr>
              <w:spacing w:line="420" w:lineRule="exact"/>
              <w:rPr>
                <w:rFonts w:ascii="宋体" w:hAnsi="宋体"/>
              </w:rPr>
            </w:pPr>
          </w:p>
        </w:tc>
        <w:tc>
          <w:tcPr>
            <w:tcW w:w="825" w:type="dxa"/>
          </w:tcPr>
          <w:p>
            <w:pPr>
              <w:spacing w:line="420" w:lineRule="exact"/>
            </w:pPr>
          </w:p>
        </w:tc>
        <w:tc>
          <w:tcPr>
            <w:tcW w:w="826" w:type="dxa"/>
          </w:tcPr>
          <w:p>
            <w:pPr>
              <w:spacing w:line="420" w:lineRule="exact"/>
            </w:pPr>
          </w:p>
        </w:tc>
        <w:tc>
          <w:tcPr>
            <w:tcW w:w="826" w:type="dxa"/>
          </w:tcPr>
          <w:p>
            <w:pPr>
              <w:spacing w:line="42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5" w:hRule="atLeast"/>
        </w:trPr>
        <w:tc>
          <w:tcPr>
            <w:tcW w:w="1980" w:type="dxa"/>
            <w:vAlign w:val="center"/>
          </w:tcPr>
          <w:p>
            <w:pPr>
              <w:ind w:firstLine="420" w:firstLineChars="200"/>
            </w:pPr>
            <w:r>
              <w:t>3</w:t>
            </w:r>
            <w:r>
              <w:rPr>
                <w:rFonts w:hAnsi="宋体"/>
              </w:rPr>
              <w:t>．料库</w:t>
            </w:r>
          </w:p>
        </w:tc>
        <w:tc>
          <w:tcPr>
            <w:tcW w:w="540" w:type="dxa"/>
          </w:tcPr>
          <w:p>
            <w:pPr>
              <w:spacing w:line="420" w:lineRule="exact"/>
              <w:rPr>
                <w:rFonts w:ascii="宋体" w:hAnsi="宋体"/>
              </w:rPr>
            </w:pPr>
          </w:p>
        </w:tc>
        <w:tc>
          <w:tcPr>
            <w:tcW w:w="540" w:type="dxa"/>
          </w:tcPr>
          <w:p>
            <w:pPr>
              <w:spacing w:line="420" w:lineRule="exact"/>
              <w:rPr>
                <w:rFonts w:ascii="宋体" w:hAnsi="宋体"/>
              </w:rPr>
            </w:pPr>
          </w:p>
        </w:tc>
        <w:tc>
          <w:tcPr>
            <w:tcW w:w="540" w:type="dxa"/>
          </w:tcPr>
          <w:p>
            <w:pPr>
              <w:spacing w:line="420" w:lineRule="exact"/>
              <w:rPr>
                <w:rFonts w:ascii="宋体" w:hAnsi="宋体"/>
              </w:rPr>
            </w:pPr>
          </w:p>
        </w:tc>
        <w:tc>
          <w:tcPr>
            <w:tcW w:w="540" w:type="dxa"/>
          </w:tcPr>
          <w:p>
            <w:pPr>
              <w:spacing w:line="420" w:lineRule="exact"/>
              <w:rPr>
                <w:rFonts w:ascii="宋体" w:hAnsi="宋体"/>
              </w:rPr>
            </w:pPr>
          </w:p>
        </w:tc>
        <w:tc>
          <w:tcPr>
            <w:tcW w:w="540" w:type="dxa"/>
          </w:tcPr>
          <w:p>
            <w:pPr>
              <w:spacing w:line="420" w:lineRule="exact"/>
              <w:rPr>
                <w:rFonts w:ascii="宋体" w:hAnsi="宋体"/>
              </w:rPr>
            </w:pPr>
          </w:p>
        </w:tc>
        <w:tc>
          <w:tcPr>
            <w:tcW w:w="1914" w:type="dxa"/>
          </w:tcPr>
          <w:p>
            <w:pPr>
              <w:spacing w:line="420" w:lineRule="exact"/>
              <w:rPr>
                <w:rFonts w:ascii="宋体" w:hAnsi="宋体"/>
              </w:rPr>
            </w:pPr>
          </w:p>
        </w:tc>
        <w:tc>
          <w:tcPr>
            <w:tcW w:w="825" w:type="dxa"/>
          </w:tcPr>
          <w:p>
            <w:pPr>
              <w:spacing w:line="420" w:lineRule="exact"/>
            </w:pPr>
          </w:p>
        </w:tc>
        <w:tc>
          <w:tcPr>
            <w:tcW w:w="826" w:type="dxa"/>
          </w:tcPr>
          <w:p>
            <w:pPr>
              <w:spacing w:line="420" w:lineRule="exact"/>
            </w:pPr>
          </w:p>
        </w:tc>
        <w:tc>
          <w:tcPr>
            <w:tcW w:w="826" w:type="dxa"/>
          </w:tcPr>
          <w:p>
            <w:pPr>
              <w:spacing w:line="42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5" w:hRule="atLeast"/>
        </w:trPr>
        <w:tc>
          <w:tcPr>
            <w:tcW w:w="1980" w:type="dxa"/>
            <w:vAlign w:val="center"/>
          </w:tcPr>
          <w:p>
            <w:pPr>
              <w:ind w:firstLine="420" w:firstLineChars="200"/>
            </w:pPr>
            <w:r>
              <w:t>4</w:t>
            </w:r>
            <w:r>
              <w:rPr>
                <w:rFonts w:hAnsi="宋体"/>
              </w:rPr>
              <w:t>．预制场</w:t>
            </w:r>
          </w:p>
        </w:tc>
        <w:tc>
          <w:tcPr>
            <w:tcW w:w="540" w:type="dxa"/>
          </w:tcPr>
          <w:p>
            <w:pPr>
              <w:spacing w:line="420" w:lineRule="exact"/>
              <w:rPr>
                <w:rFonts w:ascii="宋体" w:hAnsi="宋体"/>
              </w:rPr>
            </w:pPr>
          </w:p>
        </w:tc>
        <w:tc>
          <w:tcPr>
            <w:tcW w:w="540" w:type="dxa"/>
          </w:tcPr>
          <w:p>
            <w:pPr>
              <w:spacing w:line="420" w:lineRule="exact"/>
              <w:rPr>
                <w:rFonts w:ascii="宋体" w:hAnsi="宋体"/>
              </w:rPr>
            </w:pPr>
          </w:p>
        </w:tc>
        <w:tc>
          <w:tcPr>
            <w:tcW w:w="540" w:type="dxa"/>
          </w:tcPr>
          <w:p>
            <w:pPr>
              <w:spacing w:line="420" w:lineRule="exact"/>
              <w:rPr>
                <w:rFonts w:ascii="宋体" w:hAnsi="宋体"/>
              </w:rPr>
            </w:pPr>
          </w:p>
        </w:tc>
        <w:tc>
          <w:tcPr>
            <w:tcW w:w="540" w:type="dxa"/>
          </w:tcPr>
          <w:p>
            <w:pPr>
              <w:spacing w:line="420" w:lineRule="exact"/>
              <w:rPr>
                <w:rFonts w:ascii="宋体" w:hAnsi="宋体"/>
              </w:rPr>
            </w:pPr>
          </w:p>
        </w:tc>
        <w:tc>
          <w:tcPr>
            <w:tcW w:w="540" w:type="dxa"/>
          </w:tcPr>
          <w:p>
            <w:pPr>
              <w:spacing w:line="420" w:lineRule="exact"/>
              <w:rPr>
                <w:rFonts w:ascii="宋体" w:hAnsi="宋体"/>
              </w:rPr>
            </w:pPr>
          </w:p>
        </w:tc>
        <w:tc>
          <w:tcPr>
            <w:tcW w:w="1914" w:type="dxa"/>
          </w:tcPr>
          <w:p>
            <w:pPr>
              <w:spacing w:line="420" w:lineRule="exact"/>
              <w:rPr>
                <w:rFonts w:ascii="宋体" w:hAnsi="宋体"/>
              </w:rPr>
            </w:pPr>
          </w:p>
        </w:tc>
        <w:tc>
          <w:tcPr>
            <w:tcW w:w="825" w:type="dxa"/>
          </w:tcPr>
          <w:p>
            <w:pPr>
              <w:spacing w:line="420" w:lineRule="exact"/>
            </w:pPr>
          </w:p>
        </w:tc>
        <w:tc>
          <w:tcPr>
            <w:tcW w:w="826" w:type="dxa"/>
          </w:tcPr>
          <w:p>
            <w:pPr>
              <w:spacing w:line="420" w:lineRule="exact"/>
            </w:pPr>
          </w:p>
        </w:tc>
        <w:tc>
          <w:tcPr>
            <w:tcW w:w="826" w:type="dxa"/>
          </w:tcPr>
          <w:p>
            <w:pPr>
              <w:spacing w:line="42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5" w:hRule="atLeast"/>
        </w:trPr>
        <w:tc>
          <w:tcPr>
            <w:tcW w:w="1980" w:type="dxa"/>
            <w:vAlign w:val="center"/>
          </w:tcPr>
          <w:p>
            <w:pPr>
              <w:jc w:val="center"/>
              <w:rPr>
                <w:rFonts w:ascii="宋体" w:hAnsi="宋体"/>
              </w:rPr>
            </w:pPr>
            <w:r>
              <w:rPr>
                <w:rFonts w:hint="eastAsia" w:ascii="宋体" w:hAnsi="宋体"/>
              </w:rPr>
              <w:t>……</w:t>
            </w:r>
          </w:p>
        </w:tc>
        <w:tc>
          <w:tcPr>
            <w:tcW w:w="540" w:type="dxa"/>
          </w:tcPr>
          <w:p>
            <w:pPr>
              <w:spacing w:line="420" w:lineRule="exact"/>
              <w:rPr>
                <w:rFonts w:ascii="宋体" w:hAnsi="宋体"/>
              </w:rPr>
            </w:pPr>
          </w:p>
        </w:tc>
        <w:tc>
          <w:tcPr>
            <w:tcW w:w="540" w:type="dxa"/>
          </w:tcPr>
          <w:p>
            <w:pPr>
              <w:spacing w:line="420" w:lineRule="exact"/>
              <w:rPr>
                <w:rFonts w:ascii="宋体" w:hAnsi="宋体"/>
              </w:rPr>
            </w:pPr>
          </w:p>
        </w:tc>
        <w:tc>
          <w:tcPr>
            <w:tcW w:w="540" w:type="dxa"/>
          </w:tcPr>
          <w:p>
            <w:pPr>
              <w:spacing w:line="420" w:lineRule="exact"/>
              <w:rPr>
                <w:rFonts w:ascii="宋体" w:hAnsi="宋体"/>
              </w:rPr>
            </w:pPr>
          </w:p>
        </w:tc>
        <w:tc>
          <w:tcPr>
            <w:tcW w:w="540" w:type="dxa"/>
          </w:tcPr>
          <w:p>
            <w:pPr>
              <w:spacing w:line="420" w:lineRule="exact"/>
              <w:rPr>
                <w:rFonts w:ascii="宋体" w:hAnsi="宋体"/>
              </w:rPr>
            </w:pPr>
          </w:p>
        </w:tc>
        <w:tc>
          <w:tcPr>
            <w:tcW w:w="540" w:type="dxa"/>
          </w:tcPr>
          <w:p>
            <w:pPr>
              <w:spacing w:line="420" w:lineRule="exact"/>
              <w:rPr>
                <w:rFonts w:ascii="宋体" w:hAnsi="宋体"/>
              </w:rPr>
            </w:pPr>
          </w:p>
        </w:tc>
        <w:tc>
          <w:tcPr>
            <w:tcW w:w="1914" w:type="dxa"/>
          </w:tcPr>
          <w:p>
            <w:pPr>
              <w:spacing w:line="420" w:lineRule="exact"/>
              <w:rPr>
                <w:rFonts w:ascii="宋体" w:hAnsi="宋体"/>
              </w:rPr>
            </w:pPr>
          </w:p>
        </w:tc>
        <w:tc>
          <w:tcPr>
            <w:tcW w:w="825" w:type="dxa"/>
          </w:tcPr>
          <w:p>
            <w:pPr>
              <w:spacing w:line="420" w:lineRule="exact"/>
            </w:pPr>
          </w:p>
        </w:tc>
        <w:tc>
          <w:tcPr>
            <w:tcW w:w="826" w:type="dxa"/>
          </w:tcPr>
          <w:p>
            <w:pPr>
              <w:spacing w:line="420" w:lineRule="exact"/>
            </w:pPr>
          </w:p>
        </w:tc>
        <w:tc>
          <w:tcPr>
            <w:tcW w:w="826" w:type="dxa"/>
          </w:tcPr>
          <w:p>
            <w:pPr>
              <w:spacing w:line="42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5" w:hRule="atLeast"/>
        </w:trPr>
        <w:tc>
          <w:tcPr>
            <w:tcW w:w="1980" w:type="dxa"/>
            <w:vAlign w:val="center"/>
          </w:tcPr>
          <w:p>
            <w:pPr>
              <w:jc w:val="center"/>
              <w:rPr>
                <w:rFonts w:ascii="宋体" w:hAnsi="宋体"/>
              </w:rPr>
            </w:pPr>
          </w:p>
        </w:tc>
        <w:tc>
          <w:tcPr>
            <w:tcW w:w="540" w:type="dxa"/>
          </w:tcPr>
          <w:p>
            <w:pPr>
              <w:spacing w:line="420" w:lineRule="exact"/>
              <w:rPr>
                <w:rFonts w:ascii="宋体" w:hAnsi="宋体"/>
              </w:rPr>
            </w:pPr>
          </w:p>
        </w:tc>
        <w:tc>
          <w:tcPr>
            <w:tcW w:w="540" w:type="dxa"/>
          </w:tcPr>
          <w:p>
            <w:pPr>
              <w:spacing w:line="420" w:lineRule="exact"/>
              <w:rPr>
                <w:rFonts w:ascii="宋体" w:hAnsi="宋体"/>
              </w:rPr>
            </w:pPr>
          </w:p>
        </w:tc>
        <w:tc>
          <w:tcPr>
            <w:tcW w:w="540" w:type="dxa"/>
          </w:tcPr>
          <w:p>
            <w:pPr>
              <w:spacing w:line="420" w:lineRule="exact"/>
              <w:rPr>
                <w:rFonts w:ascii="宋体" w:hAnsi="宋体"/>
              </w:rPr>
            </w:pPr>
          </w:p>
        </w:tc>
        <w:tc>
          <w:tcPr>
            <w:tcW w:w="540" w:type="dxa"/>
          </w:tcPr>
          <w:p>
            <w:pPr>
              <w:spacing w:line="420" w:lineRule="exact"/>
              <w:rPr>
                <w:rFonts w:ascii="宋体" w:hAnsi="宋体"/>
              </w:rPr>
            </w:pPr>
          </w:p>
        </w:tc>
        <w:tc>
          <w:tcPr>
            <w:tcW w:w="540" w:type="dxa"/>
          </w:tcPr>
          <w:p>
            <w:pPr>
              <w:spacing w:line="420" w:lineRule="exact"/>
              <w:rPr>
                <w:rFonts w:ascii="宋体" w:hAnsi="宋体"/>
              </w:rPr>
            </w:pPr>
          </w:p>
        </w:tc>
        <w:tc>
          <w:tcPr>
            <w:tcW w:w="1914" w:type="dxa"/>
          </w:tcPr>
          <w:p>
            <w:pPr>
              <w:spacing w:line="420" w:lineRule="exact"/>
              <w:rPr>
                <w:rFonts w:ascii="宋体" w:hAnsi="宋体"/>
              </w:rPr>
            </w:pPr>
          </w:p>
        </w:tc>
        <w:tc>
          <w:tcPr>
            <w:tcW w:w="825" w:type="dxa"/>
          </w:tcPr>
          <w:p>
            <w:pPr>
              <w:spacing w:line="420" w:lineRule="exact"/>
            </w:pPr>
          </w:p>
        </w:tc>
        <w:tc>
          <w:tcPr>
            <w:tcW w:w="826" w:type="dxa"/>
          </w:tcPr>
          <w:p>
            <w:pPr>
              <w:spacing w:line="420" w:lineRule="exact"/>
            </w:pPr>
          </w:p>
        </w:tc>
        <w:tc>
          <w:tcPr>
            <w:tcW w:w="826" w:type="dxa"/>
          </w:tcPr>
          <w:p>
            <w:pPr>
              <w:spacing w:line="42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5" w:hRule="atLeast"/>
        </w:trPr>
        <w:tc>
          <w:tcPr>
            <w:tcW w:w="1980" w:type="dxa"/>
            <w:vAlign w:val="center"/>
          </w:tcPr>
          <w:p>
            <w:pPr>
              <w:jc w:val="center"/>
              <w:rPr>
                <w:rFonts w:ascii="宋体" w:hAnsi="宋体"/>
              </w:rPr>
            </w:pPr>
          </w:p>
        </w:tc>
        <w:tc>
          <w:tcPr>
            <w:tcW w:w="540" w:type="dxa"/>
          </w:tcPr>
          <w:p>
            <w:pPr>
              <w:spacing w:line="420" w:lineRule="exact"/>
              <w:rPr>
                <w:rFonts w:ascii="宋体" w:hAnsi="宋体"/>
              </w:rPr>
            </w:pPr>
          </w:p>
        </w:tc>
        <w:tc>
          <w:tcPr>
            <w:tcW w:w="540" w:type="dxa"/>
          </w:tcPr>
          <w:p>
            <w:pPr>
              <w:spacing w:line="420" w:lineRule="exact"/>
              <w:rPr>
                <w:rFonts w:ascii="宋体" w:hAnsi="宋体"/>
              </w:rPr>
            </w:pPr>
          </w:p>
        </w:tc>
        <w:tc>
          <w:tcPr>
            <w:tcW w:w="540" w:type="dxa"/>
          </w:tcPr>
          <w:p>
            <w:pPr>
              <w:spacing w:line="420" w:lineRule="exact"/>
              <w:rPr>
                <w:rFonts w:ascii="宋体" w:hAnsi="宋体"/>
              </w:rPr>
            </w:pPr>
          </w:p>
        </w:tc>
        <w:tc>
          <w:tcPr>
            <w:tcW w:w="540" w:type="dxa"/>
          </w:tcPr>
          <w:p>
            <w:pPr>
              <w:spacing w:line="420" w:lineRule="exact"/>
              <w:rPr>
                <w:rFonts w:ascii="宋体" w:hAnsi="宋体"/>
              </w:rPr>
            </w:pPr>
          </w:p>
        </w:tc>
        <w:tc>
          <w:tcPr>
            <w:tcW w:w="540" w:type="dxa"/>
          </w:tcPr>
          <w:p>
            <w:pPr>
              <w:spacing w:line="420" w:lineRule="exact"/>
              <w:rPr>
                <w:rFonts w:ascii="宋体" w:hAnsi="宋体"/>
              </w:rPr>
            </w:pPr>
          </w:p>
        </w:tc>
        <w:tc>
          <w:tcPr>
            <w:tcW w:w="1914" w:type="dxa"/>
          </w:tcPr>
          <w:p>
            <w:pPr>
              <w:spacing w:line="420" w:lineRule="exact"/>
              <w:rPr>
                <w:rFonts w:ascii="宋体" w:hAnsi="宋体"/>
              </w:rPr>
            </w:pPr>
          </w:p>
        </w:tc>
        <w:tc>
          <w:tcPr>
            <w:tcW w:w="825" w:type="dxa"/>
          </w:tcPr>
          <w:p>
            <w:pPr>
              <w:spacing w:line="420" w:lineRule="exact"/>
            </w:pPr>
          </w:p>
        </w:tc>
        <w:tc>
          <w:tcPr>
            <w:tcW w:w="826" w:type="dxa"/>
          </w:tcPr>
          <w:p>
            <w:pPr>
              <w:spacing w:line="420" w:lineRule="exact"/>
            </w:pPr>
          </w:p>
        </w:tc>
        <w:tc>
          <w:tcPr>
            <w:tcW w:w="826" w:type="dxa"/>
          </w:tcPr>
          <w:p>
            <w:pPr>
              <w:spacing w:line="42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5" w:hRule="atLeast"/>
        </w:trPr>
        <w:tc>
          <w:tcPr>
            <w:tcW w:w="1980" w:type="dxa"/>
            <w:vAlign w:val="center"/>
          </w:tcPr>
          <w:p>
            <w:pPr>
              <w:jc w:val="center"/>
              <w:rPr>
                <w:rFonts w:ascii="宋体" w:hAnsi="宋体"/>
              </w:rPr>
            </w:pPr>
          </w:p>
        </w:tc>
        <w:tc>
          <w:tcPr>
            <w:tcW w:w="540" w:type="dxa"/>
          </w:tcPr>
          <w:p>
            <w:pPr>
              <w:spacing w:line="420" w:lineRule="exact"/>
              <w:rPr>
                <w:rFonts w:ascii="宋体" w:hAnsi="宋体"/>
              </w:rPr>
            </w:pPr>
          </w:p>
        </w:tc>
        <w:tc>
          <w:tcPr>
            <w:tcW w:w="540" w:type="dxa"/>
          </w:tcPr>
          <w:p>
            <w:pPr>
              <w:spacing w:line="420" w:lineRule="exact"/>
              <w:rPr>
                <w:rFonts w:ascii="宋体" w:hAnsi="宋体"/>
              </w:rPr>
            </w:pPr>
          </w:p>
        </w:tc>
        <w:tc>
          <w:tcPr>
            <w:tcW w:w="540" w:type="dxa"/>
          </w:tcPr>
          <w:p>
            <w:pPr>
              <w:spacing w:line="420" w:lineRule="exact"/>
              <w:rPr>
                <w:rFonts w:ascii="宋体" w:hAnsi="宋体"/>
              </w:rPr>
            </w:pPr>
          </w:p>
        </w:tc>
        <w:tc>
          <w:tcPr>
            <w:tcW w:w="540" w:type="dxa"/>
          </w:tcPr>
          <w:p>
            <w:pPr>
              <w:spacing w:line="420" w:lineRule="exact"/>
              <w:rPr>
                <w:rFonts w:ascii="宋体" w:hAnsi="宋体"/>
              </w:rPr>
            </w:pPr>
          </w:p>
        </w:tc>
        <w:tc>
          <w:tcPr>
            <w:tcW w:w="540" w:type="dxa"/>
          </w:tcPr>
          <w:p>
            <w:pPr>
              <w:spacing w:line="420" w:lineRule="exact"/>
              <w:rPr>
                <w:rFonts w:ascii="宋体" w:hAnsi="宋体"/>
              </w:rPr>
            </w:pPr>
          </w:p>
        </w:tc>
        <w:tc>
          <w:tcPr>
            <w:tcW w:w="1914" w:type="dxa"/>
          </w:tcPr>
          <w:p>
            <w:pPr>
              <w:spacing w:line="420" w:lineRule="exact"/>
              <w:rPr>
                <w:rFonts w:ascii="宋体" w:hAnsi="宋体"/>
              </w:rPr>
            </w:pPr>
          </w:p>
        </w:tc>
        <w:tc>
          <w:tcPr>
            <w:tcW w:w="825" w:type="dxa"/>
          </w:tcPr>
          <w:p>
            <w:pPr>
              <w:spacing w:line="420" w:lineRule="exact"/>
            </w:pPr>
          </w:p>
        </w:tc>
        <w:tc>
          <w:tcPr>
            <w:tcW w:w="826" w:type="dxa"/>
          </w:tcPr>
          <w:p>
            <w:pPr>
              <w:spacing w:line="420" w:lineRule="exact"/>
            </w:pPr>
          </w:p>
        </w:tc>
        <w:tc>
          <w:tcPr>
            <w:tcW w:w="826" w:type="dxa"/>
          </w:tcPr>
          <w:p>
            <w:pPr>
              <w:spacing w:line="42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5" w:hRule="atLeast"/>
        </w:trPr>
        <w:tc>
          <w:tcPr>
            <w:tcW w:w="1980" w:type="dxa"/>
            <w:vAlign w:val="center"/>
          </w:tcPr>
          <w:p>
            <w:pPr>
              <w:jc w:val="center"/>
              <w:rPr>
                <w:rFonts w:ascii="宋体" w:hAnsi="宋体"/>
              </w:rPr>
            </w:pPr>
          </w:p>
        </w:tc>
        <w:tc>
          <w:tcPr>
            <w:tcW w:w="540" w:type="dxa"/>
          </w:tcPr>
          <w:p>
            <w:pPr>
              <w:spacing w:line="420" w:lineRule="exact"/>
              <w:rPr>
                <w:rFonts w:ascii="宋体" w:hAnsi="宋体"/>
              </w:rPr>
            </w:pPr>
          </w:p>
        </w:tc>
        <w:tc>
          <w:tcPr>
            <w:tcW w:w="540" w:type="dxa"/>
          </w:tcPr>
          <w:p>
            <w:pPr>
              <w:spacing w:line="420" w:lineRule="exact"/>
              <w:rPr>
                <w:rFonts w:ascii="宋体" w:hAnsi="宋体"/>
              </w:rPr>
            </w:pPr>
          </w:p>
        </w:tc>
        <w:tc>
          <w:tcPr>
            <w:tcW w:w="540" w:type="dxa"/>
          </w:tcPr>
          <w:p>
            <w:pPr>
              <w:spacing w:line="420" w:lineRule="exact"/>
              <w:rPr>
                <w:rFonts w:ascii="宋体" w:hAnsi="宋体"/>
              </w:rPr>
            </w:pPr>
          </w:p>
        </w:tc>
        <w:tc>
          <w:tcPr>
            <w:tcW w:w="540" w:type="dxa"/>
          </w:tcPr>
          <w:p>
            <w:pPr>
              <w:spacing w:line="420" w:lineRule="exact"/>
              <w:rPr>
                <w:rFonts w:ascii="宋体" w:hAnsi="宋体"/>
              </w:rPr>
            </w:pPr>
          </w:p>
        </w:tc>
        <w:tc>
          <w:tcPr>
            <w:tcW w:w="540" w:type="dxa"/>
          </w:tcPr>
          <w:p>
            <w:pPr>
              <w:spacing w:line="420" w:lineRule="exact"/>
              <w:rPr>
                <w:rFonts w:ascii="宋体" w:hAnsi="宋体"/>
              </w:rPr>
            </w:pPr>
          </w:p>
        </w:tc>
        <w:tc>
          <w:tcPr>
            <w:tcW w:w="1914" w:type="dxa"/>
          </w:tcPr>
          <w:p>
            <w:pPr>
              <w:spacing w:line="420" w:lineRule="exact"/>
              <w:rPr>
                <w:rFonts w:ascii="宋体" w:hAnsi="宋体"/>
              </w:rPr>
            </w:pPr>
          </w:p>
        </w:tc>
        <w:tc>
          <w:tcPr>
            <w:tcW w:w="825" w:type="dxa"/>
          </w:tcPr>
          <w:p>
            <w:pPr>
              <w:spacing w:line="420" w:lineRule="exact"/>
            </w:pPr>
          </w:p>
        </w:tc>
        <w:tc>
          <w:tcPr>
            <w:tcW w:w="826" w:type="dxa"/>
          </w:tcPr>
          <w:p>
            <w:pPr>
              <w:spacing w:line="420" w:lineRule="exact"/>
            </w:pPr>
          </w:p>
        </w:tc>
        <w:tc>
          <w:tcPr>
            <w:tcW w:w="826" w:type="dxa"/>
          </w:tcPr>
          <w:p>
            <w:pPr>
              <w:spacing w:line="42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5" w:hRule="atLeast"/>
        </w:trPr>
        <w:tc>
          <w:tcPr>
            <w:tcW w:w="1980" w:type="dxa"/>
            <w:vAlign w:val="center"/>
          </w:tcPr>
          <w:p>
            <w:pPr>
              <w:jc w:val="center"/>
              <w:rPr>
                <w:rFonts w:ascii="宋体" w:hAnsi="宋体"/>
              </w:rPr>
            </w:pPr>
          </w:p>
        </w:tc>
        <w:tc>
          <w:tcPr>
            <w:tcW w:w="540" w:type="dxa"/>
          </w:tcPr>
          <w:p>
            <w:pPr>
              <w:spacing w:line="420" w:lineRule="exact"/>
              <w:rPr>
                <w:rFonts w:ascii="宋体" w:hAnsi="宋体"/>
              </w:rPr>
            </w:pPr>
          </w:p>
        </w:tc>
        <w:tc>
          <w:tcPr>
            <w:tcW w:w="540" w:type="dxa"/>
          </w:tcPr>
          <w:p>
            <w:pPr>
              <w:spacing w:line="420" w:lineRule="exact"/>
              <w:rPr>
                <w:rFonts w:ascii="宋体" w:hAnsi="宋体"/>
              </w:rPr>
            </w:pPr>
          </w:p>
        </w:tc>
        <w:tc>
          <w:tcPr>
            <w:tcW w:w="540" w:type="dxa"/>
          </w:tcPr>
          <w:p>
            <w:pPr>
              <w:spacing w:line="420" w:lineRule="exact"/>
              <w:rPr>
                <w:rFonts w:ascii="宋体" w:hAnsi="宋体"/>
              </w:rPr>
            </w:pPr>
          </w:p>
        </w:tc>
        <w:tc>
          <w:tcPr>
            <w:tcW w:w="540" w:type="dxa"/>
          </w:tcPr>
          <w:p>
            <w:pPr>
              <w:spacing w:line="420" w:lineRule="exact"/>
              <w:rPr>
                <w:rFonts w:ascii="宋体" w:hAnsi="宋体"/>
              </w:rPr>
            </w:pPr>
          </w:p>
        </w:tc>
        <w:tc>
          <w:tcPr>
            <w:tcW w:w="540" w:type="dxa"/>
          </w:tcPr>
          <w:p>
            <w:pPr>
              <w:spacing w:line="420" w:lineRule="exact"/>
              <w:rPr>
                <w:rFonts w:ascii="宋体" w:hAnsi="宋体"/>
              </w:rPr>
            </w:pPr>
          </w:p>
        </w:tc>
        <w:tc>
          <w:tcPr>
            <w:tcW w:w="1914" w:type="dxa"/>
          </w:tcPr>
          <w:p>
            <w:pPr>
              <w:spacing w:line="420" w:lineRule="exact"/>
              <w:rPr>
                <w:rFonts w:ascii="宋体" w:hAnsi="宋体"/>
              </w:rPr>
            </w:pPr>
          </w:p>
        </w:tc>
        <w:tc>
          <w:tcPr>
            <w:tcW w:w="825" w:type="dxa"/>
          </w:tcPr>
          <w:p>
            <w:pPr>
              <w:spacing w:line="420" w:lineRule="exact"/>
            </w:pPr>
          </w:p>
        </w:tc>
        <w:tc>
          <w:tcPr>
            <w:tcW w:w="826" w:type="dxa"/>
          </w:tcPr>
          <w:p>
            <w:pPr>
              <w:spacing w:line="420" w:lineRule="exact"/>
            </w:pPr>
          </w:p>
        </w:tc>
        <w:tc>
          <w:tcPr>
            <w:tcW w:w="826" w:type="dxa"/>
          </w:tcPr>
          <w:p>
            <w:pPr>
              <w:spacing w:line="42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5" w:hRule="atLeast"/>
        </w:trPr>
        <w:tc>
          <w:tcPr>
            <w:tcW w:w="1980" w:type="dxa"/>
            <w:vAlign w:val="center"/>
          </w:tcPr>
          <w:p>
            <w:pPr>
              <w:jc w:val="center"/>
              <w:rPr>
                <w:rFonts w:ascii="宋体" w:hAnsi="宋体"/>
              </w:rPr>
            </w:pPr>
          </w:p>
        </w:tc>
        <w:tc>
          <w:tcPr>
            <w:tcW w:w="540" w:type="dxa"/>
          </w:tcPr>
          <w:p>
            <w:pPr>
              <w:spacing w:line="420" w:lineRule="exact"/>
              <w:rPr>
                <w:rFonts w:ascii="宋体" w:hAnsi="宋体"/>
              </w:rPr>
            </w:pPr>
          </w:p>
        </w:tc>
        <w:tc>
          <w:tcPr>
            <w:tcW w:w="540" w:type="dxa"/>
          </w:tcPr>
          <w:p>
            <w:pPr>
              <w:spacing w:line="420" w:lineRule="exact"/>
              <w:rPr>
                <w:rFonts w:ascii="宋体" w:hAnsi="宋体"/>
              </w:rPr>
            </w:pPr>
          </w:p>
        </w:tc>
        <w:tc>
          <w:tcPr>
            <w:tcW w:w="540" w:type="dxa"/>
          </w:tcPr>
          <w:p>
            <w:pPr>
              <w:spacing w:line="420" w:lineRule="exact"/>
              <w:rPr>
                <w:rFonts w:ascii="宋体" w:hAnsi="宋体"/>
              </w:rPr>
            </w:pPr>
          </w:p>
        </w:tc>
        <w:tc>
          <w:tcPr>
            <w:tcW w:w="540" w:type="dxa"/>
          </w:tcPr>
          <w:p>
            <w:pPr>
              <w:spacing w:line="420" w:lineRule="exact"/>
              <w:rPr>
                <w:rFonts w:ascii="宋体" w:hAnsi="宋体"/>
              </w:rPr>
            </w:pPr>
          </w:p>
        </w:tc>
        <w:tc>
          <w:tcPr>
            <w:tcW w:w="540" w:type="dxa"/>
          </w:tcPr>
          <w:p>
            <w:pPr>
              <w:spacing w:line="420" w:lineRule="exact"/>
              <w:rPr>
                <w:rFonts w:ascii="宋体" w:hAnsi="宋体"/>
              </w:rPr>
            </w:pPr>
          </w:p>
        </w:tc>
        <w:tc>
          <w:tcPr>
            <w:tcW w:w="1914" w:type="dxa"/>
          </w:tcPr>
          <w:p>
            <w:pPr>
              <w:spacing w:line="420" w:lineRule="exact"/>
              <w:rPr>
                <w:rFonts w:ascii="宋体" w:hAnsi="宋体"/>
              </w:rPr>
            </w:pPr>
          </w:p>
        </w:tc>
        <w:tc>
          <w:tcPr>
            <w:tcW w:w="825" w:type="dxa"/>
          </w:tcPr>
          <w:p>
            <w:pPr>
              <w:spacing w:line="420" w:lineRule="exact"/>
            </w:pPr>
          </w:p>
        </w:tc>
        <w:tc>
          <w:tcPr>
            <w:tcW w:w="826" w:type="dxa"/>
          </w:tcPr>
          <w:p>
            <w:pPr>
              <w:spacing w:line="420" w:lineRule="exact"/>
            </w:pPr>
          </w:p>
        </w:tc>
        <w:tc>
          <w:tcPr>
            <w:tcW w:w="826" w:type="dxa"/>
          </w:tcPr>
          <w:p>
            <w:pPr>
              <w:spacing w:line="42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5" w:hRule="atLeast"/>
        </w:trPr>
        <w:tc>
          <w:tcPr>
            <w:tcW w:w="1980" w:type="dxa"/>
            <w:vAlign w:val="center"/>
          </w:tcPr>
          <w:p>
            <w:pPr>
              <w:jc w:val="center"/>
              <w:rPr>
                <w:rFonts w:ascii="宋体" w:hAnsi="宋体"/>
              </w:rPr>
            </w:pPr>
          </w:p>
        </w:tc>
        <w:tc>
          <w:tcPr>
            <w:tcW w:w="540" w:type="dxa"/>
          </w:tcPr>
          <w:p>
            <w:pPr>
              <w:spacing w:line="420" w:lineRule="exact"/>
              <w:rPr>
                <w:rFonts w:ascii="宋体" w:hAnsi="宋体"/>
              </w:rPr>
            </w:pPr>
          </w:p>
        </w:tc>
        <w:tc>
          <w:tcPr>
            <w:tcW w:w="540" w:type="dxa"/>
          </w:tcPr>
          <w:p>
            <w:pPr>
              <w:spacing w:line="420" w:lineRule="exact"/>
              <w:rPr>
                <w:rFonts w:ascii="宋体" w:hAnsi="宋体"/>
              </w:rPr>
            </w:pPr>
          </w:p>
        </w:tc>
        <w:tc>
          <w:tcPr>
            <w:tcW w:w="540" w:type="dxa"/>
          </w:tcPr>
          <w:p>
            <w:pPr>
              <w:spacing w:line="420" w:lineRule="exact"/>
              <w:rPr>
                <w:rFonts w:ascii="宋体" w:hAnsi="宋体"/>
              </w:rPr>
            </w:pPr>
          </w:p>
        </w:tc>
        <w:tc>
          <w:tcPr>
            <w:tcW w:w="540" w:type="dxa"/>
          </w:tcPr>
          <w:p>
            <w:pPr>
              <w:spacing w:line="420" w:lineRule="exact"/>
              <w:rPr>
                <w:rFonts w:ascii="宋体" w:hAnsi="宋体"/>
              </w:rPr>
            </w:pPr>
          </w:p>
        </w:tc>
        <w:tc>
          <w:tcPr>
            <w:tcW w:w="540" w:type="dxa"/>
          </w:tcPr>
          <w:p>
            <w:pPr>
              <w:spacing w:line="420" w:lineRule="exact"/>
              <w:rPr>
                <w:rFonts w:ascii="宋体" w:hAnsi="宋体"/>
              </w:rPr>
            </w:pPr>
          </w:p>
        </w:tc>
        <w:tc>
          <w:tcPr>
            <w:tcW w:w="1914" w:type="dxa"/>
          </w:tcPr>
          <w:p>
            <w:pPr>
              <w:spacing w:line="420" w:lineRule="exact"/>
              <w:rPr>
                <w:rFonts w:ascii="宋体" w:hAnsi="宋体"/>
              </w:rPr>
            </w:pPr>
          </w:p>
        </w:tc>
        <w:tc>
          <w:tcPr>
            <w:tcW w:w="825" w:type="dxa"/>
          </w:tcPr>
          <w:p>
            <w:pPr>
              <w:spacing w:line="420" w:lineRule="exact"/>
            </w:pPr>
          </w:p>
        </w:tc>
        <w:tc>
          <w:tcPr>
            <w:tcW w:w="826" w:type="dxa"/>
          </w:tcPr>
          <w:p>
            <w:pPr>
              <w:spacing w:line="420" w:lineRule="exact"/>
            </w:pPr>
          </w:p>
        </w:tc>
        <w:tc>
          <w:tcPr>
            <w:tcW w:w="826" w:type="dxa"/>
          </w:tcPr>
          <w:p>
            <w:pPr>
              <w:spacing w:line="42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5" w:hRule="atLeast"/>
        </w:trPr>
        <w:tc>
          <w:tcPr>
            <w:tcW w:w="1980" w:type="dxa"/>
            <w:vAlign w:val="center"/>
          </w:tcPr>
          <w:p>
            <w:pPr>
              <w:jc w:val="center"/>
              <w:rPr>
                <w:rFonts w:ascii="宋体" w:hAnsi="宋体"/>
              </w:rPr>
            </w:pPr>
          </w:p>
        </w:tc>
        <w:tc>
          <w:tcPr>
            <w:tcW w:w="540" w:type="dxa"/>
          </w:tcPr>
          <w:p>
            <w:pPr>
              <w:spacing w:line="420" w:lineRule="exact"/>
              <w:rPr>
                <w:rFonts w:ascii="宋体" w:hAnsi="宋体"/>
              </w:rPr>
            </w:pPr>
          </w:p>
        </w:tc>
        <w:tc>
          <w:tcPr>
            <w:tcW w:w="540" w:type="dxa"/>
          </w:tcPr>
          <w:p>
            <w:pPr>
              <w:spacing w:line="420" w:lineRule="exact"/>
              <w:rPr>
                <w:rFonts w:ascii="宋体" w:hAnsi="宋体"/>
              </w:rPr>
            </w:pPr>
          </w:p>
        </w:tc>
        <w:tc>
          <w:tcPr>
            <w:tcW w:w="540" w:type="dxa"/>
          </w:tcPr>
          <w:p>
            <w:pPr>
              <w:spacing w:line="420" w:lineRule="exact"/>
              <w:rPr>
                <w:rFonts w:ascii="宋体" w:hAnsi="宋体"/>
              </w:rPr>
            </w:pPr>
          </w:p>
        </w:tc>
        <w:tc>
          <w:tcPr>
            <w:tcW w:w="540" w:type="dxa"/>
          </w:tcPr>
          <w:p>
            <w:pPr>
              <w:spacing w:line="420" w:lineRule="exact"/>
              <w:rPr>
                <w:rFonts w:ascii="宋体" w:hAnsi="宋体"/>
              </w:rPr>
            </w:pPr>
          </w:p>
        </w:tc>
        <w:tc>
          <w:tcPr>
            <w:tcW w:w="540" w:type="dxa"/>
          </w:tcPr>
          <w:p>
            <w:pPr>
              <w:spacing w:line="420" w:lineRule="exact"/>
              <w:rPr>
                <w:rFonts w:ascii="宋体" w:hAnsi="宋体"/>
              </w:rPr>
            </w:pPr>
          </w:p>
        </w:tc>
        <w:tc>
          <w:tcPr>
            <w:tcW w:w="1914" w:type="dxa"/>
          </w:tcPr>
          <w:p>
            <w:pPr>
              <w:spacing w:line="420" w:lineRule="exact"/>
              <w:rPr>
                <w:rFonts w:ascii="宋体" w:hAnsi="宋体"/>
              </w:rPr>
            </w:pPr>
          </w:p>
        </w:tc>
        <w:tc>
          <w:tcPr>
            <w:tcW w:w="825" w:type="dxa"/>
          </w:tcPr>
          <w:p>
            <w:pPr>
              <w:spacing w:line="420" w:lineRule="exact"/>
            </w:pPr>
          </w:p>
        </w:tc>
        <w:tc>
          <w:tcPr>
            <w:tcW w:w="826" w:type="dxa"/>
          </w:tcPr>
          <w:p>
            <w:pPr>
              <w:spacing w:line="420" w:lineRule="exact"/>
            </w:pPr>
          </w:p>
        </w:tc>
        <w:tc>
          <w:tcPr>
            <w:tcW w:w="826" w:type="dxa"/>
          </w:tcPr>
          <w:p>
            <w:pPr>
              <w:spacing w:line="42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5" w:hRule="atLeast"/>
        </w:trPr>
        <w:tc>
          <w:tcPr>
            <w:tcW w:w="1980" w:type="dxa"/>
            <w:vAlign w:val="center"/>
          </w:tcPr>
          <w:p>
            <w:pPr>
              <w:jc w:val="center"/>
              <w:rPr>
                <w:rFonts w:ascii="宋体" w:hAnsi="宋体"/>
              </w:rPr>
            </w:pPr>
          </w:p>
        </w:tc>
        <w:tc>
          <w:tcPr>
            <w:tcW w:w="540" w:type="dxa"/>
          </w:tcPr>
          <w:p>
            <w:pPr>
              <w:spacing w:line="420" w:lineRule="exact"/>
              <w:rPr>
                <w:rFonts w:ascii="宋体" w:hAnsi="宋体"/>
              </w:rPr>
            </w:pPr>
          </w:p>
        </w:tc>
        <w:tc>
          <w:tcPr>
            <w:tcW w:w="540" w:type="dxa"/>
          </w:tcPr>
          <w:p>
            <w:pPr>
              <w:spacing w:line="420" w:lineRule="exact"/>
              <w:rPr>
                <w:rFonts w:ascii="宋体" w:hAnsi="宋体"/>
              </w:rPr>
            </w:pPr>
          </w:p>
        </w:tc>
        <w:tc>
          <w:tcPr>
            <w:tcW w:w="540" w:type="dxa"/>
          </w:tcPr>
          <w:p>
            <w:pPr>
              <w:spacing w:line="420" w:lineRule="exact"/>
              <w:rPr>
                <w:rFonts w:ascii="宋体" w:hAnsi="宋体"/>
              </w:rPr>
            </w:pPr>
          </w:p>
        </w:tc>
        <w:tc>
          <w:tcPr>
            <w:tcW w:w="540" w:type="dxa"/>
          </w:tcPr>
          <w:p>
            <w:pPr>
              <w:spacing w:line="420" w:lineRule="exact"/>
              <w:rPr>
                <w:rFonts w:ascii="宋体" w:hAnsi="宋体"/>
              </w:rPr>
            </w:pPr>
          </w:p>
        </w:tc>
        <w:tc>
          <w:tcPr>
            <w:tcW w:w="540" w:type="dxa"/>
          </w:tcPr>
          <w:p>
            <w:pPr>
              <w:spacing w:line="420" w:lineRule="exact"/>
              <w:rPr>
                <w:rFonts w:ascii="宋体" w:hAnsi="宋体"/>
              </w:rPr>
            </w:pPr>
          </w:p>
        </w:tc>
        <w:tc>
          <w:tcPr>
            <w:tcW w:w="1914" w:type="dxa"/>
          </w:tcPr>
          <w:p>
            <w:pPr>
              <w:spacing w:line="420" w:lineRule="exact"/>
              <w:rPr>
                <w:rFonts w:ascii="宋体" w:hAnsi="宋体"/>
              </w:rPr>
            </w:pPr>
          </w:p>
        </w:tc>
        <w:tc>
          <w:tcPr>
            <w:tcW w:w="825" w:type="dxa"/>
          </w:tcPr>
          <w:p>
            <w:pPr>
              <w:spacing w:line="420" w:lineRule="exact"/>
            </w:pPr>
          </w:p>
        </w:tc>
        <w:tc>
          <w:tcPr>
            <w:tcW w:w="826" w:type="dxa"/>
          </w:tcPr>
          <w:p>
            <w:pPr>
              <w:spacing w:line="420" w:lineRule="exact"/>
            </w:pPr>
          </w:p>
        </w:tc>
        <w:tc>
          <w:tcPr>
            <w:tcW w:w="826" w:type="dxa"/>
          </w:tcPr>
          <w:p>
            <w:pPr>
              <w:spacing w:line="42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5" w:hRule="atLeast"/>
        </w:trPr>
        <w:tc>
          <w:tcPr>
            <w:tcW w:w="1980" w:type="dxa"/>
            <w:vAlign w:val="center"/>
          </w:tcPr>
          <w:p>
            <w:pPr>
              <w:jc w:val="center"/>
              <w:rPr>
                <w:rFonts w:ascii="宋体" w:hAnsi="宋体"/>
              </w:rPr>
            </w:pPr>
          </w:p>
        </w:tc>
        <w:tc>
          <w:tcPr>
            <w:tcW w:w="540" w:type="dxa"/>
          </w:tcPr>
          <w:p>
            <w:pPr>
              <w:spacing w:line="420" w:lineRule="exact"/>
              <w:rPr>
                <w:rFonts w:ascii="宋体" w:hAnsi="宋体"/>
              </w:rPr>
            </w:pPr>
          </w:p>
        </w:tc>
        <w:tc>
          <w:tcPr>
            <w:tcW w:w="540" w:type="dxa"/>
          </w:tcPr>
          <w:p>
            <w:pPr>
              <w:spacing w:line="420" w:lineRule="exact"/>
              <w:rPr>
                <w:rFonts w:ascii="宋体" w:hAnsi="宋体"/>
              </w:rPr>
            </w:pPr>
          </w:p>
        </w:tc>
        <w:tc>
          <w:tcPr>
            <w:tcW w:w="540" w:type="dxa"/>
          </w:tcPr>
          <w:p>
            <w:pPr>
              <w:spacing w:line="420" w:lineRule="exact"/>
              <w:rPr>
                <w:rFonts w:ascii="宋体" w:hAnsi="宋体"/>
              </w:rPr>
            </w:pPr>
          </w:p>
        </w:tc>
        <w:tc>
          <w:tcPr>
            <w:tcW w:w="540" w:type="dxa"/>
          </w:tcPr>
          <w:p>
            <w:pPr>
              <w:spacing w:line="420" w:lineRule="exact"/>
              <w:rPr>
                <w:rFonts w:ascii="宋体" w:hAnsi="宋体"/>
              </w:rPr>
            </w:pPr>
          </w:p>
        </w:tc>
        <w:tc>
          <w:tcPr>
            <w:tcW w:w="540" w:type="dxa"/>
          </w:tcPr>
          <w:p>
            <w:pPr>
              <w:spacing w:line="420" w:lineRule="exact"/>
              <w:rPr>
                <w:rFonts w:ascii="宋体" w:hAnsi="宋体"/>
              </w:rPr>
            </w:pPr>
          </w:p>
        </w:tc>
        <w:tc>
          <w:tcPr>
            <w:tcW w:w="1914" w:type="dxa"/>
          </w:tcPr>
          <w:p>
            <w:pPr>
              <w:spacing w:line="420" w:lineRule="exact"/>
              <w:rPr>
                <w:rFonts w:ascii="宋体" w:hAnsi="宋体"/>
              </w:rPr>
            </w:pPr>
          </w:p>
        </w:tc>
        <w:tc>
          <w:tcPr>
            <w:tcW w:w="825" w:type="dxa"/>
          </w:tcPr>
          <w:p>
            <w:pPr>
              <w:spacing w:line="420" w:lineRule="exact"/>
            </w:pPr>
          </w:p>
        </w:tc>
        <w:tc>
          <w:tcPr>
            <w:tcW w:w="826" w:type="dxa"/>
          </w:tcPr>
          <w:p>
            <w:pPr>
              <w:spacing w:line="420" w:lineRule="exact"/>
            </w:pPr>
          </w:p>
        </w:tc>
        <w:tc>
          <w:tcPr>
            <w:tcW w:w="826" w:type="dxa"/>
          </w:tcPr>
          <w:p>
            <w:pPr>
              <w:spacing w:line="42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5" w:hRule="atLeast"/>
        </w:trPr>
        <w:tc>
          <w:tcPr>
            <w:tcW w:w="1980" w:type="dxa"/>
            <w:vAlign w:val="center"/>
          </w:tcPr>
          <w:p>
            <w:pPr>
              <w:jc w:val="center"/>
              <w:rPr>
                <w:rFonts w:ascii="宋体" w:hAnsi="宋体"/>
              </w:rPr>
            </w:pPr>
          </w:p>
        </w:tc>
        <w:tc>
          <w:tcPr>
            <w:tcW w:w="540" w:type="dxa"/>
          </w:tcPr>
          <w:p>
            <w:pPr>
              <w:spacing w:line="420" w:lineRule="exact"/>
              <w:rPr>
                <w:rFonts w:ascii="宋体" w:hAnsi="宋体"/>
              </w:rPr>
            </w:pPr>
          </w:p>
        </w:tc>
        <w:tc>
          <w:tcPr>
            <w:tcW w:w="540" w:type="dxa"/>
          </w:tcPr>
          <w:p>
            <w:pPr>
              <w:spacing w:line="420" w:lineRule="exact"/>
              <w:rPr>
                <w:rFonts w:ascii="宋体" w:hAnsi="宋体"/>
              </w:rPr>
            </w:pPr>
          </w:p>
        </w:tc>
        <w:tc>
          <w:tcPr>
            <w:tcW w:w="540" w:type="dxa"/>
          </w:tcPr>
          <w:p>
            <w:pPr>
              <w:spacing w:line="420" w:lineRule="exact"/>
              <w:rPr>
                <w:rFonts w:ascii="宋体" w:hAnsi="宋体"/>
              </w:rPr>
            </w:pPr>
          </w:p>
        </w:tc>
        <w:tc>
          <w:tcPr>
            <w:tcW w:w="540" w:type="dxa"/>
          </w:tcPr>
          <w:p>
            <w:pPr>
              <w:spacing w:line="420" w:lineRule="exact"/>
              <w:rPr>
                <w:rFonts w:ascii="宋体" w:hAnsi="宋体"/>
              </w:rPr>
            </w:pPr>
          </w:p>
        </w:tc>
        <w:tc>
          <w:tcPr>
            <w:tcW w:w="540" w:type="dxa"/>
          </w:tcPr>
          <w:p>
            <w:pPr>
              <w:spacing w:line="420" w:lineRule="exact"/>
              <w:rPr>
                <w:rFonts w:ascii="宋体" w:hAnsi="宋体"/>
              </w:rPr>
            </w:pPr>
          </w:p>
        </w:tc>
        <w:tc>
          <w:tcPr>
            <w:tcW w:w="1914" w:type="dxa"/>
          </w:tcPr>
          <w:p>
            <w:pPr>
              <w:spacing w:line="420" w:lineRule="exact"/>
              <w:rPr>
                <w:rFonts w:ascii="宋体" w:hAnsi="宋体"/>
              </w:rPr>
            </w:pPr>
          </w:p>
        </w:tc>
        <w:tc>
          <w:tcPr>
            <w:tcW w:w="825" w:type="dxa"/>
          </w:tcPr>
          <w:p>
            <w:pPr>
              <w:spacing w:line="420" w:lineRule="exact"/>
            </w:pPr>
          </w:p>
        </w:tc>
        <w:tc>
          <w:tcPr>
            <w:tcW w:w="826" w:type="dxa"/>
          </w:tcPr>
          <w:p>
            <w:pPr>
              <w:spacing w:line="420" w:lineRule="exact"/>
            </w:pPr>
          </w:p>
        </w:tc>
        <w:tc>
          <w:tcPr>
            <w:tcW w:w="826" w:type="dxa"/>
          </w:tcPr>
          <w:p>
            <w:pPr>
              <w:spacing w:line="42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5" w:hRule="atLeast"/>
        </w:trPr>
        <w:tc>
          <w:tcPr>
            <w:tcW w:w="1980" w:type="dxa"/>
            <w:vAlign w:val="center"/>
          </w:tcPr>
          <w:p>
            <w:pPr>
              <w:jc w:val="center"/>
              <w:rPr>
                <w:rFonts w:ascii="宋体" w:hAnsi="宋体"/>
              </w:rPr>
            </w:pPr>
          </w:p>
        </w:tc>
        <w:tc>
          <w:tcPr>
            <w:tcW w:w="540" w:type="dxa"/>
          </w:tcPr>
          <w:p>
            <w:pPr>
              <w:spacing w:line="420" w:lineRule="exact"/>
              <w:rPr>
                <w:rFonts w:ascii="宋体" w:hAnsi="宋体"/>
              </w:rPr>
            </w:pPr>
          </w:p>
        </w:tc>
        <w:tc>
          <w:tcPr>
            <w:tcW w:w="540" w:type="dxa"/>
          </w:tcPr>
          <w:p>
            <w:pPr>
              <w:spacing w:line="420" w:lineRule="exact"/>
              <w:rPr>
                <w:rFonts w:ascii="宋体" w:hAnsi="宋体"/>
              </w:rPr>
            </w:pPr>
          </w:p>
        </w:tc>
        <w:tc>
          <w:tcPr>
            <w:tcW w:w="540" w:type="dxa"/>
          </w:tcPr>
          <w:p>
            <w:pPr>
              <w:spacing w:line="420" w:lineRule="exact"/>
              <w:rPr>
                <w:rFonts w:ascii="宋体" w:hAnsi="宋体"/>
              </w:rPr>
            </w:pPr>
          </w:p>
        </w:tc>
        <w:tc>
          <w:tcPr>
            <w:tcW w:w="540" w:type="dxa"/>
          </w:tcPr>
          <w:p>
            <w:pPr>
              <w:spacing w:line="420" w:lineRule="exact"/>
              <w:rPr>
                <w:rFonts w:ascii="宋体" w:hAnsi="宋体"/>
              </w:rPr>
            </w:pPr>
          </w:p>
        </w:tc>
        <w:tc>
          <w:tcPr>
            <w:tcW w:w="540" w:type="dxa"/>
          </w:tcPr>
          <w:p>
            <w:pPr>
              <w:spacing w:line="420" w:lineRule="exact"/>
              <w:rPr>
                <w:rFonts w:ascii="宋体" w:hAnsi="宋体"/>
              </w:rPr>
            </w:pPr>
          </w:p>
        </w:tc>
        <w:tc>
          <w:tcPr>
            <w:tcW w:w="1914" w:type="dxa"/>
          </w:tcPr>
          <w:p>
            <w:pPr>
              <w:spacing w:line="420" w:lineRule="exact"/>
              <w:rPr>
                <w:rFonts w:ascii="宋体" w:hAnsi="宋体"/>
              </w:rPr>
            </w:pPr>
          </w:p>
        </w:tc>
        <w:tc>
          <w:tcPr>
            <w:tcW w:w="825" w:type="dxa"/>
          </w:tcPr>
          <w:p>
            <w:pPr>
              <w:spacing w:line="420" w:lineRule="exact"/>
            </w:pPr>
          </w:p>
        </w:tc>
        <w:tc>
          <w:tcPr>
            <w:tcW w:w="826" w:type="dxa"/>
          </w:tcPr>
          <w:p>
            <w:pPr>
              <w:spacing w:line="420" w:lineRule="exact"/>
            </w:pPr>
          </w:p>
        </w:tc>
        <w:tc>
          <w:tcPr>
            <w:tcW w:w="826" w:type="dxa"/>
          </w:tcPr>
          <w:p>
            <w:pPr>
              <w:spacing w:line="42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5" w:hRule="atLeast"/>
        </w:trPr>
        <w:tc>
          <w:tcPr>
            <w:tcW w:w="1980" w:type="dxa"/>
            <w:vAlign w:val="center"/>
          </w:tcPr>
          <w:p>
            <w:pPr>
              <w:jc w:val="center"/>
              <w:rPr>
                <w:rFonts w:ascii="宋体" w:hAnsi="宋体"/>
              </w:rPr>
            </w:pPr>
          </w:p>
        </w:tc>
        <w:tc>
          <w:tcPr>
            <w:tcW w:w="540" w:type="dxa"/>
          </w:tcPr>
          <w:p>
            <w:pPr>
              <w:spacing w:line="420" w:lineRule="exact"/>
              <w:rPr>
                <w:rFonts w:ascii="宋体" w:hAnsi="宋体"/>
              </w:rPr>
            </w:pPr>
          </w:p>
        </w:tc>
        <w:tc>
          <w:tcPr>
            <w:tcW w:w="540" w:type="dxa"/>
          </w:tcPr>
          <w:p>
            <w:pPr>
              <w:spacing w:line="420" w:lineRule="exact"/>
              <w:rPr>
                <w:rFonts w:ascii="宋体" w:hAnsi="宋体"/>
              </w:rPr>
            </w:pPr>
          </w:p>
        </w:tc>
        <w:tc>
          <w:tcPr>
            <w:tcW w:w="540" w:type="dxa"/>
          </w:tcPr>
          <w:p>
            <w:pPr>
              <w:spacing w:line="420" w:lineRule="exact"/>
              <w:rPr>
                <w:rFonts w:ascii="宋体" w:hAnsi="宋体"/>
              </w:rPr>
            </w:pPr>
          </w:p>
        </w:tc>
        <w:tc>
          <w:tcPr>
            <w:tcW w:w="540" w:type="dxa"/>
          </w:tcPr>
          <w:p>
            <w:pPr>
              <w:spacing w:line="420" w:lineRule="exact"/>
              <w:rPr>
                <w:rFonts w:ascii="宋体" w:hAnsi="宋体"/>
              </w:rPr>
            </w:pPr>
          </w:p>
        </w:tc>
        <w:tc>
          <w:tcPr>
            <w:tcW w:w="540" w:type="dxa"/>
          </w:tcPr>
          <w:p>
            <w:pPr>
              <w:spacing w:line="420" w:lineRule="exact"/>
              <w:rPr>
                <w:rFonts w:ascii="宋体" w:hAnsi="宋体"/>
              </w:rPr>
            </w:pPr>
          </w:p>
        </w:tc>
        <w:tc>
          <w:tcPr>
            <w:tcW w:w="1914" w:type="dxa"/>
          </w:tcPr>
          <w:p>
            <w:pPr>
              <w:spacing w:line="420" w:lineRule="exact"/>
              <w:rPr>
                <w:rFonts w:ascii="宋体" w:hAnsi="宋体"/>
              </w:rPr>
            </w:pPr>
          </w:p>
        </w:tc>
        <w:tc>
          <w:tcPr>
            <w:tcW w:w="825" w:type="dxa"/>
          </w:tcPr>
          <w:p>
            <w:pPr>
              <w:spacing w:line="420" w:lineRule="exact"/>
            </w:pPr>
          </w:p>
        </w:tc>
        <w:tc>
          <w:tcPr>
            <w:tcW w:w="826" w:type="dxa"/>
          </w:tcPr>
          <w:p>
            <w:pPr>
              <w:spacing w:line="420" w:lineRule="exact"/>
            </w:pPr>
          </w:p>
        </w:tc>
        <w:tc>
          <w:tcPr>
            <w:tcW w:w="826" w:type="dxa"/>
          </w:tcPr>
          <w:p>
            <w:pPr>
              <w:spacing w:line="42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5" w:hRule="atLeast"/>
        </w:trPr>
        <w:tc>
          <w:tcPr>
            <w:tcW w:w="1980" w:type="dxa"/>
            <w:vAlign w:val="center"/>
          </w:tcPr>
          <w:p>
            <w:pPr>
              <w:jc w:val="center"/>
              <w:rPr>
                <w:rFonts w:ascii="宋体" w:hAnsi="宋体"/>
              </w:rPr>
            </w:pPr>
            <w:r>
              <w:rPr>
                <w:rFonts w:hint="eastAsia" w:ascii="宋体" w:hAnsi="宋体"/>
              </w:rPr>
              <w:t>租用面积合计</w:t>
            </w:r>
          </w:p>
        </w:tc>
        <w:tc>
          <w:tcPr>
            <w:tcW w:w="540" w:type="dxa"/>
          </w:tcPr>
          <w:p>
            <w:pPr>
              <w:spacing w:line="420" w:lineRule="exact"/>
              <w:rPr>
                <w:rFonts w:ascii="宋体" w:hAnsi="宋体"/>
              </w:rPr>
            </w:pPr>
          </w:p>
        </w:tc>
        <w:tc>
          <w:tcPr>
            <w:tcW w:w="540" w:type="dxa"/>
          </w:tcPr>
          <w:p>
            <w:pPr>
              <w:spacing w:line="420" w:lineRule="exact"/>
              <w:rPr>
                <w:rFonts w:ascii="宋体" w:hAnsi="宋体"/>
              </w:rPr>
            </w:pPr>
          </w:p>
        </w:tc>
        <w:tc>
          <w:tcPr>
            <w:tcW w:w="540" w:type="dxa"/>
          </w:tcPr>
          <w:p>
            <w:pPr>
              <w:spacing w:line="420" w:lineRule="exact"/>
              <w:rPr>
                <w:rFonts w:ascii="宋体" w:hAnsi="宋体"/>
              </w:rPr>
            </w:pPr>
          </w:p>
        </w:tc>
        <w:tc>
          <w:tcPr>
            <w:tcW w:w="540" w:type="dxa"/>
          </w:tcPr>
          <w:p>
            <w:pPr>
              <w:spacing w:line="420" w:lineRule="exact"/>
              <w:rPr>
                <w:rFonts w:ascii="宋体" w:hAnsi="宋体"/>
              </w:rPr>
            </w:pPr>
          </w:p>
        </w:tc>
        <w:tc>
          <w:tcPr>
            <w:tcW w:w="540" w:type="dxa"/>
          </w:tcPr>
          <w:p>
            <w:pPr>
              <w:spacing w:line="420" w:lineRule="exact"/>
              <w:rPr>
                <w:rFonts w:ascii="宋体" w:hAnsi="宋体"/>
              </w:rPr>
            </w:pPr>
          </w:p>
        </w:tc>
        <w:tc>
          <w:tcPr>
            <w:tcW w:w="1914" w:type="dxa"/>
          </w:tcPr>
          <w:p>
            <w:pPr>
              <w:spacing w:line="420" w:lineRule="exact"/>
              <w:rPr>
                <w:rFonts w:ascii="宋体" w:hAnsi="宋体"/>
              </w:rPr>
            </w:pPr>
          </w:p>
        </w:tc>
        <w:tc>
          <w:tcPr>
            <w:tcW w:w="825" w:type="dxa"/>
          </w:tcPr>
          <w:p>
            <w:pPr>
              <w:spacing w:line="420" w:lineRule="exact"/>
            </w:pPr>
          </w:p>
        </w:tc>
        <w:tc>
          <w:tcPr>
            <w:tcW w:w="826" w:type="dxa"/>
          </w:tcPr>
          <w:p>
            <w:pPr>
              <w:spacing w:line="420" w:lineRule="exact"/>
            </w:pPr>
          </w:p>
        </w:tc>
        <w:tc>
          <w:tcPr>
            <w:tcW w:w="826" w:type="dxa"/>
          </w:tcPr>
          <w:p>
            <w:pPr>
              <w:spacing w:line="420" w:lineRule="exact"/>
            </w:pPr>
          </w:p>
        </w:tc>
      </w:tr>
    </w:tbl>
    <w:p>
      <w:pPr>
        <w:pStyle w:val="6"/>
        <w:spacing w:before="0" w:after="360" w:line="260" w:lineRule="exact"/>
        <w:rPr>
          <w:rFonts w:ascii="黑体" w:hAnsi="黑体" w:eastAsia="黑体"/>
          <w:b w:val="0"/>
          <w:bCs w:val="0"/>
          <w:sz w:val="24"/>
          <w:szCs w:val="24"/>
        </w:rPr>
      </w:pPr>
      <w:bookmarkStart w:id="7275" w:name="_Toc287853721"/>
      <w:bookmarkStart w:id="7276" w:name="_Toc11745"/>
      <w:bookmarkStart w:id="7277" w:name="_Toc288491899"/>
      <w:bookmarkStart w:id="7278" w:name="_Toc28914"/>
      <w:bookmarkStart w:id="7279" w:name="_Toc252720328"/>
      <w:bookmarkStart w:id="7280" w:name="_Toc15929"/>
      <w:bookmarkStart w:id="7281" w:name="_Toc16350"/>
      <w:bookmarkStart w:id="7282" w:name="_Toc14911"/>
      <w:bookmarkStart w:id="7283" w:name="_Toc28122"/>
      <w:bookmarkStart w:id="7284" w:name="_Toc12500"/>
      <w:bookmarkStart w:id="7285" w:name="_Toc283794568"/>
      <w:bookmarkStart w:id="7286" w:name="_Toc282787835"/>
      <w:bookmarkStart w:id="7287" w:name="_Toc17466"/>
      <w:bookmarkStart w:id="7288" w:name="_Toc2396"/>
      <w:bookmarkStart w:id="7289" w:name="_Toc282779880"/>
      <w:bookmarkStart w:id="7290" w:name="_Toc29847"/>
      <w:bookmarkStart w:id="7291" w:name="_Toc282779371"/>
      <w:bookmarkStart w:id="7292" w:name="_Toc22456"/>
      <w:bookmarkStart w:id="7293" w:name="_Toc20556"/>
      <w:bookmarkStart w:id="7294" w:name="_Toc233290487"/>
      <w:bookmarkStart w:id="7295" w:name="_Toc3114"/>
      <w:bookmarkStart w:id="7296" w:name="_Toc32327"/>
      <w:bookmarkStart w:id="7297" w:name="_Toc233436030"/>
      <w:bookmarkStart w:id="7298" w:name="_Toc13910"/>
      <w:bookmarkStart w:id="7299" w:name="_Toc233215042"/>
      <w:bookmarkStart w:id="7300" w:name="_Toc12132"/>
      <w:bookmarkStart w:id="7301" w:name="_Toc31755"/>
      <w:bookmarkStart w:id="7302" w:name="_Toc233423372"/>
      <w:bookmarkStart w:id="7303" w:name="_Toc288547024"/>
      <w:bookmarkStart w:id="7304" w:name="_Toc233429889"/>
      <w:bookmarkStart w:id="7305" w:name="_Toc21640"/>
      <w:r>
        <w:rPr>
          <w:rFonts w:hint="eastAsia" w:ascii="黑体" w:hAnsi="黑体" w:eastAsia="黑体"/>
          <w:b w:val="0"/>
          <w:bCs w:val="0"/>
          <w:sz w:val="24"/>
          <w:szCs w:val="24"/>
        </w:rPr>
        <w:t>附表五  外供电力需求计划表</w:t>
      </w:r>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p>
    <w:tbl>
      <w:tblPr>
        <w:tblStyle w:val="20"/>
        <w:tblW w:w="9071" w:type="dxa"/>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260"/>
        <w:gridCol w:w="1260"/>
        <w:gridCol w:w="2160"/>
        <w:gridCol w:w="1440"/>
        <w:gridCol w:w="1800"/>
        <w:gridCol w:w="1151"/>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20" w:hRule="atLeast"/>
        </w:trPr>
        <w:tc>
          <w:tcPr>
            <w:tcW w:w="2520" w:type="dxa"/>
            <w:gridSpan w:val="2"/>
            <w:tcBorders>
              <w:bottom w:val="single" w:color="auto" w:sz="4" w:space="0"/>
              <w:right w:val="single" w:color="auto" w:sz="4" w:space="0"/>
            </w:tcBorders>
            <w:vAlign w:val="center"/>
          </w:tcPr>
          <w:p>
            <w:pPr>
              <w:jc w:val="center"/>
            </w:pPr>
            <w:r>
              <w:rPr>
                <w:rFonts w:hAnsi="宋体"/>
              </w:rPr>
              <w:t>用电位置</w:t>
            </w:r>
          </w:p>
        </w:tc>
        <w:tc>
          <w:tcPr>
            <w:tcW w:w="2160" w:type="dxa"/>
            <w:vMerge w:val="restart"/>
            <w:tcBorders>
              <w:left w:val="single" w:color="auto" w:sz="4" w:space="0"/>
              <w:right w:val="single" w:color="auto" w:sz="4" w:space="0"/>
            </w:tcBorders>
            <w:vAlign w:val="center"/>
          </w:tcPr>
          <w:p>
            <w:pPr>
              <w:jc w:val="center"/>
              <w:rPr>
                <w:rFonts w:ascii="宋体" w:hAnsi="宋体"/>
              </w:rPr>
            </w:pPr>
            <w:r>
              <w:rPr>
                <w:rFonts w:hint="eastAsia" w:ascii="宋体" w:hAnsi="宋体"/>
              </w:rPr>
              <w:t>计划用电数量</w:t>
            </w:r>
          </w:p>
          <w:p>
            <w:pPr>
              <w:jc w:val="center"/>
              <w:rPr>
                <w:rFonts w:ascii="宋体" w:hAnsi="宋体"/>
              </w:rPr>
            </w:pPr>
            <w:r>
              <w:rPr>
                <w:rFonts w:hAnsi="宋体"/>
              </w:rPr>
              <w:t>（</w:t>
            </w:r>
            <w:r>
              <w:t>kW•h</w:t>
            </w:r>
            <w:r>
              <w:rPr>
                <w:rFonts w:hAnsi="宋体"/>
              </w:rPr>
              <w:t>）</w:t>
            </w:r>
          </w:p>
        </w:tc>
        <w:tc>
          <w:tcPr>
            <w:tcW w:w="1440" w:type="dxa"/>
            <w:vMerge w:val="restart"/>
            <w:tcBorders>
              <w:left w:val="single" w:color="auto" w:sz="4" w:space="0"/>
              <w:right w:val="single" w:color="auto" w:sz="4" w:space="0"/>
            </w:tcBorders>
            <w:vAlign w:val="center"/>
          </w:tcPr>
          <w:p>
            <w:pPr>
              <w:spacing w:line="420" w:lineRule="exact"/>
              <w:jc w:val="center"/>
              <w:rPr>
                <w:rFonts w:ascii="宋体" w:hAnsi="宋体"/>
              </w:rPr>
            </w:pPr>
            <w:r>
              <w:rPr>
                <w:rFonts w:hint="eastAsia" w:ascii="宋体" w:hAnsi="宋体"/>
              </w:rPr>
              <w:t>用  途</w:t>
            </w:r>
          </w:p>
        </w:tc>
        <w:tc>
          <w:tcPr>
            <w:tcW w:w="1800" w:type="dxa"/>
            <w:vMerge w:val="restart"/>
            <w:tcBorders>
              <w:left w:val="single" w:color="auto" w:sz="4" w:space="0"/>
              <w:right w:val="single" w:color="auto" w:sz="4" w:space="0"/>
            </w:tcBorders>
            <w:vAlign w:val="center"/>
          </w:tcPr>
          <w:p>
            <w:pPr>
              <w:jc w:val="center"/>
              <w:rPr>
                <w:rFonts w:ascii="宋体" w:hAnsi="宋体"/>
              </w:rPr>
            </w:pPr>
            <w:r>
              <w:rPr>
                <w:rFonts w:hint="eastAsia" w:ascii="宋体" w:hAnsi="宋体"/>
              </w:rPr>
              <w:t>需用时间</w:t>
            </w:r>
          </w:p>
          <w:p>
            <w:pPr>
              <w:jc w:val="center"/>
              <w:rPr>
                <w:rFonts w:ascii="宋体" w:hAnsi="宋体"/>
              </w:rPr>
            </w:pPr>
            <w:r>
              <w:rPr>
                <w:rFonts w:hint="eastAsia" w:ascii="宋体" w:hAnsi="宋体"/>
              </w:rPr>
              <w:t>年月至</w:t>
            </w:r>
          </w:p>
          <w:p>
            <w:pPr>
              <w:spacing w:line="420" w:lineRule="exact"/>
              <w:jc w:val="center"/>
              <w:rPr>
                <w:rFonts w:ascii="宋体" w:hAnsi="宋体"/>
              </w:rPr>
            </w:pPr>
            <w:r>
              <w:rPr>
                <w:rFonts w:hint="eastAsia" w:ascii="宋体" w:hAnsi="宋体"/>
              </w:rPr>
              <w:t>年月</w:t>
            </w:r>
          </w:p>
        </w:tc>
        <w:tc>
          <w:tcPr>
            <w:tcW w:w="1151" w:type="dxa"/>
            <w:vMerge w:val="restart"/>
            <w:tcBorders>
              <w:left w:val="single" w:color="auto" w:sz="4" w:space="0"/>
            </w:tcBorders>
            <w:vAlign w:val="center"/>
          </w:tcPr>
          <w:p>
            <w:pPr>
              <w:spacing w:line="420" w:lineRule="exact"/>
              <w:jc w:val="center"/>
              <w:rPr>
                <w:rFonts w:ascii="宋体" w:hAnsi="宋体"/>
              </w:rPr>
            </w:pPr>
            <w:r>
              <w:rPr>
                <w:rFonts w:hint="eastAsia" w:ascii="宋体" w:hAnsi="宋体"/>
              </w:rPr>
              <w:t>备注</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61" w:hRule="atLeast"/>
        </w:trPr>
        <w:tc>
          <w:tcPr>
            <w:tcW w:w="1260" w:type="dxa"/>
            <w:tcBorders>
              <w:top w:val="single" w:color="auto" w:sz="4" w:space="0"/>
              <w:bottom w:val="single" w:color="auto" w:sz="4" w:space="0"/>
              <w:right w:val="single" w:color="auto" w:sz="4" w:space="0"/>
            </w:tcBorders>
            <w:vAlign w:val="center"/>
          </w:tcPr>
          <w:p>
            <w:pPr>
              <w:jc w:val="center"/>
            </w:pPr>
            <w:r>
              <w:rPr>
                <w:rFonts w:hAnsi="宋体"/>
              </w:rPr>
              <w:t>桩号</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pPr>
            <w:r>
              <w:rPr>
                <w:rFonts w:hAnsi="宋体"/>
              </w:rPr>
              <w:t>左或右</w:t>
            </w:r>
          </w:p>
          <w:p>
            <w:pPr>
              <w:jc w:val="center"/>
            </w:pPr>
            <w:r>
              <w:rPr>
                <w:rFonts w:hAnsi="宋体"/>
              </w:rPr>
              <w:t>（</w:t>
            </w:r>
            <w:r>
              <w:t>m</w:t>
            </w:r>
            <w:r>
              <w:rPr>
                <w:rFonts w:hAnsi="宋体"/>
              </w:rPr>
              <w:t>）</w:t>
            </w:r>
          </w:p>
        </w:tc>
        <w:tc>
          <w:tcPr>
            <w:tcW w:w="2160" w:type="dxa"/>
            <w:vMerge w:val="continue"/>
            <w:tcBorders>
              <w:left w:val="single" w:color="auto" w:sz="4" w:space="0"/>
              <w:bottom w:val="single" w:color="auto" w:sz="4" w:space="0"/>
              <w:right w:val="single" w:color="auto" w:sz="4" w:space="0"/>
            </w:tcBorders>
          </w:tcPr>
          <w:p>
            <w:pPr>
              <w:spacing w:line="420" w:lineRule="exact"/>
            </w:pPr>
          </w:p>
        </w:tc>
        <w:tc>
          <w:tcPr>
            <w:tcW w:w="1440" w:type="dxa"/>
            <w:vMerge w:val="continue"/>
            <w:tcBorders>
              <w:left w:val="single" w:color="auto" w:sz="4" w:space="0"/>
              <w:bottom w:val="single" w:color="auto" w:sz="4" w:space="0"/>
              <w:right w:val="single" w:color="auto" w:sz="4" w:space="0"/>
            </w:tcBorders>
          </w:tcPr>
          <w:p>
            <w:pPr>
              <w:spacing w:line="420" w:lineRule="exact"/>
              <w:rPr>
                <w:rFonts w:ascii="宋体" w:hAnsi="宋体"/>
              </w:rPr>
            </w:pPr>
          </w:p>
        </w:tc>
        <w:tc>
          <w:tcPr>
            <w:tcW w:w="1800" w:type="dxa"/>
            <w:vMerge w:val="continue"/>
            <w:tcBorders>
              <w:left w:val="single" w:color="auto" w:sz="4" w:space="0"/>
              <w:bottom w:val="single" w:color="auto" w:sz="4" w:space="0"/>
              <w:right w:val="single" w:color="auto" w:sz="4" w:space="0"/>
            </w:tcBorders>
          </w:tcPr>
          <w:p>
            <w:pPr>
              <w:spacing w:line="420" w:lineRule="exact"/>
              <w:rPr>
                <w:rFonts w:ascii="宋体" w:hAnsi="宋体"/>
              </w:rPr>
            </w:pPr>
          </w:p>
        </w:tc>
        <w:tc>
          <w:tcPr>
            <w:tcW w:w="1151" w:type="dxa"/>
            <w:vMerge w:val="continue"/>
            <w:tcBorders>
              <w:left w:val="single" w:color="auto" w:sz="4" w:space="0"/>
              <w:bottom w:val="single" w:color="auto" w:sz="4" w:space="0"/>
            </w:tcBorders>
          </w:tcPr>
          <w:p>
            <w:pPr>
              <w:spacing w:line="420" w:lineRule="exact"/>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35" w:hRule="atLeast"/>
        </w:trPr>
        <w:tc>
          <w:tcPr>
            <w:tcW w:w="1260" w:type="dxa"/>
            <w:tcBorders>
              <w:top w:val="single" w:color="auto" w:sz="4" w:space="0"/>
              <w:bottom w:val="single" w:color="auto" w:sz="4" w:space="0"/>
              <w:right w:val="single" w:color="auto" w:sz="4" w:space="0"/>
            </w:tcBorders>
          </w:tcPr>
          <w:p>
            <w:pPr>
              <w:spacing w:line="420" w:lineRule="exact"/>
              <w:rPr>
                <w:rFonts w:ascii="宋体" w:hAnsi="宋体"/>
              </w:rPr>
            </w:pPr>
          </w:p>
        </w:tc>
        <w:tc>
          <w:tcPr>
            <w:tcW w:w="1260"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2160"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1440"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1800"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1151" w:type="dxa"/>
            <w:tcBorders>
              <w:top w:val="single" w:color="auto" w:sz="4" w:space="0"/>
              <w:left w:val="single" w:color="auto" w:sz="4" w:space="0"/>
              <w:bottom w:val="single" w:color="auto" w:sz="4" w:space="0"/>
            </w:tcBorders>
          </w:tcPr>
          <w:p>
            <w:pPr>
              <w:spacing w:line="420" w:lineRule="exact"/>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35" w:hRule="atLeast"/>
        </w:trPr>
        <w:tc>
          <w:tcPr>
            <w:tcW w:w="1260" w:type="dxa"/>
            <w:tcBorders>
              <w:top w:val="single" w:color="auto" w:sz="4" w:space="0"/>
              <w:bottom w:val="single" w:color="auto" w:sz="4" w:space="0"/>
              <w:right w:val="single" w:color="auto" w:sz="4" w:space="0"/>
            </w:tcBorders>
          </w:tcPr>
          <w:p>
            <w:pPr>
              <w:spacing w:line="420" w:lineRule="exact"/>
              <w:rPr>
                <w:rFonts w:ascii="宋体" w:hAnsi="宋体"/>
              </w:rPr>
            </w:pPr>
          </w:p>
        </w:tc>
        <w:tc>
          <w:tcPr>
            <w:tcW w:w="1260"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2160"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1440"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1800"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1151" w:type="dxa"/>
            <w:tcBorders>
              <w:top w:val="single" w:color="auto" w:sz="4" w:space="0"/>
              <w:left w:val="single" w:color="auto" w:sz="4" w:space="0"/>
              <w:bottom w:val="single" w:color="auto" w:sz="4" w:space="0"/>
            </w:tcBorders>
          </w:tcPr>
          <w:p>
            <w:pPr>
              <w:spacing w:line="420" w:lineRule="exact"/>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35" w:hRule="atLeast"/>
        </w:trPr>
        <w:tc>
          <w:tcPr>
            <w:tcW w:w="1260" w:type="dxa"/>
            <w:tcBorders>
              <w:top w:val="single" w:color="auto" w:sz="4" w:space="0"/>
              <w:bottom w:val="single" w:color="auto" w:sz="4" w:space="0"/>
              <w:right w:val="single" w:color="auto" w:sz="4" w:space="0"/>
            </w:tcBorders>
          </w:tcPr>
          <w:p>
            <w:pPr>
              <w:spacing w:line="420" w:lineRule="exact"/>
              <w:rPr>
                <w:rFonts w:ascii="宋体" w:hAnsi="宋体"/>
              </w:rPr>
            </w:pPr>
          </w:p>
        </w:tc>
        <w:tc>
          <w:tcPr>
            <w:tcW w:w="1260"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2160"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1440"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1800"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1151" w:type="dxa"/>
            <w:tcBorders>
              <w:top w:val="single" w:color="auto" w:sz="4" w:space="0"/>
              <w:left w:val="single" w:color="auto" w:sz="4" w:space="0"/>
              <w:bottom w:val="single" w:color="auto" w:sz="4" w:space="0"/>
            </w:tcBorders>
          </w:tcPr>
          <w:p>
            <w:pPr>
              <w:spacing w:line="420" w:lineRule="exact"/>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35" w:hRule="atLeast"/>
        </w:trPr>
        <w:tc>
          <w:tcPr>
            <w:tcW w:w="1260" w:type="dxa"/>
            <w:tcBorders>
              <w:top w:val="single" w:color="auto" w:sz="4" w:space="0"/>
              <w:bottom w:val="single" w:color="auto" w:sz="4" w:space="0"/>
              <w:right w:val="single" w:color="auto" w:sz="4" w:space="0"/>
            </w:tcBorders>
          </w:tcPr>
          <w:p>
            <w:pPr>
              <w:spacing w:line="420" w:lineRule="exact"/>
              <w:rPr>
                <w:rFonts w:ascii="宋体" w:hAnsi="宋体"/>
              </w:rPr>
            </w:pPr>
          </w:p>
        </w:tc>
        <w:tc>
          <w:tcPr>
            <w:tcW w:w="1260"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2160"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1440"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1800"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1151" w:type="dxa"/>
            <w:tcBorders>
              <w:top w:val="single" w:color="auto" w:sz="4" w:space="0"/>
              <w:left w:val="single" w:color="auto" w:sz="4" w:space="0"/>
              <w:bottom w:val="single" w:color="auto" w:sz="4" w:space="0"/>
            </w:tcBorders>
          </w:tcPr>
          <w:p>
            <w:pPr>
              <w:spacing w:line="420" w:lineRule="exact"/>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35" w:hRule="atLeast"/>
        </w:trPr>
        <w:tc>
          <w:tcPr>
            <w:tcW w:w="1260" w:type="dxa"/>
            <w:tcBorders>
              <w:top w:val="single" w:color="auto" w:sz="4" w:space="0"/>
              <w:bottom w:val="single" w:color="auto" w:sz="4" w:space="0"/>
              <w:right w:val="single" w:color="auto" w:sz="4" w:space="0"/>
            </w:tcBorders>
          </w:tcPr>
          <w:p>
            <w:pPr>
              <w:spacing w:line="420" w:lineRule="exact"/>
              <w:rPr>
                <w:rFonts w:ascii="宋体" w:hAnsi="宋体"/>
              </w:rPr>
            </w:pPr>
          </w:p>
        </w:tc>
        <w:tc>
          <w:tcPr>
            <w:tcW w:w="1260"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2160"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1440"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1800"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1151" w:type="dxa"/>
            <w:tcBorders>
              <w:top w:val="single" w:color="auto" w:sz="4" w:space="0"/>
              <w:left w:val="single" w:color="auto" w:sz="4" w:space="0"/>
              <w:bottom w:val="single" w:color="auto" w:sz="4" w:space="0"/>
            </w:tcBorders>
          </w:tcPr>
          <w:p>
            <w:pPr>
              <w:spacing w:line="420" w:lineRule="exact"/>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35" w:hRule="atLeast"/>
        </w:trPr>
        <w:tc>
          <w:tcPr>
            <w:tcW w:w="1260" w:type="dxa"/>
            <w:tcBorders>
              <w:top w:val="single" w:color="auto" w:sz="4" w:space="0"/>
              <w:bottom w:val="single" w:color="auto" w:sz="4" w:space="0"/>
              <w:right w:val="single" w:color="auto" w:sz="4" w:space="0"/>
            </w:tcBorders>
          </w:tcPr>
          <w:p>
            <w:pPr>
              <w:spacing w:line="420" w:lineRule="exact"/>
              <w:rPr>
                <w:rFonts w:ascii="宋体" w:hAnsi="宋体"/>
              </w:rPr>
            </w:pPr>
          </w:p>
        </w:tc>
        <w:tc>
          <w:tcPr>
            <w:tcW w:w="1260"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2160"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1440"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1800"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1151" w:type="dxa"/>
            <w:tcBorders>
              <w:top w:val="single" w:color="auto" w:sz="4" w:space="0"/>
              <w:left w:val="single" w:color="auto" w:sz="4" w:space="0"/>
              <w:bottom w:val="single" w:color="auto" w:sz="4" w:space="0"/>
            </w:tcBorders>
          </w:tcPr>
          <w:p>
            <w:pPr>
              <w:spacing w:line="420" w:lineRule="exact"/>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35" w:hRule="atLeast"/>
        </w:trPr>
        <w:tc>
          <w:tcPr>
            <w:tcW w:w="1260" w:type="dxa"/>
            <w:tcBorders>
              <w:top w:val="single" w:color="auto" w:sz="4" w:space="0"/>
              <w:bottom w:val="single" w:color="auto" w:sz="4" w:space="0"/>
              <w:right w:val="single" w:color="auto" w:sz="4" w:space="0"/>
            </w:tcBorders>
          </w:tcPr>
          <w:p>
            <w:pPr>
              <w:spacing w:line="420" w:lineRule="exact"/>
              <w:rPr>
                <w:rFonts w:ascii="宋体" w:hAnsi="宋体"/>
              </w:rPr>
            </w:pPr>
          </w:p>
        </w:tc>
        <w:tc>
          <w:tcPr>
            <w:tcW w:w="1260"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2160"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1440"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1800"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1151" w:type="dxa"/>
            <w:tcBorders>
              <w:top w:val="single" w:color="auto" w:sz="4" w:space="0"/>
              <w:left w:val="single" w:color="auto" w:sz="4" w:space="0"/>
              <w:bottom w:val="single" w:color="auto" w:sz="4" w:space="0"/>
            </w:tcBorders>
          </w:tcPr>
          <w:p>
            <w:pPr>
              <w:spacing w:line="420" w:lineRule="exact"/>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35" w:hRule="atLeast"/>
        </w:trPr>
        <w:tc>
          <w:tcPr>
            <w:tcW w:w="1260" w:type="dxa"/>
            <w:tcBorders>
              <w:top w:val="single" w:color="auto" w:sz="4" w:space="0"/>
              <w:bottom w:val="single" w:color="auto" w:sz="4" w:space="0"/>
              <w:right w:val="single" w:color="auto" w:sz="4" w:space="0"/>
            </w:tcBorders>
          </w:tcPr>
          <w:p>
            <w:pPr>
              <w:spacing w:line="420" w:lineRule="exact"/>
              <w:rPr>
                <w:rFonts w:ascii="宋体" w:hAnsi="宋体"/>
              </w:rPr>
            </w:pPr>
          </w:p>
        </w:tc>
        <w:tc>
          <w:tcPr>
            <w:tcW w:w="1260"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2160"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1440"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1800"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1151" w:type="dxa"/>
            <w:tcBorders>
              <w:top w:val="single" w:color="auto" w:sz="4" w:space="0"/>
              <w:left w:val="single" w:color="auto" w:sz="4" w:space="0"/>
              <w:bottom w:val="single" w:color="auto" w:sz="4" w:space="0"/>
            </w:tcBorders>
          </w:tcPr>
          <w:p>
            <w:pPr>
              <w:spacing w:line="420" w:lineRule="exact"/>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35" w:hRule="atLeast"/>
        </w:trPr>
        <w:tc>
          <w:tcPr>
            <w:tcW w:w="1260" w:type="dxa"/>
            <w:tcBorders>
              <w:top w:val="single" w:color="auto" w:sz="4" w:space="0"/>
              <w:bottom w:val="single" w:color="auto" w:sz="4" w:space="0"/>
              <w:right w:val="single" w:color="auto" w:sz="4" w:space="0"/>
            </w:tcBorders>
          </w:tcPr>
          <w:p>
            <w:pPr>
              <w:spacing w:line="420" w:lineRule="exact"/>
              <w:rPr>
                <w:rFonts w:ascii="宋体" w:hAnsi="宋体"/>
              </w:rPr>
            </w:pPr>
          </w:p>
        </w:tc>
        <w:tc>
          <w:tcPr>
            <w:tcW w:w="1260"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2160"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1440"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1800"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1151" w:type="dxa"/>
            <w:tcBorders>
              <w:top w:val="single" w:color="auto" w:sz="4" w:space="0"/>
              <w:left w:val="single" w:color="auto" w:sz="4" w:space="0"/>
              <w:bottom w:val="single" w:color="auto" w:sz="4" w:space="0"/>
            </w:tcBorders>
          </w:tcPr>
          <w:p>
            <w:pPr>
              <w:spacing w:line="420" w:lineRule="exact"/>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35" w:hRule="atLeast"/>
        </w:trPr>
        <w:tc>
          <w:tcPr>
            <w:tcW w:w="1260" w:type="dxa"/>
            <w:tcBorders>
              <w:top w:val="single" w:color="auto" w:sz="4" w:space="0"/>
              <w:bottom w:val="single" w:color="auto" w:sz="4" w:space="0"/>
              <w:right w:val="single" w:color="auto" w:sz="4" w:space="0"/>
            </w:tcBorders>
          </w:tcPr>
          <w:p>
            <w:pPr>
              <w:spacing w:line="420" w:lineRule="exact"/>
              <w:rPr>
                <w:rFonts w:ascii="宋体" w:hAnsi="宋体"/>
              </w:rPr>
            </w:pPr>
          </w:p>
        </w:tc>
        <w:tc>
          <w:tcPr>
            <w:tcW w:w="1260"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2160"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1440"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1800"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1151" w:type="dxa"/>
            <w:tcBorders>
              <w:top w:val="single" w:color="auto" w:sz="4" w:space="0"/>
              <w:left w:val="single" w:color="auto" w:sz="4" w:space="0"/>
              <w:bottom w:val="single" w:color="auto" w:sz="4" w:space="0"/>
            </w:tcBorders>
          </w:tcPr>
          <w:p>
            <w:pPr>
              <w:spacing w:line="420" w:lineRule="exact"/>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35" w:hRule="atLeast"/>
        </w:trPr>
        <w:tc>
          <w:tcPr>
            <w:tcW w:w="1260" w:type="dxa"/>
            <w:tcBorders>
              <w:top w:val="single" w:color="auto" w:sz="4" w:space="0"/>
              <w:bottom w:val="single" w:color="auto" w:sz="4" w:space="0"/>
              <w:right w:val="single" w:color="auto" w:sz="4" w:space="0"/>
            </w:tcBorders>
          </w:tcPr>
          <w:p>
            <w:pPr>
              <w:spacing w:line="420" w:lineRule="exact"/>
              <w:rPr>
                <w:rFonts w:ascii="宋体" w:hAnsi="宋体"/>
              </w:rPr>
            </w:pPr>
          </w:p>
        </w:tc>
        <w:tc>
          <w:tcPr>
            <w:tcW w:w="1260"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2160"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1440"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1800"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1151" w:type="dxa"/>
            <w:tcBorders>
              <w:top w:val="single" w:color="auto" w:sz="4" w:space="0"/>
              <w:left w:val="single" w:color="auto" w:sz="4" w:space="0"/>
              <w:bottom w:val="single" w:color="auto" w:sz="4" w:space="0"/>
            </w:tcBorders>
          </w:tcPr>
          <w:p>
            <w:pPr>
              <w:spacing w:line="420" w:lineRule="exact"/>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35" w:hRule="atLeast"/>
        </w:trPr>
        <w:tc>
          <w:tcPr>
            <w:tcW w:w="1260" w:type="dxa"/>
            <w:tcBorders>
              <w:top w:val="single" w:color="auto" w:sz="4" w:space="0"/>
              <w:bottom w:val="single" w:color="auto" w:sz="4" w:space="0"/>
              <w:right w:val="single" w:color="auto" w:sz="4" w:space="0"/>
            </w:tcBorders>
          </w:tcPr>
          <w:p>
            <w:pPr>
              <w:spacing w:line="420" w:lineRule="exact"/>
              <w:rPr>
                <w:rFonts w:ascii="宋体" w:hAnsi="宋体"/>
              </w:rPr>
            </w:pPr>
          </w:p>
        </w:tc>
        <w:tc>
          <w:tcPr>
            <w:tcW w:w="1260"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2160"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1440"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1800"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1151" w:type="dxa"/>
            <w:tcBorders>
              <w:top w:val="single" w:color="auto" w:sz="4" w:space="0"/>
              <w:left w:val="single" w:color="auto" w:sz="4" w:space="0"/>
              <w:bottom w:val="single" w:color="auto" w:sz="4" w:space="0"/>
            </w:tcBorders>
          </w:tcPr>
          <w:p>
            <w:pPr>
              <w:spacing w:line="420" w:lineRule="exact"/>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35" w:hRule="atLeast"/>
        </w:trPr>
        <w:tc>
          <w:tcPr>
            <w:tcW w:w="1260" w:type="dxa"/>
            <w:tcBorders>
              <w:top w:val="single" w:color="auto" w:sz="4" w:space="0"/>
              <w:bottom w:val="single" w:color="auto" w:sz="4" w:space="0"/>
              <w:right w:val="single" w:color="auto" w:sz="4" w:space="0"/>
            </w:tcBorders>
          </w:tcPr>
          <w:p>
            <w:pPr>
              <w:spacing w:line="420" w:lineRule="exact"/>
              <w:rPr>
                <w:rFonts w:ascii="宋体" w:hAnsi="宋体"/>
              </w:rPr>
            </w:pPr>
          </w:p>
        </w:tc>
        <w:tc>
          <w:tcPr>
            <w:tcW w:w="1260"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2160"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1440"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1800"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1151" w:type="dxa"/>
            <w:tcBorders>
              <w:top w:val="single" w:color="auto" w:sz="4" w:space="0"/>
              <w:left w:val="single" w:color="auto" w:sz="4" w:space="0"/>
              <w:bottom w:val="single" w:color="auto" w:sz="4" w:space="0"/>
            </w:tcBorders>
          </w:tcPr>
          <w:p>
            <w:pPr>
              <w:spacing w:line="420" w:lineRule="exact"/>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35" w:hRule="atLeast"/>
        </w:trPr>
        <w:tc>
          <w:tcPr>
            <w:tcW w:w="1260" w:type="dxa"/>
            <w:tcBorders>
              <w:top w:val="single" w:color="auto" w:sz="4" w:space="0"/>
              <w:bottom w:val="single" w:color="auto" w:sz="4" w:space="0"/>
              <w:right w:val="single" w:color="auto" w:sz="4" w:space="0"/>
            </w:tcBorders>
          </w:tcPr>
          <w:p>
            <w:pPr>
              <w:spacing w:line="420" w:lineRule="exact"/>
              <w:rPr>
                <w:rFonts w:ascii="宋体" w:hAnsi="宋体"/>
              </w:rPr>
            </w:pPr>
          </w:p>
        </w:tc>
        <w:tc>
          <w:tcPr>
            <w:tcW w:w="1260"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2160"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1440"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1800"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1151" w:type="dxa"/>
            <w:tcBorders>
              <w:top w:val="single" w:color="auto" w:sz="4" w:space="0"/>
              <w:left w:val="single" w:color="auto" w:sz="4" w:space="0"/>
              <w:bottom w:val="single" w:color="auto" w:sz="4" w:space="0"/>
            </w:tcBorders>
          </w:tcPr>
          <w:p>
            <w:pPr>
              <w:spacing w:line="420" w:lineRule="exact"/>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35" w:hRule="atLeast"/>
        </w:trPr>
        <w:tc>
          <w:tcPr>
            <w:tcW w:w="1260" w:type="dxa"/>
            <w:tcBorders>
              <w:top w:val="single" w:color="auto" w:sz="4" w:space="0"/>
              <w:bottom w:val="single" w:color="auto" w:sz="4" w:space="0"/>
              <w:right w:val="single" w:color="auto" w:sz="4" w:space="0"/>
            </w:tcBorders>
          </w:tcPr>
          <w:p>
            <w:pPr>
              <w:spacing w:line="420" w:lineRule="exact"/>
              <w:rPr>
                <w:rFonts w:ascii="宋体" w:hAnsi="宋体"/>
              </w:rPr>
            </w:pPr>
          </w:p>
        </w:tc>
        <w:tc>
          <w:tcPr>
            <w:tcW w:w="1260"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2160"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1440"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1800"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1151" w:type="dxa"/>
            <w:tcBorders>
              <w:top w:val="single" w:color="auto" w:sz="4" w:space="0"/>
              <w:left w:val="single" w:color="auto" w:sz="4" w:space="0"/>
              <w:bottom w:val="single" w:color="auto" w:sz="4" w:space="0"/>
            </w:tcBorders>
          </w:tcPr>
          <w:p>
            <w:pPr>
              <w:spacing w:line="420" w:lineRule="exact"/>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35" w:hRule="atLeast"/>
        </w:trPr>
        <w:tc>
          <w:tcPr>
            <w:tcW w:w="1260" w:type="dxa"/>
            <w:tcBorders>
              <w:top w:val="single" w:color="auto" w:sz="4" w:space="0"/>
              <w:bottom w:val="single" w:color="auto" w:sz="4" w:space="0"/>
              <w:right w:val="single" w:color="auto" w:sz="4" w:space="0"/>
            </w:tcBorders>
          </w:tcPr>
          <w:p>
            <w:pPr>
              <w:spacing w:line="420" w:lineRule="exact"/>
              <w:rPr>
                <w:rFonts w:ascii="宋体" w:hAnsi="宋体"/>
              </w:rPr>
            </w:pPr>
          </w:p>
        </w:tc>
        <w:tc>
          <w:tcPr>
            <w:tcW w:w="1260"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2160"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1440"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1800"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1151" w:type="dxa"/>
            <w:tcBorders>
              <w:top w:val="single" w:color="auto" w:sz="4" w:space="0"/>
              <w:left w:val="single" w:color="auto" w:sz="4" w:space="0"/>
              <w:bottom w:val="single" w:color="auto" w:sz="4" w:space="0"/>
            </w:tcBorders>
          </w:tcPr>
          <w:p>
            <w:pPr>
              <w:spacing w:line="420" w:lineRule="exact"/>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35" w:hRule="atLeast"/>
        </w:trPr>
        <w:tc>
          <w:tcPr>
            <w:tcW w:w="1260" w:type="dxa"/>
            <w:tcBorders>
              <w:top w:val="single" w:color="auto" w:sz="4" w:space="0"/>
              <w:bottom w:val="single" w:color="auto" w:sz="4" w:space="0"/>
              <w:right w:val="single" w:color="auto" w:sz="4" w:space="0"/>
            </w:tcBorders>
          </w:tcPr>
          <w:p>
            <w:pPr>
              <w:spacing w:line="420" w:lineRule="exact"/>
              <w:rPr>
                <w:rFonts w:ascii="宋体" w:hAnsi="宋体"/>
              </w:rPr>
            </w:pPr>
          </w:p>
        </w:tc>
        <w:tc>
          <w:tcPr>
            <w:tcW w:w="1260"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2160"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1440"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1800"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1151" w:type="dxa"/>
            <w:tcBorders>
              <w:top w:val="single" w:color="auto" w:sz="4" w:space="0"/>
              <w:left w:val="single" w:color="auto" w:sz="4" w:space="0"/>
              <w:bottom w:val="single" w:color="auto" w:sz="4" w:space="0"/>
            </w:tcBorders>
          </w:tcPr>
          <w:p>
            <w:pPr>
              <w:spacing w:line="420" w:lineRule="exact"/>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35" w:hRule="atLeast"/>
        </w:trPr>
        <w:tc>
          <w:tcPr>
            <w:tcW w:w="1260" w:type="dxa"/>
            <w:tcBorders>
              <w:top w:val="single" w:color="auto" w:sz="4" w:space="0"/>
              <w:bottom w:val="single" w:color="auto" w:sz="4" w:space="0"/>
              <w:right w:val="single" w:color="auto" w:sz="4" w:space="0"/>
            </w:tcBorders>
          </w:tcPr>
          <w:p>
            <w:pPr>
              <w:spacing w:line="420" w:lineRule="exact"/>
              <w:rPr>
                <w:rFonts w:ascii="宋体" w:hAnsi="宋体"/>
              </w:rPr>
            </w:pPr>
          </w:p>
        </w:tc>
        <w:tc>
          <w:tcPr>
            <w:tcW w:w="1260"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2160"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1440"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1800"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1151" w:type="dxa"/>
            <w:tcBorders>
              <w:top w:val="single" w:color="auto" w:sz="4" w:space="0"/>
              <w:left w:val="single" w:color="auto" w:sz="4" w:space="0"/>
              <w:bottom w:val="single" w:color="auto" w:sz="4" w:space="0"/>
            </w:tcBorders>
          </w:tcPr>
          <w:p>
            <w:pPr>
              <w:spacing w:line="420" w:lineRule="exact"/>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35" w:hRule="atLeast"/>
        </w:trPr>
        <w:tc>
          <w:tcPr>
            <w:tcW w:w="1260" w:type="dxa"/>
            <w:tcBorders>
              <w:top w:val="single" w:color="auto" w:sz="4" w:space="0"/>
              <w:bottom w:val="single" w:color="auto" w:sz="4" w:space="0"/>
              <w:right w:val="single" w:color="auto" w:sz="4" w:space="0"/>
            </w:tcBorders>
          </w:tcPr>
          <w:p>
            <w:pPr>
              <w:spacing w:line="420" w:lineRule="exact"/>
              <w:rPr>
                <w:rFonts w:ascii="宋体" w:hAnsi="宋体"/>
              </w:rPr>
            </w:pPr>
          </w:p>
        </w:tc>
        <w:tc>
          <w:tcPr>
            <w:tcW w:w="1260"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2160"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1440"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1800"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1151" w:type="dxa"/>
            <w:tcBorders>
              <w:top w:val="single" w:color="auto" w:sz="4" w:space="0"/>
              <w:left w:val="single" w:color="auto" w:sz="4" w:space="0"/>
              <w:bottom w:val="single" w:color="auto" w:sz="4" w:space="0"/>
            </w:tcBorders>
          </w:tcPr>
          <w:p>
            <w:pPr>
              <w:spacing w:line="420" w:lineRule="exact"/>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35" w:hRule="atLeast"/>
        </w:trPr>
        <w:tc>
          <w:tcPr>
            <w:tcW w:w="1260" w:type="dxa"/>
            <w:tcBorders>
              <w:top w:val="single" w:color="auto" w:sz="4" w:space="0"/>
              <w:bottom w:val="single" w:color="auto" w:sz="4" w:space="0"/>
              <w:right w:val="single" w:color="auto" w:sz="4" w:space="0"/>
            </w:tcBorders>
          </w:tcPr>
          <w:p>
            <w:pPr>
              <w:spacing w:line="420" w:lineRule="exact"/>
              <w:rPr>
                <w:rFonts w:ascii="宋体" w:hAnsi="宋体"/>
              </w:rPr>
            </w:pPr>
          </w:p>
        </w:tc>
        <w:tc>
          <w:tcPr>
            <w:tcW w:w="1260"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2160"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1440"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1800"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1151" w:type="dxa"/>
            <w:tcBorders>
              <w:top w:val="single" w:color="auto" w:sz="4" w:space="0"/>
              <w:left w:val="single" w:color="auto" w:sz="4" w:space="0"/>
              <w:bottom w:val="single" w:color="auto" w:sz="4" w:space="0"/>
            </w:tcBorders>
          </w:tcPr>
          <w:p>
            <w:pPr>
              <w:spacing w:line="420" w:lineRule="exact"/>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35" w:hRule="atLeast"/>
        </w:trPr>
        <w:tc>
          <w:tcPr>
            <w:tcW w:w="1260" w:type="dxa"/>
            <w:tcBorders>
              <w:top w:val="single" w:color="auto" w:sz="4" w:space="0"/>
              <w:bottom w:val="single" w:color="auto" w:sz="4" w:space="0"/>
              <w:right w:val="single" w:color="auto" w:sz="4" w:space="0"/>
            </w:tcBorders>
          </w:tcPr>
          <w:p>
            <w:pPr>
              <w:spacing w:line="420" w:lineRule="exact"/>
              <w:rPr>
                <w:rFonts w:ascii="宋体" w:hAnsi="宋体"/>
              </w:rPr>
            </w:pPr>
          </w:p>
        </w:tc>
        <w:tc>
          <w:tcPr>
            <w:tcW w:w="1260"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2160"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1440"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1800"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1151" w:type="dxa"/>
            <w:tcBorders>
              <w:top w:val="single" w:color="auto" w:sz="4" w:space="0"/>
              <w:left w:val="single" w:color="auto" w:sz="4" w:space="0"/>
              <w:bottom w:val="single" w:color="auto" w:sz="4" w:space="0"/>
            </w:tcBorders>
          </w:tcPr>
          <w:p>
            <w:pPr>
              <w:spacing w:line="420" w:lineRule="exact"/>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35" w:hRule="atLeast"/>
        </w:trPr>
        <w:tc>
          <w:tcPr>
            <w:tcW w:w="1260" w:type="dxa"/>
            <w:tcBorders>
              <w:top w:val="single" w:color="auto" w:sz="4" w:space="0"/>
              <w:bottom w:val="single" w:color="auto" w:sz="4" w:space="0"/>
              <w:right w:val="single" w:color="auto" w:sz="4" w:space="0"/>
            </w:tcBorders>
          </w:tcPr>
          <w:p>
            <w:pPr>
              <w:spacing w:line="420" w:lineRule="exact"/>
              <w:rPr>
                <w:rFonts w:ascii="宋体" w:hAnsi="宋体"/>
              </w:rPr>
            </w:pPr>
          </w:p>
        </w:tc>
        <w:tc>
          <w:tcPr>
            <w:tcW w:w="1260"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2160"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1440"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1800"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1151" w:type="dxa"/>
            <w:tcBorders>
              <w:top w:val="single" w:color="auto" w:sz="4" w:space="0"/>
              <w:left w:val="single" w:color="auto" w:sz="4" w:space="0"/>
              <w:bottom w:val="single" w:color="auto" w:sz="4" w:space="0"/>
            </w:tcBorders>
          </w:tcPr>
          <w:p>
            <w:pPr>
              <w:spacing w:line="420" w:lineRule="exact"/>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35" w:hRule="atLeast"/>
        </w:trPr>
        <w:tc>
          <w:tcPr>
            <w:tcW w:w="1260" w:type="dxa"/>
            <w:tcBorders>
              <w:top w:val="single" w:color="auto" w:sz="4" w:space="0"/>
              <w:bottom w:val="single" w:color="auto" w:sz="4" w:space="0"/>
              <w:right w:val="single" w:color="auto" w:sz="4" w:space="0"/>
            </w:tcBorders>
          </w:tcPr>
          <w:p>
            <w:pPr>
              <w:spacing w:line="420" w:lineRule="exact"/>
              <w:rPr>
                <w:rFonts w:ascii="宋体" w:hAnsi="宋体"/>
              </w:rPr>
            </w:pPr>
          </w:p>
        </w:tc>
        <w:tc>
          <w:tcPr>
            <w:tcW w:w="1260"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2160"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1440"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1800"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1151" w:type="dxa"/>
            <w:tcBorders>
              <w:top w:val="single" w:color="auto" w:sz="4" w:space="0"/>
              <w:left w:val="single" w:color="auto" w:sz="4" w:space="0"/>
              <w:bottom w:val="single" w:color="auto" w:sz="4" w:space="0"/>
            </w:tcBorders>
          </w:tcPr>
          <w:p>
            <w:pPr>
              <w:spacing w:line="420" w:lineRule="exact"/>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35" w:hRule="atLeast"/>
        </w:trPr>
        <w:tc>
          <w:tcPr>
            <w:tcW w:w="1260" w:type="dxa"/>
            <w:tcBorders>
              <w:top w:val="single" w:color="auto" w:sz="4" w:space="0"/>
              <w:bottom w:val="single" w:color="auto" w:sz="4" w:space="0"/>
              <w:right w:val="single" w:color="auto" w:sz="4" w:space="0"/>
            </w:tcBorders>
          </w:tcPr>
          <w:p>
            <w:pPr>
              <w:spacing w:line="420" w:lineRule="exact"/>
              <w:rPr>
                <w:rFonts w:ascii="宋体" w:hAnsi="宋体"/>
              </w:rPr>
            </w:pPr>
          </w:p>
        </w:tc>
        <w:tc>
          <w:tcPr>
            <w:tcW w:w="1260"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2160"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1440"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1800"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1151" w:type="dxa"/>
            <w:tcBorders>
              <w:top w:val="single" w:color="auto" w:sz="4" w:space="0"/>
              <w:left w:val="single" w:color="auto" w:sz="4" w:space="0"/>
              <w:bottom w:val="single" w:color="auto" w:sz="4" w:space="0"/>
            </w:tcBorders>
          </w:tcPr>
          <w:p>
            <w:pPr>
              <w:spacing w:line="420" w:lineRule="exact"/>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35" w:hRule="atLeast"/>
        </w:trPr>
        <w:tc>
          <w:tcPr>
            <w:tcW w:w="1260" w:type="dxa"/>
            <w:tcBorders>
              <w:top w:val="single" w:color="auto" w:sz="4" w:space="0"/>
              <w:bottom w:val="single" w:color="auto" w:sz="4" w:space="0"/>
              <w:right w:val="single" w:color="auto" w:sz="4" w:space="0"/>
            </w:tcBorders>
          </w:tcPr>
          <w:p>
            <w:pPr>
              <w:spacing w:line="420" w:lineRule="exact"/>
              <w:rPr>
                <w:rFonts w:ascii="宋体" w:hAnsi="宋体"/>
              </w:rPr>
            </w:pPr>
          </w:p>
        </w:tc>
        <w:tc>
          <w:tcPr>
            <w:tcW w:w="1260"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2160"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1440"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1800"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rPr>
            </w:pPr>
          </w:p>
        </w:tc>
        <w:tc>
          <w:tcPr>
            <w:tcW w:w="1151" w:type="dxa"/>
            <w:tcBorders>
              <w:top w:val="single" w:color="auto" w:sz="4" w:space="0"/>
              <w:left w:val="single" w:color="auto" w:sz="4" w:space="0"/>
              <w:bottom w:val="single" w:color="auto" w:sz="4" w:space="0"/>
            </w:tcBorders>
          </w:tcPr>
          <w:p>
            <w:pPr>
              <w:spacing w:line="420" w:lineRule="exact"/>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35" w:hRule="atLeast"/>
        </w:trPr>
        <w:tc>
          <w:tcPr>
            <w:tcW w:w="1260" w:type="dxa"/>
            <w:tcBorders>
              <w:top w:val="single" w:color="auto" w:sz="4" w:space="0"/>
              <w:right w:val="single" w:color="auto" w:sz="4" w:space="0"/>
            </w:tcBorders>
          </w:tcPr>
          <w:p>
            <w:pPr>
              <w:spacing w:line="420" w:lineRule="exact"/>
              <w:rPr>
                <w:rFonts w:ascii="宋体" w:hAnsi="宋体"/>
              </w:rPr>
            </w:pPr>
          </w:p>
        </w:tc>
        <w:tc>
          <w:tcPr>
            <w:tcW w:w="1260" w:type="dxa"/>
            <w:tcBorders>
              <w:top w:val="single" w:color="auto" w:sz="4" w:space="0"/>
              <w:left w:val="single" w:color="auto" w:sz="4" w:space="0"/>
              <w:right w:val="single" w:color="auto" w:sz="4" w:space="0"/>
            </w:tcBorders>
          </w:tcPr>
          <w:p>
            <w:pPr>
              <w:spacing w:line="420" w:lineRule="exact"/>
              <w:rPr>
                <w:rFonts w:ascii="宋体" w:hAnsi="宋体"/>
              </w:rPr>
            </w:pPr>
          </w:p>
        </w:tc>
        <w:tc>
          <w:tcPr>
            <w:tcW w:w="2160" w:type="dxa"/>
            <w:tcBorders>
              <w:top w:val="single" w:color="auto" w:sz="4" w:space="0"/>
              <w:left w:val="single" w:color="auto" w:sz="4" w:space="0"/>
              <w:right w:val="single" w:color="auto" w:sz="4" w:space="0"/>
            </w:tcBorders>
          </w:tcPr>
          <w:p>
            <w:pPr>
              <w:spacing w:line="420" w:lineRule="exact"/>
              <w:rPr>
                <w:rFonts w:ascii="宋体" w:hAnsi="宋体"/>
              </w:rPr>
            </w:pPr>
          </w:p>
        </w:tc>
        <w:tc>
          <w:tcPr>
            <w:tcW w:w="1440" w:type="dxa"/>
            <w:tcBorders>
              <w:top w:val="single" w:color="auto" w:sz="4" w:space="0"/>
              <w:left w:val="single" w:color="auto" w:sz="4" w:space="0"/>
              <w:right w:val="single" w:color="auto" w:sz="4" w:space="0"/>
            </w:tcBorders>
          </w:tcPr>
          <w:p>
            <w:pPr>
              <w:spacing w:line="420" w:lineRule="exact"/>
              <w:rPr>
                <w:rFonts w:ascii="宋体" w:hAnsi="宋体"/>
              </w:rPr>
            </w:pPr>
          </w:p>
        </w:tc>
        <w:tc>
          <w:tcPr>
            <w:tcW w:w="1800" w:type="dxa"/>
            <w:tcBorders>
              <w:top w:val="single" w:color="auto" w:sz="4" w:space="0"/>
              <w:left w:val="single" w:color="auto" w:sz="4" w:space="0"/>
              <w:right w:val="single" w:color="auto" w:sz="4" w:space="0"/>
            </w:tcBorders>
          </w:tcPr>
          <w:p>
            <w:pPr>
              <w:spacing w:line="420" w:lineRule="exact"/>
              <w:rPr>
                <w:rFonts w:ascii="宋体" w:hAnsi="宋体"/>
              </w:rPr>
            </w:pPr>
          </w:p>
        </w:tc>
        <w:tc>
          <w:tcPr>
            <w:tcW w:w="1151" w:type="dxa"/>
            <w:tcBorders>
              <w:top w:val="single" w:color="auto" w:sz="4" w:space="0"/>
              <w:left w:val="single" w:color="auto" w:sz="4" w:space="0"/>
            </w:tcBorders>
          </w:tcPr>
          <w:p>
            <w:pPr>
              <w:spacing w:line="420" w:lineRule="exact"/>
              <w:rPr>
                <w:rFonts w:ascii="宋体" w:hAnsi="宋体"/>
              </w:rPr>
            </w:pPr>
          </w:p>
        </w:tc>
      </w:tr>
    </w:tbl>
    <w:p>
      <w:pPr>
        <w:pStyle w:val="6"/>
        <w:spacing w:before="0" w:after="360" w:line="260" w:lineRule="exact"/>
        <w:rPr>
          <w:rFonts w:ascii="黑体" w:hAnsi="黑体" w:eastAsia="黑体"/>
          <w:b w:val="0"/>
          <w:bCs w:val="0"/>
          <w:sz w:val="24"/>
          <w:szCs w:val="24"/>
        </w:rPr>
      </w:pPr>
      <w:bookmarkStart w:id="7306" w:name="_Toc233436031"/>
      <w:bookmarkStart w:id="7307" w:name="_Toc15329"/>
      <w:bookmarkStart w:id="7308" w:name="_Toc233423373"/>
      <w:bookmarkStart w:id="7309" w:name="_Toc282779881"/>
      <w:bookmarkStart w:id="7310" w:name="_Toc4814"/>
      <w:bookmarkStart w:id="7311" w:name="_Toc233290488"/>
      <w:bookmarkStart w:id="7312" w:name="_Toc29825"/>
      <w:bookmarkStart w:id="7313" w:name="_Toc288547025"/>
      <w:bookmarkStart w:id="7314" w:name="_Toc288491900"/>
      <w:bookmarkStart w:id="7315" w:name="_Toc282787836"/>
      <w:bookmarkStart w:id="7316" w:name="_Toc13023"/>
      <w:bookmarkStart w:id="7317" w:name="_Toc32160"/>
      <w:bookmarkStart w:id="7318" w:name="_Toc5563"/>
      <w:bookmarkStart w:id="7319" w:name="_Toc2425"/>
      <w:bookmarkStart w:id="7320" w:name="_Toc31955"/>
      <w:bookmarkStart w:id="7321" w:name="_Toc1391"/>
      <w:bookmarkStart w:id="7322" w:name="_Toc26933"/>
      <w:bookmarkStart w:id="7323" w:name="_Toc8681"/>
      <w:bookmarkStart w:id="7324" w:name="_Toc28326"/>
      <w:bookmarkStart w:id="7325" w:name="_Toc282779372"/>
      <w:bookmarkStart w:id="7326" w:name="_Toc9715"/>
      <w:bookmarkStart w:id="7327" w:name="_Toc23520"/>
      <w:bookmarkStart w:id="7328" w:name="_Toc15259"/>
      <w:bookmarkStart w:id="7329" w:name="_Toc28081"/>
      <w:bookmarkStart w:id="7330" w:name="_Toc233429890"/>
      <w:bookmarkStart w:id="7331" w:name="_Toc6183"/>
      <w:bookmarkStart w:id="7332" w:name="_Toc283794569"/>
      <w:bookmarkStart w:id="7333" w:name="_Toc233215043"/>
      <w:bookmarkStart w:id="7334" w:name="_Toc24212"/>
      <w:bookmarkStart w:id="7335" w:name="_Toc287853722"/>
      <w:bookmarkStart w:id="7336" w:name="_Toc252720329"/>
      <w:r>
        <w:rPr>
          <w:rFonts w:hint="eastAsia" w:ascii="黑体" w:hAnsi="黑体" w:eastAsia="黑体"/>
          <w:b w:val="0"/>
          <w:bCs w:val="0"/>
          <w:sz w:val="24"/>
          <w:szCs w:val="24"/>
        </w:rPr>
        <w:t>附表六  合同用款估算表</w:t>
      </w:r>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p>
    <w:tbl>
      <w:tblPr>
        <w:tblStyle w:val="20"/>
        <w:tblW w:w="9140"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27"/>
        <w:gridCol w:w="1634"/>
        <w:gridCol w:w="1673"/>
        <w:gridCol w:w="1673"/>
        <w:gridCol w:w="1673"/>
        <w:gridCol w:w="17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3" w:hRule="atLeast"/>
        </w:trPr>
        <w:tc>
          <w:tcPr>
            <w:tcW w:w="2361" w:type="dxa"/>
            <w:gridSpan w:val="2"/>
            <w:vMerge w:val="restart"/>
            <w:vAlign w:val="center"/>
          </w:tcPr>
          <w:p>
            <w:pPr>
              <w:jc w:val="center"/>
            </w:pPr>
            <w:r>
              <w:rPr>
                <w:rFonts w:hAnsi="宋体"/>
              </w:rPr>
              <w:t>从开工月算起的时间</w:t>
            </w:r>
          </w:p>
          <w:p>
            <w:pPr>
              <w:jc w:val="center"/>
            </w:pPr>
            <w:r>
              <w:rPr>
                <w:rFonts w:hAnsi="宋体"/>
              </w:rPr>
              <w:t>（月）</w:t>
            </w:r>
          </w:p>
        </w:tc>
        <w:tc>
          <w:tcPr>
            <w:tcW w:w="6779" w:type="dxa"/>
            <w:gridSpan w:val="4"/>
            <w:vAlign w:val="center"/>
          </w:tcPr>
          <w:p>
            <w:pPr>
              <w:jc w:val="center"/>
            </w:pPr>
            <w:r>
              <w:rPr>
                <w:rFonts w:hAnsi="宋体"/>
              </w:rPr>
              <w:t>投标人的估算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3" w:hRule="atLeast"/>
        </w:trPr>
        <w:tc>
          <w:tcPr>
            <w:tcW w:w="2361" w:type="dxa"/>
            <w:gridSpan w:val="2"/>
            <w:vMerge w:val="continue"/>
            <w:vAlign w:val="center"/>
          </w:tcPr>
          <w:p>
            <w:pPr>
              <w:jc w:val="center"/>
            </w:pPr>
          </w:p>
        </w:tc>
        <w:tc>
          <w:tcPr>
            <w:tcW w:w="3346" w:type="dxa"/>
            <w:gridSpan w:val="2"/>
            <w:vAlign w:val="center"/>
          </w:tcPr>
          <w:p>
            <w:pPr>
              <w:jc w:val="center"/>
            </w:pPr>
            <w:r>
              <w:rPr>
                <w:rFonts w:hAnsi="宋体"/>
              </w:rPr>
              <w:t>分期</w:t>
            </w:r>
          </w:p>
        </w:tc>
        <w:tc>
          <w:tcPr>
            <w:tcW w:w="3433" w:type="dxa"/>
            <w:gridSpan w:val="2"/>
            <w:vAlign w:val="center"/>
          </w:tcPr>
          <w:p>
            <w:pPr>
              <w:jc w:val="center"/>
            </w:pPr>
            <w:r>
              <w:rPr>
                <w:rFonts w:hAnsi="宋体"/>
              </w:rPr>
              <w:t>累计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3" w:hRule="atLeast"/>
        </w:trPr>
        <w:tc>
          <w:tcPr>
            <w:tcW w:w="2361" w:type="dxa"/>
            <w:gridSpan w:val="2"/>
            <w:vMerge w:val="continue"/>
            <w:vAlign w:val="center"/>
          </w:tcPr>
          <w:p>
            <w:pPr>
              <w:jc w:val="center"/>
            </w:pPr>
          </w:p>
        </w:tc>
        <w:tc>
          <w:tcPr>
            <w:tcW w:w="1673" w:type="dxa"/>
            <w:vAlign w:val="center"/>
          </w:tcPr>
          <w:p>
            <w:pPr>
              <w:jc w:val="center"/>
            </w:pPr>
            <w:r>
              <w:rPr>
                <w:rFonts w:hAnsi="宋体"/>
              </w:rPr>
              <w:t>金额（元）</w:t>
            </w:r>
          </w:p>
        </w:tc>
        <w:tc>
          <w:tcPr>
            <w:tcW w:w="1673" w:type="dxa"/>
            <w:vAlign w:val="center"/>
          </w:tcPr>
          <w:p>
            <w:pPr>
              <w:jc w:val="center"/>
            </w:pPr>
            <w:r>
              <w:rPr>
                <w:rFonts w:hAnsi="宋体"/>
              </w:rPr>
              <w:t>（</w:t>
            </w:r>
            <w:r>
              <w:t>%</w:t>
            </w:r>
            <w:r>
              <w:rPr>
                <w:rFonts w:hAnsi="宋体"/>
              </w:rPr>
              <w:t>）</w:t>
            </w:r>
          </w:p>
        </w:tc>
        <w:tc>
          <w:tcPr>
            <w:tcW w:w="1673" w:type="dxa"/>
            <w:vAlign w:val="center"/>
          </w:tcPr>
          <w:p>
            <w:pPr>
              <w:jc w:val="center"/>
            </w:pPr>
            <w:r>
              <w:rPr>
                <w:rFonts w:hAnsi="宋体"/>
              </w:rPr>
              <w:t>金额（元）</w:t>
            </w:r>
          </w:p>
        </w:tc>
        <w:tc>
          <w:tcPr>
            <w:tcW w:w="1760" w:type="dxa"/>
            <w:vAlign w:val="center"/>
          </w:tcPr>
          <w:p>
            <w:pPr>
              <w:jc w:val="center"/>
            </w:pPr>
            <w:r>
              <w:rPr>
                <w:rFonts w:hAnsi="宋体"/>
              </w:rPr>
              <w:t>（</w:t>
            </w:r>
            <w:r>
              <w:t>%</w:t>
            </w:r>
            <w:r>
              <w:rPr>
                <w:rFonts w:hAnsi="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8" w:hRule="atLeast"/>
        </w:trPr>
        <w:tc>
          <w:tcPr>
            <w:tcW w:w="2361" w:type="dxa"/>
            <w:gridSpan w:val="2"/>
            <w:vAlign w:val="center"/>
          </w:tcPr>
          <w:p>
            <w:pPr>
              <w:jc w:val="center"/>
            </w:pPr>
            <w:r>
              <w:rPr>
                <w:rFonts w:hAnsi="宋体"/>
              </w:rPr>
              <w:t>第一次开工预付款</w:t>
            </w:r>
          </w:p>
        </w:tc>
        <w:tc>
          <w:tcPr>
            <w:tcW w:w="1673" w:type="dxa"/>
          </w:tcPr>
          <w:p>
            <w:pPr>
              <w:rPr>
                <w:rFonts w:ascii="宋体" w:hAnsi="宋体"/>
              </w:rPr>
            </w:pPr>
          </w:p>
        </w:tc>
        <w:tc>
          <w:tcPr>
            <w:tcW w:w="1673" w:type="dxa"/>
          </w:tcPr>
          <w:p>
            <w:pPr>
              <w:rPr>
                <w:rFonts w:ascii="宋体" w:hAnsi="宋体"/>
              </w:rPr>
            </w:pPr>
          </w:p>
        </w:tc>
        <w:tc>
          <w:tcPr>
            <w:tcW w:w="1673" w:type="dxa"/>
          </w:tcPr>
          <w:p>
            <w:pPr>
              <w:rPr>
                <w:rFonts w:ascii="宋体" w:hAnsi="宋体"/>
              </w:rPr>
            </w:pPr>
          </w:p>
        </w:tc>
        <w:tc>
          <w:tcPr>
            <w:tcW w:w="1760" w:type="dxa"/>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2" w:hRule="atLeast"/>
        </w:trPr>
        <w:tc>
          <w:tcPr>
            <w:tcW w:w="2361" w:type="dxa"/>
            <w:gridSpan w:val="2"/>
          </w:tcPr>
          <w:p>
            <w:pPr>
              <w:pStyle w:val="45"/>
              <w:spacing w:before="62"/>
              <w:ind w:left="203" w:right="199"/>
              <w:jc w:val="center"/>
            </w:pPr>
            <w:r>
              <w:t>1～3</w:t>
            </w:r>
          </w:p>
        </w:tc>
        <w:tc>
          <w:tcPr>
            <w:tcW w:w="1673" w:type="dxa"/>
          </w:tcPr>
          <w:p>
            <w:pPr>
              <w:rPr>
                <w:rFonts w:ascii="宋体" w:hAnsi="宋体"/>
              </w:rPr>
            </w:pPr>
          </w:p>
        </w:tc>
        <w:tc>
          <w:tcPr>
            <w:tcW w:w="1673" w:type="dxa"/>
          </w:tcPr>
          <w:p>
            <w:pPr>
              <w:rPr>
                <w:rFonts w:ascii="宋体" w:hAnsi="宋体"/>
              </w:rPr>
            </w:pPr>
          </w:p>
        </w:tc>
        <w:tc>
          <w:tcPr>
            <w:tcW w:w="1673" w:type="dxa"/>
          </w:tcPr>
          <w:p>
            <w:pPr>
              <w:rPr>
                <w:rFonts w:ascii="宋体" w:hAnsi="宋体"/>
              </w:rPr>
            </w:pPr>
          </w:p>
        </w:tc>
        <w:tc>
          <w:tcPr>
            <w:tcW w:w="1760" w:type="dxa"/>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2" w:hRule="atLeast"/>
        </w:trPr>
        <w:tc>
          <w:tcPr>
            <w:tcW w:w="2361" w:type="dxa"/>
            <w:gridSpan w:val="2"/>
          </w:tcPr>
          <w:p>
            <w:pPr>
              <w:pStyle w:val="45"/>
              <w:spacing w:before="62"/>
              <w:ind w:left="203" w:right="199"/>
              <w:jc w:val="center"/>
            </w:pPr>
            <w:r>
              <w:t>4～6</w:t>
            </w:r>
          </w:p>
        </w:tc>
        <w:tc>
          <w:tcPr>
            <w:tcW w:w="1673" w:type="dxa"/>
          </w:tcPr>
          <w:p>
            <w:pPr>
              <w:rPr>
                <w:rFonts w:ascii="宋体" w:hAnsi="宋体"/>
              </w:rPr>
            </w:pPr>
          </w:p>
        </w:tc>
        <w:tc>
          <w:tcPr>
            <w:tcW w:w="1673" w:type="dxa"/>
          </w:tcPr>
          <w:p>
            <w:pPr>
              <w:rPr>
                <w:rFonts w:ascii="宋体" w:hAnsi="宋体"/>
              </w:rPr>
            </w:pPr>
          </w:p>
        </w:tc>
        <w:tc>
          <w:tcPr>
            <w:tcW w:w="1673" w:type="dxa"/>
          </w:tcPr>
          <w:p>
            <w:pPr>
              <w:rPr>
                <w:rFonts w:ascii="宋体" w:hAnsi="宋体"/>
              </w:rPr>
            </w:pPr>
          </w:p>
        </w:tc>
        <w:tc>
          <w:tcPr>
            <w:tcW w:w="1760" w:type="dxa"/>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2" w:hRule="atLeast"/>
        </w:trPr>
        <w:tc>
          <w:tcPr>
            <w:tcW w:w="2361" w:type="dxa"/>
            <w:gridSpan w:val="2"/>
          </w:tcPr>
          <w:p>
            <w:pPr>
              <w:pStyle w:val="45"/>
              <w:spacing w:before="62"/>
              <w:ind w:left="203" w:right="199"/>
              <w:jc w:val="center"/>
            </w:pPr>
            <w:r>
              <w:t>……</w:t>
            </w:r>
          </w:p>
        </w:tc>
        <w:tc>
          <w:tcPr>
            <w:tcW w:w="1673" w:type="dxa"/>
          </w:tcPr>
          <w:p>
            <w:pPr>
              <w:rPr>
                <w:rFonts w:ascii="宋体" w:hAnsi="宋体"/>
              </w:rPr>
            </w:pPr>
          </w:p>
        </w:tc>
        <w:tc>
          <w:tcPr>
            <w:tcW w:w="1673" w:type="dxa"/>
          </w:tcPr>
          <w:p>
            <w:pPr>
              <w:rPr>
                <w:rFonts w:ascii="宋体" w:hAnsi="宋体"/>
              </w:rPr>
            </w:pPr>
          </w:p>
        </w:tc>
        <w:tc>
          <w:tcPr>
            <w:tcW w:w="1673" w:type="dxa"/>
          </w:tcPr>
          <w:p>
            <w:pPr>
              <w:rPr>
                <w:rFonts w:ascii="宋体" w:hAnsi="宋体"/>
              </w:rPr>
            </w:pPr>
          </w:p>
        </w:tc>
        <w:tc>
          <w:tcPr>
            <w:tcW w:w="1760" w:type="dxa"/>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2" w:hRule="atLeast"/>
        </w:trPr>
        <w:tc>
          <w:tcPr>
            <w:tcW w:w="2361" w:type="dxa"/>
            <w:gridSpan w:val="2"/>
          </w:tcPr>
          <w:p>
            <w:pPr>
              <w:pStyle w:val="45"/>
              <w:spacing w:before="62"/>
              <w:ind w:left="203" w:right="199"/>
              <w:jc w:val="center"/>
            </w:pPr>
          </w:p>
        </w:tc>
        <w:tc>
          <w:tcPr>
            <w:tcW w:w="1673" w:type="dxa"/>
          </w:tcPr>
          <w:p>
            <w:pPr>
              <w:rPr>
                <w:rFonts w:ascii="宋体" w:hAnsi="宋体"/>
              </w:rPr>
            </w:pPr>
          </w:p>
        </w:tc>
        <w:tc>
          <w:tcPr>
            <w:tcW w:w="1673" w:type="dxa"/>
          </w:tcPr>
          <w:p>
            <w:pPr>
              <w:rPr>
                <w:rFonts w:ascii="宋体" w:hAnsi="宋体"/>
              </w:rPr>
            </w:pPr>
          </w:p>
        </w:tc>
        <w:tc>
          <w:tcPr>
            <w:tcW w:w="1673" w:type="dxa"/>
          </w:tcPr>
          <w:p>
            <w:pPr>
              <w:rPr>
                <w:rFonts w:ascii="宋体" w:hAnsi="宋体"/>
              </w:rPr>
            </w:pPr>
          </w:p>
        </w:tc>
        <w:tc>
          <w:tcPr>
            <w:tcW w:w="1760" w:type="dxa"/>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2" w:hRule="atLeast"/>
        </w:trPr>
        <w:tc>
          <w:tcPr>
            <w:tcW w:w="2361" w:type="dxa"/>
            <w:gridSpan w:val="2"/>
          </w:tcPr>
          <w:p>
            <w:pPr>
              <w:pStyle w:val="45"/>
              <w:spacing w:before="62"/>
              <w:ind w:left="203" w:right="199"/>
              <w:jc w:val="center"/>
            </w:pPr>
            <w:r>
              <w:t>……</w:t>
            </w:r>
          </w:p>
        </w:tc>
        <w:tc>
          <w:tcPr>
            <w:tcW w:w="1673" w:type="dxa"/>
          </w:tcPr>
          <w:p>
            <w:pPr>
              <w:rPr>
                <w:rFonts w:ascii="宋体" w:hAnsi="宋体"/>
              </w:rPr>
            </w:pPr>
          </w:p>
        </w:tc>
        <w:tc>
          <w:tcPr>
            <w:tcW w:w="1673" w:type="dxa"/>
          </w:tcPr>
          <w:p>
            <w:pPr>
              <w:rPr>
                <w:rFonts w:ascii="宋体" w:hAnsi="宋体"/>
              </w:rPr>
            </w:pPr>
          </w:p>
        </w:tc>
        <w:tc>
          <w:tcPr>
            <w:tcW w:w="1673" w:type="dxa"/>
          </w:tcPr>
          <w:p>
            <w:pPr>
              <w:rPr>
                <w:rFonts w:ascii="宋体" w:hAnsi="宋体"/>
              </w:rPr>
            </w:pPr>
          </w:p>
        </w:tc>
        <w:tc>
          <w:tcPr>
            <w:tcW w:w="1760" w:type="dxa"/>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2" w:hRule="atLeast"/>
        </w:trPr>
        <w:tc>
          <w:tcPr>
            <w:tcW w:w="2361" w:type="dxa"/>
            <w:gridSpan w:val="2"/>
          </w:tcPr>
          <w:p>
            <w:pPr>
              <w:pStyle w:val="45"/>
              <w:spacing w:before="62"/>
              <w:ind w:left="203" w:right="199"/>
              <w:jc w:val="center"/>
            </w:pPr>
          </w:p>
        </w:tc>
        <w:tc>
          <w:tcPr>
            <w:tcW w:w="1673" w:type="dxa"/>
          </w:tcPr>
          <w:p>
            <w:pPr>
              <w:rPr>
                <w:rFonts w:ascii="宋体" w:hAnsi="宋体"/>
              </w:rPr>
            </w:pPr>
          </w:p>
        </w:tc>
        <w:tc>
          <w:tcPr>
            <w:tcW w:w="1673" w:type="dxa"/>
          </w:tcPr>
          <w:p>
            <w:pPr>
              <w:rPr>
                <w:rFonts w:ascii="宋体" w:hAnsi="宋体"/>
              </w:rPr>
            </w:pPr>
          </w:p>
        </w:tc>
        <w:tc>
          <w:tcPr>
            <w:tcW w:w="1673" w:type="dxa"/>
          </w:tcPr>
          <w:p>
            <w:pPr>
              <w:rPr>
                <w:rFonts w:ascii="宋体" w:hAnsi="宋体"/>
              </w:rPr>
            </w:pPr>
          </w:p>
        </w:tc>
        <w:tc>
          <w:tcPr>
            <w:tcW w:w="1760" w:type="dxa"/>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2" w:hRule="atLeast"/>
        </w:trPr>
        <w:tc>
          <w:tcPr>
            <w:tcW w:w="2361" w:type="dxa"/>
            <w:gridSpan w:val="2"/>
          </w:tcPr>
          <w:p>
            <w:pPr>
              <w:pStyle w:val="45"/>
              <w:spacing w:before="62"/>
              <w:ind w:left="203" w:right="199"/>
              <w:jc w:val="center"/>
            </w:pPr>
          </w:p>
        </w:tc>
        <w:tc>
          <w:tcPr>
            <w:tcW w:w="1673" w:type="dxa"/>
          </w:tcPr>
          <w:p>
            <w:pPr>
              <w:rPr>
                <w:rFonts w:ascii="宋体" w:hAnsi="宋体"/>
              </w:rPr>
            </w:pPr>
          </w:p>
        </w:tc>
        <w:tc>
          <w:tcPr>
            <w:tcW w:w="1673" w:type="dxa"/>
          </w:tcPr>
          <w:p>
            <w:pPr>
              <w:rPr>
                <w:rFonts w:ascii="宋体" w:hAnsi="宋体"/>
              </w:rPr>
            </w:pPr>
          </w:p>
        </w:tc>
        <w:tc>
          <w:tcPr>
            <w:tcW w:w="1673" w:type="dxa"/>
          </w:tcPr>
          <w:p>
            <w:pPr>
              <w:rPr>
                <w:rFonts w:ascii="宋体" w:hAnsi="宋体"/>
              </w:rPr>
            </w:pPr>
          </w:p>
        </w:tc>
        <w:tc>
          <w:tcPr>
            <w:tcW w:w="1760" w:type="dxa"/>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2" w:hRule="atLeast"/>
        </w:trPr>
        <w:tc>
          <w:tcPr>
            <w:tcW w:w="2361" w:type="dxa"/>
            <w:gridSpan w:val="2"/>
            <w:vAlign w:val="center"/>
          </w:tcPr>
          <w:p>
            <w:pPr>
              <w:jc w:val="center"/>
            </w:pPr>
            <w:r>
              <w:rPr>
                <w:rFonts w:hAnsi="宋体"/>
              </w:rPr>
              <w:t>缺陷责任期</w:t>
            </w:r>
          </w:p>
        </w:tc>
        <w:tc>
          <w:tcPr>
            <w:tcW w:w="1673" w:type="dxa"/>
          </w:tcPr>
          <w:p>
            <w:pPr>
              <w:rPr>
                <w:rFonts w:ascii="宋体" w:hAnsi="宋体"/>
              </w:rPr>
            </w:pPr>
          </w:p>
        </w:tc>
        <w:tc>
          <w:tcPr>
            <w:tcW w:w="1673" w:type="dxa"/>
          </w:tcPr>
          <w:p>
            <w:pPr>
              <w:rPr>
                <w:rFonts w:ascii="宋体" w:hAnsi="宋体"/>
              </w:rPr>
            </w:pPr>
          </w:p>
        </w:tc>
        <w:tc>
          <w:tcPr>
            <w:tcW w:w="1673" w:type="dxa"/>
          </w:tcPr>
          <w:p>
            <w:pPr>
              <w:rPr>
                <w:rFonts w:ascii="宋体" w:hAnsi="宋体"/>
              </w:rPr>
            </w:pPr>
          </w:p>
        </w:tc>
        <w:tc>
          <w:tcPr>
            <w:tcW w:w="1760" w:type="dxa"/>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2" w:hRule="atLeast"/>
        </w:trPr>
        <w:tc>
          <w:tcPr>
            <w:tcW w:w="2361" w:type="dxa"/>
            <w:gridSpan w:val="2"/>
            <w:vAlign w:val="center"/>
          </w:tcPr>
          <w:p>
            <w:pPr>
              <w:jc w:val="center"/>
            </w:pPr>
            <w:r>
              <w:rPr>
                <w:rFonts w:hAnsi="宋体"/>
              </w:rPr>
              <w:t>小计</w:t>
            </w:r>
          </w:p>
        </w:tc>
        <w:tc>
          <w:tcPr>
            <w:tcW w:w="1673" w:type="dxa"/>
          </w:tcPr>
          <w:p>
            <w:pPr>
              <w:rPr>
                <w:rFonts w:ascii="宋体" w:hAnsi="宋体"/>
              </w:rPr>
            </w:pPr>
          </w:p>
        </w:tc>
        <w:tc>
          <w:tcPr>
            <w:tcW w:w="1673" w:type="dxa"/>
            <w:vAlign w:val="center"/>
          </w:tcPr>
          <w:p>
            <w:pPr>
              <w:jc w:val="center"/>
            </w:pPr>
            <w:r>
              <w:t>100.00</w:t>
            </w:r>
          </w:p>
        </w:tc>
        <w:tc>
          <w:tcPr>
            <w:tcW w:w="1673" w:type="dxa"/>
          </w:tcPr>
          <w:p>
            <w:pPr>
              <w:rPr>
                <w:rFonts w:ascii="宋体" w:hAnsi="宋体"/>
              </w:rPr>
            </w:pPr>
          </w:p>
        </w:tc>
        <w:tc>
          <w:tcPr>
            <w:tcW w:w="1760" w:type="dxa"/>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9" w:hRule="atLeast"/>
        </w:trPr>
        <w:tc>
          <w:tcPr>
            <w:tcW w:w="9140" w:type="dxa"/>
            <w:gridSpan w:val="6"/>
            <w:vAlign w:val="center"/>
          </w:tcPr>
          <w:p>
            <w:pPr>
              <w:ind w:firstLine="735" w:firstLineChars="350"/>
              <w:rPr>
                <w:rFonts w:ascii="宋体" w:hAnsi="宋体"/>
              </w:rPr>
            </w:pPr>
            <w:r>
              <w:rPr>
                <w:rFonts w:hint="eastAsia" w:ascii="宋体" w:hAnsi="宋体"/>
              </w:rPr>
              <w:t>投标价：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63" w:hRule="atLeast"/>
        </w:trPr>
        <w:tc>
          <w:tcPr>
            <w:tcW w:w="727" w:type="dxa"/>
            <w:vAlign w:val="center"/>
          </w:tcPr>
          <w:p>
            <w:pPr>
              <w:spacing w:line="420" w:lineRule="exact"/>
              <w:jc w:val="center"/>
              <w:rPr>
                <w:rFonts w:ascii="宋体" w:hAnsi="宋体"/>
              </w:rPr>
            </w:pPr>
            <w:r>
              <w:rPr>
                <w:rFonts w:hint="eastAsia" w:ascii="宋体" w:hAnsi="宋体"/>
              </w:rPr>
              <w:t>说</w:t>
            </w:r>
          </w:p>
          <w:p>
            <w:pPr>
              <w:spacing w:line="420" w:lineRule="exact"/>
              <w:jc w:val="center"/>
              <w:rPr>
                <w:rFonts w:ascii="宋体" w:hAnsi="宋体"/>
              </w:rPr>
            </w:pPr>
          </w:p>
          <w:p>
            <w:pPr>
              <w:spacing w:line="420" w:lineRule="exact"/>
              <w:jc w:val="center"/>
              <w:rPr>
                <w:rFonts w:ascii="宋体" w:hAnsi="宋体"/>
              </w:rPr>
            </w:pPr>
          </w:p>
          <w:p>
            <w:pPr>
              <w:spacing w:line="420" w:lineRule="exact"/>
              <w:jc w:val="center"/>
              <w:rPr>
                <w:rFonts w:ascii="宋体" w:hAnsi="宋体"/>
              </w:rPr>
            </w:pPr>
            <w:r>
              <w:rPr>
                <w:rFonts w:hint="eastAsia" w:ascii="宋体" w:hAnsi="宋体"/>
              </w:rPr>
              <w:t>明</w:t>
            </w:r>
          </w:p>
        </w:tc>
        <w:tc>
          <w:tcPr>
            <w:tcW w:w="8413" w:type="dxa"/>
            <w:gridSpan w:val="5"/>
          </w:tcPr>
          <w:p>
            <w:pPr>
              <w:spacing w:line="420" w:lineRule="exact"/>
              <w:rPr>
                <w:rFonts w:ascii="宋体" w:hAnsi="宋体"/>
              </w:rPr>
            </w:pPr>
          </w:p>
        </w:tc>
      </w:tr>
    </w:tbl>
    <w:p>
      <w:pPr>
        <w:spacing w:beforeLines="50" w:line="300" w:lineRule="exact"/>
        <w:rPr>
          <w:sz w:val="18"/>
          <w:szCs w:val="18"/>
        </w:rPr>
      </w:pPr>
      <w:r>
        <w:rPr>
          <w:rFonts w:hint="eastAsia" w:ascii="黑体" w:hAnsi="宋体" w:eastAsia="黑体"/>
          <w:sz w:val="18"/>
          <w:szCs w:val="18"/>
        </w:rPr>
        <w:t>注</w:t>
      </w:r>
      <w:r>
        <w:rPr>
          <w:rFonts w:hint="eastAsia" w:ascii="宋体" w:hAnsi="宋体"/>
          <w:sz w:val="18"/>
          <w:szCs w:val="18"/>
        </w:rPr>
        <w:t>：</w:t>
      </w:r>
      <w:r>
        <w:rPr>
          <w:sz w:val="18"/>
          <w:szCs w:val="18"/>
        </w:rPr>
        <w:t>1</w:t>
      </w:r>
      <w:r>
        <w:rPr>
          <w:rFonts w:hAnsi="宋体"/>
          <w:sz w:val="18"/>
          <w:szCs w:val="18"/>
        </w:rPr>
        <w:t>．投标人可按附表一的观察进度估算并填写本表。</w:t>
      </w:r>
    </w:p>
    <w:p>
      <w:pPr>
        <w:spacing w:line="300" w:lineRule="exact"/>
        <w:ind w:firstLine="360" w:firstLineChars="200"/>
        <w:rPr>
          <w:rFonts w:ascii="宋体" w:hAnsi="宋体"/>
          <w:sz w:val="18"/>
          <w:szCs w:val="18"/>
        </w:rPr>
      </w:pPr>
      <w:r>
        <w:rPr>
          <w:sz w:val="18"/>
          <w:szCs w:val="18"/>
        </w:rPr>
        <w:t>2</w:t>
      </w:r>
      <w:r>
        <w:rPr>
          <w:rFonts w:hAnsi="宋体"/>
          <w:sz w:val="18"/>
          <w:szCs w:val="18"/>
        </w:rPr>
        <w:t>．</w:t>
      </w:r>
      <w:r>
        <w:rPr>
          <w:rFonts w:hint="eastAsia" w:ascii="宋体" w:hAnsi="宋体"/>
          <w:sz w:val="18"/>
          <w:szCs w:val="18"/>
        </w:rPr>
        <w:t>用款额按所报单价和总额价估算，不包括价格调整和暂列金额、暂估价，但应考虑开工预付款的扣回、质量保证金的扣留以及签发付款证书后到实际支付的时间间隔。</w:t>
      </w:r>
      <w:bookmarkStart w:id="7337" w:name="_Toc282779373"/>
      <w:bookmarkStart w:id="7338" w:name="_Toc288547026"/>
      <w:bookmarkStart w:id="7339" w:name="_Toc233436032"/>
      <w:bookmarkStart w:id="7340" w:name="_Toc287853723"/>
      <w:bookmarkStart w:id="7341" w:name="_Toc283794570"/>
      <w:bookmarkStart w:id="7342" w:name="_Toc233290489"/>
      <w:bookmarkStart w:id="7343" w:name="_Toc233429891"/>
      <w:bookmarkStart w:id="7344" w:name="_Toc282787837"/>
      <w:bookmarkStart w:id="7345" w:name="_Toc252720330"/>
      <w:bookmarkStart w:id="7346" w:name="_Toc233215044"/>
      <w:bookmarkStart w:id="7347" w:name="_Toc288491901"/>
      <w:bookmarkStart w:id="7348" w:name="_Toc233423374"/>
      <w:bookmarkStart w:id="7349" w:name="_Toc282779882"/>
    </w:p>
    <w:p>
      <w:pPr>
        <w:pStyle w:val="5"/>
        <w:jc w:val="center"/>
        <w:rPr>
          <w:b w:val="0"/>
        </w:rPr>
      </w:pPr>
      <w:bookmarkStart w:id="7350" w:name="_Toc13547"/>
      <w:bookmarkStart w:id="7351" w:name="_Toc4843"/>
      <w:bookmarkStart w:id="7352" w:name="_Toc1858"/>
      <w:bookmarkStart w:id="7353" w:name="_Toc214"/>
      <w:bookmarkStart w:id="7354" w:name="_Toc3004"/>
      <w:bookmarkStart w:id="7355" w:name="_Toc29664"/>
      <w:bookmarkStart w:id="7356" w:name="_Toc20213"/>
      <w:bookmarkStart w:id="7357" w:name="_Toc30837"/>
      <w:bookmarkStart w:id="7358" w:name="_Toc21395"/>
      <w:bookmarkStart w:id="7359" w:name="_Toc20129"/>
      <w:bookmarkStart w:id="7360" w:name="_Toc17480"/>
      <w:bookmarkStart w:id="7361" w:name="_Toc30507"/>
      <w:bookmarkStart w:id="7362" w:name="_Toc31307"/>
      <w:bookmarkStart w:id="7363" w:name="_Toc10683"/>
      <w:bookmarkStart w:id="7364" w:name="_Toc3244"/>
      <w:bookmarkStart w:id="7365" w:name="_Toc21048"/>
      <w:bookmarkStart w:id="7366" w:name="_Toc24119"/>
      <w:bookmarkStart w:id="7367" w:name="_Toc12258"/>
      <w:r>
        <w:rPr>
          <w:rFonts w:hint="eastAsia"/>
          <w:b w:val="0"/>
        </w:rPr>
        <w:t>五、项目管理机构</w:t>
      </w:r>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p>
    <w:tbl>
      <w:tblPr>
        <w:tblStyle w:val="20"/>
        <w:tblW w:w="9071"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07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00" w:hRule="atLeast"/>
        </w:trPr>
        <w:tc>
          <w:tcPr>
            <w:tcW w:w="9071" w:type="dxa"/>
          </w:tcPr>
          <w:p>
            <w:pPr>
              <w:spacing w:line="420" w:lineRule="exact"/>
              <w:rPr>
                <w:rFonts w:ascii="宋体" w:hAnsi="宋体"/>
              </w:rPr>
            </w:pPr>
          </w:p>
          <w:p>
            <w:pPr>
              <w:spacing w:line="420" w:lineRule="exact"/>
              <w:ind w:firstLine="420" w:firstLineChars="200"/>
              <w:rPr>
                <w:rFonts w:ascii="宋体" w:hAnsi="宋体"/>
              </w:rPr>
            </w:pPr>
            <w:r>
              <w:rPr>
                <w:rFonts w:hint="eastAsia" w:ascii="宋体" w:hAnsi="宋体"/>
              </w:rPr>
              <w:t>拟为承包本标段工程设立的组织机构以框图方式表示。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97" w:hRule="atLeast"/>
        </w:trPr>
        <w:tc>
          <w:tcPr>
            <w:tcW w:w="9071" w:type="dxa"/>
          </w:tcPr>
          <w:p>
            <w:pPr>
              <w:spacing w:beforeLines="50" w:line="420" w:lineRule="exact"/>
              <w:ind w:firstLine="420" w:firstLineChars="200"/>
              <w:rPr>
                <w:rFonts w:ascii="宋体" w:hAnsi="宋体"/>
              </w:rPr>
            </w:pPr>
            <w:r>
              <w:rPr>
                <w:rFonts w:hint="eastAsia" w:ascii="宋体" w:hAnsi="宋体"/>
              </w:rPr>
              <w:t>说明：</w:t>
            </w:r>
          </w:p>
        </w:tc>
      </w:tr>
    </w:tbl>
    <w:p>
      <w:pPr>
        <w:rPr>
          <w:rFonts w:eastAsia="黑体"/>
        </w:rPr>
      </w:pPr>
      <w:bookmarkStart w:id="7368" w:name="_Toc233215046"/>
      <w:bookmarkStart w:id="7369" w:name="_Toc252720332"/>
      <w:bookmarkStart w:id="7370" w:name="_Toc233429893"/>
      <w:bookmarkStart w:id="7371" w:name="_Toc233436034"/>
      <w:bookmarkStart w:id="7372" w:name="_Toc288491904"/>
      <w:bookmarkStart w:id="7373" w:name="_Toc282787840"/>
      <w:bookmarkStart w:id="7374" w:name="_Toc233423376"/>
      <w:bookmarkStart w:id="7375" w:name="_Toc288547029"/>
      <w:bookmarkStart w:id="7376" w:name="_Toc287853726"/>
      <w:bookmarkStart w:id="7377" w:name="_Toc283794573"/>
      <w:bookmarkStart w:id="7378" w:name="_Toc233290491"/>
      <w:bookmarkStart w:id="7379" w:name="_Toc282779376"/>
      <w:bookmarkStart w:id="7380" w:name="_Toc282779885"/>
    </w:p>
    <w:p>
      <w:pPr>
        <w:rPr>
          <w:rFonts w:eastAsia="黑体"/>
        </w:rPr>
      </w:pPr>
    </w:p>
    <w:p>
      <w:pPr>
        <w:pStyle w:val="5"/>
        <w:jc w:val="center"/>
        <w:rPr>
          <w:b w:val="0"/>
        </w:rPr>
      </w:pPr>
      <w:bookmarkStart w:id="7381" w:name="_Toc15729"/>
      <w:bookmarkStart w:id="7382" w:name="_Toc22882"/>
      <w:bookmarkStart w:id="7383" w:name="_Toc3467"/>
      <w:bookmarkStart w:id="7384" w:name="_Toc282779883"/>
      <w:bookmarkStart w:id="7385" w:name="_Toc6517"/>
      <w:bookmarkStart w:id="7386" w:name="_Toc233215045"/>
      <w:bookmarkStart w:id="7387" w:name="_Toc233429892"/>
      <w:bookmarkStart w:id="7388" w:name="_Toc1906"/>
      <w:bookmarkStart w:id="7389" w:name="_Toc287853724"/>
      <w:bookmarkStart w:id="7390" w:name="_Toc29699"/>
      <w:bookmarkStart w:id="7391" w:name="_Toc282779374"/>
      <w:bookmarkStart w:id="7392" w:name="_Toc16147"/>
      <w:bookmarkStart w:id="7393" w:name="_Toc233436033"/>
      <w:bookmarkStart w:id="7394" w:name="_Toc288491902"/>
      <w:bookmarkStart w:id="7395" w:name="_Toc7336"/>
      <w:bookmarkStart w:id="7396" w:name="_Toc9036"/>
      <w:bookmarkStart w:id="7397" w:name="_Toc25045"/>
      <w:bookmarkStart w:id="7398" w:name="_Toc283794571"/>
      <w:bookmarkStart w:id="7399" w:name="_Toc233290490"/>
      <w:bookmarkStart w:id="7400" w:name="_Toc30575"/>
      <w:bookmarkStart w:id="7401" w:name="_Toc29924"/>
      <w:bookmarkStart w:id="7402" w:name="_Toc252720331"/>
      <w:bookmarkStart w:id="7403" w:name="_Toc22416"/>
      <w:bookmarkStart w:id="7404" w:name="_Toc8816"/>
      <w:bookmarkStart w:id="7405" w:name="_Toc26874"/>
      <w:bookmarkStart w:id="7406" w:name="_Toc233423375"/>
      <w:bookmarkStart w:id="7407" w:name="_Toc29971"/>
      <w:bookmarkStart w:id="7408" w:name="_Toc288547027"/>
      <w:bookmarkStart w:id="7409" w:name="_Toc28124"/>
      <w:bookmarkStart w:id="7410" w:name="_Toc20966"/>
      <w:bookmarkStart w:id="7411" w:name="_Toc25956"/>
      <w:bookmarkStart w:id="7412" w:name="_Toc282787838"/>
      <w:r>
        <w:rPr>
          <w:rFonts w:hint="eastAsia"/>
          <w:b w:val="0"/>
        </w:rPr>
        <w:t>六、拟分包项目情况表</w:t>
      </w:r>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p>
    <w:tbl>
      <w:tblPr>
        <w:tblStyle w:val="20"/>
        <w:tblW w:w="902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340"/>
        <w:gridCol w:w="1800"/>
        <w:gridCol w:w="2160"/>
        <w:gridCol w:w="27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2340" w:type="dxa"/>
            <w:vAlign w:val="center"/>
          </w:tcPr>
          <w:p>
            <w:pPr>
              <w:spacing w:line="320" w:lineRule="exact"/>
              <w:jc w:val="center"/>
              <w:rPr>
                <w:rFonts w:ascii="宋体" w:hAnsi="宋体"/>
              </w:rPr>
            </w:pPr>
            <w:r>
              <w:rPr>
                <w:rFonts w:hint="eastAsia" w:ascii="宋体" w:hAnsi="宋体"/>
              </w:rPr>
              <w:t>分包人名称</w:t>
            </w:r>
          </w:p>
        </w:tc>
        <w:tc>
          <w:tcPr>
            <w:tcW w:w="1800" w:type="dxa"/>
            <w:vAlign w:val="center"/>
          </w:tcPr>
          <w:p>
            <w:pPr>
              <w:spacing w:line="320" w:lineRule="exact"/>
              <w:jc w:val="center"/>
              <w:rPr>
                <w:rFonts w:ascii="宋体" w:hAnsi="宋体"/>
              </w:rPr>
            </w:pPr>
          </w:p>
        </w:tc>
        <w:tc>
          <w:tcPr>
            <w:tcW w:w="2160" w:type="dxa"/>
            <w:vAlign w:val="center"/>
          </w:tcPr>
          <w:p>
            <w:pPr>
              <w:spacing w:line="320" w:lineRule="exact"/>
              <w:jc w:val="center"/>
              <w:rPr>
                <w:rFonts w:ascii="宋体" w:hAnsi="宋体"/>
              </w:rPr>
            </w:pPr>
            <w:r>
              <w:rPr>
                <w:rFonts w:hint="eastAsia" w:ascii="宋体" w:hAnsi="宋体"/>
              </w:rPr>
              <w:t>地址</w:t>
            </w:r>
          </w:p>
        </w:tc>
        <w:tc>
          <w:tcPr>
            <w:tcW w:w="2729" w:type="dxa"/>
            <w:vAlign w:val="center"/>
          </w:tcPr>
          <w:p>
            <w:pPr>
              <w:spacing w:line="320" w:lineRule="exact"/>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2340" w:type="dxa"/>
            <w:vAlign w:val="center"/>
          </w:tcPr>
          <w:p>
            <w:pPr>
              <w:spacing w:line="320" w:lineRule="exact"/>
              <w:jc w:val="center"/>
              <w:rPr>
                <w:rFonts w:ascii="宋体" w:hAnsi="宋体"/>
              </w:rPr>
            </w:pPr>
            <w:r>
              <w:rPr>
                <w:rFonts w:hint="eastAsia" w:ascii="宋体" w:hAnsi="宋体"/>
              </w:rPr>
              <w:t>法定代表人</w:t>
            </w:r>
          </w:p>
        </w:tc>
        <w:tc>
          <w:tcPr>
            <w:tcW w:w="1800" w:type="dxa"/>
            <w:vAlign w:val="center"/>
          </w:tcPr>
          <w:p>
            <w:pPr>
              <w:spacing w:line="320" w:lineRule="exact"/>
              <w:jc w:val="center"/>
              <w:rPr>
                <w:rFonts w:ascii="宋体" w:hAnsi="宋体"/>
              </w:rPr>
            </w:pPr>
          </w:p>
        </w:tc>
        <w:tc>
          <w:tcPr>
            <w:tcW w:w="2160" w:type="dxa"/>
            <w:vAlign w:val="center"/>
          </w:tcPr>
          <w:p>
            <w:pPr>
              <w:spacing w:line="320" w:lineRule="exact"/>
              <w:jc w:val="center"/>
              <w:rPr>
                <w:rFonts w:ascii="宋体" w:hAnsi="宋体"/>
              </w:rPr>
            </w:pPr>
            <w:r>
              <w:rPr>
                <w:rFonts w:hint="eastAsia" w:ascii="宋体" w:hAnsi="宋体"/>
              </w:rPr>
              <w:t>电话</w:t>
            </w:r>
          </w:p>
        </w:tc>
        <w:tc>
          <w:tcPr>
            <w:tcW w:w="2729" w:type="dxa"/>
            <w:vAlign w:val="center"/>
          </w:tcPr>
          <w:p>
            <w:pPr>
              <w:spacing w:line="320" w:lineRule="exact"/>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2340" w:type="dxa"/>
            <w:vAlign w:val="center"/>
          </w:tcPr>
          <w:p>
            <w:pPr>
              <w:spacing w:line="320" w:lineRule="exact"/>
              <w:jc w:val="center"/>
              <w:rPr>
                <w:rFonts w:ascii="宋体" w:hAnsi="宋体"/>
              </w:rPr>
            </w:pPr>
            <w:r>
              <w:rPr>
                <w:rFonts w:hint="eastAsia" w:ascii="宋体" w:hAnsi="宋体"/>
              </w:rPr>
              <w:t>营业执照号码</w:t>
            </w:r>
          </w:p>
        </w:tc>
        <w:tc>
          <w:tcPr>
            <w:tcW w:w="1800" w:type="dxa"/>
            <w:vAlign w:val="center"/>
          </w:tcPr>
          <w:p>
            <w:pPr>
              <w:spacing w:line="320" w:lineRule="exact"/>
              <w:jc w:val="center"/>
              <w:rPr>
                <w:rFonts w:ascii="宋体" w:hAnsi="宋体"/>
              </w:rPr>
            </w:pPr>
          </w:p>
        </w:tc>
        <w:tc>
          <w:tcPr>
            <w:tcW w:w="2160" w:type="dxa"/>
            <w:vAlign w:val="center"/>
          </w:tcPr>
          <w:p>
            <w:pPr>
              <w:spacing w:line="320" w:lineRule="exact"/>
              <w:jc w:val="center"/>
              <w:rPr>
                <w:rFonts w:ascii="宋体" w:hAnsi="宋体"/>
              </w:rPr>
            </w:pPr>
            <w:r>
              <w:rPr>
                <w:rFonts w:hint="eastAsia" w:ascii="宋体" w:hAnsi="宋体"/>
              </w:rPr>
              <w:t>资质等级</w:t>
            </w:r>
          </w:p>
        </w:tc>
        <w:tc>
          <w:tcPr>
            <w:tcW w:w="2729" w:type="dxa"/>
            <w:vAlign w:val="center"/>
          </w:tcPr>
          <w:p>
            <w:pPr>
              <w:spacing w:line="320" w:lineRule="exact"/>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2340" w:type="dxa"/>
            <w:vAlign w:val="center"/>
          </w:tcPr>
          <w:p>
            <w:pPr>
              <w:spacing w:line="320" w:lineRule="exact"/>
              <w:jc w:val="center"/>
              <w:rPr>
                <w:rFonts w:ascii="宋体" w:hAnsi="宋体"/>
              </w:rPr>
            </w:pPr>
            <w:r>
              <w:rPr>
                <w:rFonts w:hint="eastAsia" w:ascii="宋体" w:hAnsi="宋体"/>
              </w:rPr>
              <w:t>拟分包的工程项目</w:t>
            </w:r>
          </w:p>
        </w:tc>
        <w:tc>
          <w:tcPr>
            <w:tcW w:w="1800" w:type="dxa"/>
            <w:vAlign w:val="center"/>
          </w:tcPr>
          <w:p>
            <w:pPr>
              <w:spacing w:line="320" w:lineRule="exact"/>
              <w:jc w:val="center"/>
              <w:rPr>
                <w:rFonts w:ascii="宋体" w:hAnsi="宋体"/>
              </w:rPr>
            </w:pPr>
            <w:r>
              <w:rPr>
                <w:rFonts w:hint="eastAsia" w:ascii="宋体" w:hAnsi="宋体"/>
              </w:rPr>
              <w:t>主要内容</w:t>
            </w:r>
          </w:p>
        </w:tc>
        <w:tc>
          <w:tcPr>
            <w:tcW w:w="2160" w:type="dxa"/>
            <w:vAlign w:val="center"/>
          </w:tcPr>
          <w:p>
            <w:pPr>
              <w:spacing w:line="320" w:lineRule="exact"/>
              <w:jc w:val="center"/>
              <w:rPr>
                <w:rFonts w:ascii="宋体" w:hAnsi="宋体"/>
              </w:rPr>
            </w:pPr>
            <w:r>
              <w:rPr>
                <w:rFonts w:hint="eastAsia" w:ascii="宋体" w:hAnsi="宋体"/>
              </w:rPr>
              <w:t>预计造价（万元）</w:t>
            </w:r>
          </w:p>
        </w:tc>
        <w:tc>
          <w:tcPr>
            <w:tcW w:w="2729" w:type="dxa"/>
            <w:vAlign w:val="center"/>
          </w:tcPr>
          <w:p>
            <w:pPr>
              <w:spacing w:line="320" w:lineRule="exact"/>
              <w:jc w:val="center"/>
              <w:rPr>
                <w:rFonts w:ascii="宋体" w:hAnsi="宋体"/>
              </w:rPr>
            </w:pPr>
            <w:r>
              <w:rPr>
                <w:rFonts w:hint="eastAsia" w:ascii="宋体" w:hAnsi="宋体"/>
              </w:rPr>
              <w:t>已经做过的类似工程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2340" w:type="dxa"/>
            <w:vAlign w:val="center"/>
          </w:tcPr>
          <w:p>
            <w:pPr>
              <w:spacing w:line="360" w:lineRule="exact"/>
              <w:jc w:val="center"/>
              <w:rPr>
                <w:rFonts w:ascii="宋体" w:hAnsi="宋体"/>
              </w:rPr>
            </w:pPr>
          </w:p>
        </w:tc>
        <w:tc>
          <w:tcPr>
            <w:tcW w:w="1800" w:type="dxa"/>
            <w:vAlign w:val="center"/>
          </w:tcPr>
          <w:p>
            <w:pPr>
              <w:spacing w:line="360" w:lineRule="exact"/>
              <w:jc w:val="center"/>
              <w:rPr>
                <w:rFonts w:ascii="宋体" w:hAnsi="宋体"/>
              </w:rPr>
            </w:pPr>
          </w:p>
        </w:tc>
        <w:tc>
          <w:tcPr>
            <w:tcW w:w="2160" w:type="dxa"/>
            <w:vAlign w:val="center"/>
          </w:tcPr>
          <w:p>
            <w:pPr>
              <w:spacing w:line="360" w:lineRule="exact"/>
              <w:jc w:val="center"/>
              <w:rPr>
                <w:rFonts w:ascii="宋体" w:hAnsi="宋体"/>
              </w:rPr>
            </w:pPr>
          </w:p>
        </w:tc>
        <w:tc>
          <w:tcPr>
            <w:tcW w:w="2729" w:type="dxa"/>
            <w:vMerge w:val="restart"/>
          </w:tcPr>
          <w:p>
            <w:pPr>
              <w:spacing w:beforeLines="50" w:line="360" w:lineRule="exact"/>
              <w:rPr>
                <w:rFonts w:ascii="黑体" w:hAnsi="宋体" w:eastAsia="黑体"/>
              </w:rPr>
            </w:pPr>
          </w:p>
          <w:p>
            <w:pPr>
              <w:spacing w:beforeLines="50" w:line="360" w:lineRule="exact"/>
              <w:rPr>
                <w:rFonts w:ascii="宋体" w:hAnsi="宋体"/>
              </w:rPr>
            </w:pPr>
            <w:r>
              <w:rPr>
                <w:rFonts w:hint="eastAsia" w:ascii="黑体" w:hAnsi="宋体" w:eastAsia="黑体"/>
              </w:rPr>
              <w:t>注</w:t>
            </w:r>
            <w:r>
              <w:rPr>
                <w:rFonts w:hint="eastAsia" w:ascii="宋体" w:hAnsi="宋体"/>
              </w:rPr>
              <w:t>：</w:t>
            </w:r>
          </w:p>
          <w:p>
            <w:pPr>
              <w:spacing w:before="40" w:line="360" w:lineRule="auto"/>
              <w:rPr>
                <w:rFonts w:ascii="楷体" w:hAnsi="楷体" w:cs="楷体"/>
                <w:szCs w:val="21"/>
              </w:rPr>
            </w:pPr>
            <w:r>
              <w:rPr>
                <w:rFonts w:hint="eastAsia" w:ascii="楷体" w:hAnsi="楷体" w:cs="楷体"/>
                <w:szCs w:val="21"/>
              </w:rPr>
              <w:t>1．本栏应写明分包人以往做过的类似工程，包括工程名称、地点、造价、工期、交工年份和其发包人与总监理人的姓名和地址。</w:t>
            </w:r>
          </w:p>
          <w:p>
            <w:pPr>
              <w:spacing w:before="40" w:line="360" w:lineRule="auto"/>
            </w:pPr>
            <w:r>
              <w:rPr>
                <w:rFonts w:hint="eastAsia" w:ascii="楷体" w:hAnsi="楷体" w:cs="楷体"/>
                <w:szCs w:val="21"/>
              </w:rPr>
              <w:t>2．若无分包，则投标人应填写“无”。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2340" w:type="dxa"/>
            <w:vAlign w:val="center"/>
          </w:tcPr>
          <w:p>
            <w:pPr>
              <w:spacing w:line="360" w:lineRule="exact"/>
              <w:jc w:val="center"/>
              <w:rPr>
                <w:rFonts w:ascii="宋体" w:hAnsi="宋体"/>
              </w:rPr>
            </w:pPr>
          </w:p>
        </w:tc>
        <w:tc>
          <w:tcPr>
            <w:tcW w:w="1800" w:type="dxa"/>
            <w:vAlign w:val="center"/>
          </w:tcPr>
          <w:p>
            <w:pPr>
              <w:spacing w:line="360" w:lineRule="exact"/>
              <w:jc w:val="center"/>
              <w:rPr>
                <w:rFonts w:ascii="宋体" w:hAnsi="宋体"/>
              </w:rPr>
            </w:pPr>
          </w:p>
        </w:tc>
        <w:tc>
          <w:tcPr>
            <w:tcW w:w="2160" w:type="dxa"/>
            <w:vAlign w:val="center"/>
          </w:tcPr>
          <w:p>
            <w:pPr>
              <w:spacing w:line="360" w:lineRule="exact"/>
              <w:jc w:val="center"/>
              <w:rPr>
                <w:rFonts w:ascii="宋体" w:hAnsi="宋体"/>
              </w:rPr>
            </w:pPr>
          </w:p>
        </w:tc>
        <w:tc>
          <w:tcPr>
            <w:tcW w:w="2729" w:type="dxa"/>
            <w:vMerge w:val="continue"/>
            <w:vAlign w:val="center"/>
          </w:tcPr>
          <w:p>
            <w:pPr>
              <w:spacing w:line="360" w:lineRule="exact"/>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2340" w:type="dxa"/>
            <w:vAlign w:val="center"/>
          </w:tcPr>
          <w:p>
            <w:pPr>
              <w:spacing w:line="360" w:lineRule="exact"/>
              <w:jc w:val="center"/>
              <w:rPr>
                <w:rFonts w:ascii="宋体" w:hAnsi="宋体"/>
              </w:rPr>
            </w:pPr>
          </w:p>
        </w:tc>
        <w:tc>
          <w:tcPr>
            <w:tcW w:w="1800" w:type="dxa"/>
            <w:vAlign w:val="center"/>
          </w:tcPr>
          <w:p>
            <w:pPr>
              <w:spacing w:line="360" w:lineRule="exact"/>
              <w:jc w:val="center"/>
              <w:rPr>
                <w:rFonts w:ascii="宋体" w:hAnsi="宋体"/>
              </w:rPr>
            </w:pPr>
          </w:p>
        </w:tc>
        <w:tc>
          <w:tcPr>
            <w:tcW w:w="2160" w:type="dxa"/>
            <w:vAlign w:val="center"/>
          </w:tcPr>
          <w:p>
            <w:pPr>
              <w:spacing w:line="360" w:lineRule="exact"/>
              <w:jc w:val="center"/>
              <w:rPr>
                <w:rFonts w:ascii="宋体" w:hAnsi="宋体"/>
              </w:rPr>
            </w:pPr>
          </w:p>
        </w:tc>
        <w:tc>
          <w:tcPr>
            <w:tcW w:w="2729" w:type="dxa"/>
            <w:vMerge w:val="continue"/>
            <w:vAlign w:val="center"/>
          </w:tcPr>
          <w:p>
            <w:pPr>
              <w:spacing w:line="360" w:lineRule="exact"/>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2340" w:type="dxa"/>
            <w:vAlign w:val="center"/>
          </w:tcPr>
          <w:p>
            <w:pPr>
              <w:spacing w:line="360" w:lineRule="exact"/>
              <w:jc w:val="center"/>
              <w:rPr>
                <w:rFonts w:ascii="宋体" w:hAnsi="宋体"/>
              </w:rPr>
            </w:pPr>
          </w:p>
        </w:tc>
        <w:tc>
          <w:tcPr>
            <w:tcW w:w="1800" w:type="dxa"/>
            <w:vAlign w:val="center"/>
          </w:tcPr>
          <w:p>
            <w:pPr>
              <w:spacing w:line="360" w:lineRule="exact"/>
              <w:jc w:val="center"/>
              <w:rPr>
                <w:rFonts w:ascii="宋体" w:hAnsi="宋体"/>
              </w:rPr>
            </w:pPr>
          </w:p>
        </w:tc>
        <w:tc>
          <w:tcPr>
            <w:tcW w:w="2160" w:type="dxa"/>
            <w:vAlign w:val="center"/>
          </w:tcPr>
          <w:p>
            <w:pPr>
              <w:spacing w:line="360" w:lineRule="exact"/>
              <w:jc w:val="center"/>
              <w:rPr>
                <w:rFonts w:ascii="宋体" w:hAnsi="宋体"/>
              </w:rPr>
            </w:pPr>
          </w:p>
        </w:tc>
        <w:tc>
          <w:tcPr>
            <w:tcW w:w="2729" w:type="dxa"/>
            <w:vMerge w:val="continue"/>
            <w:vAlign w:val="center"/>
          </w:tcPr>
          <w:p>
            <w:pPr>
              <w:spacing w:line="360" w:lineRule="exact"/>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2340" w:type="dxa"/>
            <w:vAlign w:val="center"/>
          </w:tcPr>
          <w:p>
            <w:pPr>
              <w:spacing w:line="360" w:lineRule="exact"/>
              <w:jc w:val="center"/>
              <w:rPr>
                <w:rFonts w:ascii="宋体" w:hAnsi="宋体"/>
              </w:rPr>
            </w:pPr>
          </w:p>
        </w:tc>
        <w:tc>
          <w:tcPr>
            <w:tcW w:w="1800" w:type="dxa"/>
            <w:vAlign w:val="center"/>
          </w:tcPr>
          <w:p>
            <w:pPr>
              <w:spacing w:line="360" w:lineRule="exact"/>
              <w:jc w:val="center"/>
              <w:rPr>
                <w:rFonts w:ascii="宋体" w:hAnsi="宋体"/>
              </w:rPr>
            </w:pPr>
          </w:p>
        </w:tc>
        <w:tc>
          <w:tcPr>
            <w:tcW w:w="2160" w:type="dxa"/>
            <w:vAlign w:val="center"/>
          </w:tcPr>
          <w:p>
            <w:pPr>
              <w:spacing w:line="360" w:lineRule="exact"/>
              <w:jc w:val="center"/>
              <w:rPr>
                <w:rFonts w:ascii="宋体" w:hAnsi="宋体"/>
              </w:rPr>
            </w:pPr>
          </w:p>
        </w:tc>
        <w:tc>
          <w:tcPr>
            <w:tcW w:w="2729" w:type="dxa"/>
            <w:vMerge w:val="continue"/>
            <w:vAlign w:val="center"/>
          </w:tcPr>
          <w:p>
            <w:pPr>
              <w:spacing w:line="360" w:lineRule="exact"/>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2340" w:type="dxa"/>
            <w:vAlign w:val="center"/>
          </w:tcPr>
          <w:p>
            <w:pPr>
              <w:spacing w:line="360" w:lineRule="exact"/>
              <w:jc w:val="center"/>
              <w:rPr>
                <w:rFonts w:ascii="宋体" w:hAnsi="宋体"/>
              </w:rPr>
            </w:pPr>
          </w:p>
        </w:tc>
        <w:tc>
          <w:tcPr>
            <w:tcW w:w="1800" w:type="dxa"/>
            <w:vAlign w:val="center"/>
          </w:tcPr>
          <w:p>
            <w:pPr>
              <w:spacing w:line="360" w:lineRule="exact"/>
              <w:jc w:val="center"/>
              <w:rPr>
                <w:rFonts w:ascii="宋体" w:hAnsi="宋体"/>
              </w:rPr>
            </w:pPr>
          </w:p>
        </w:tc>
        <w:tc>
          <w:tcPr>
            <w:tcW w:w="2160" w:type="dxa"/>
            <w:vAlign w:val="center"/>
          </w:tcPr>
          <w:p>
            <w:pPr>
              <w:spacing w:line="360" w:lineRule="exact"/>
              <w:jc w:val="center"/>
              <w:rPr>
                <w:rFonts w:ascii="宋体" w:hAnsi="宋体"/>
              </w:rPr>
            </w:pPr>
          </w:p>
        </w:tc>
        <w:tc>
          <w:tcPr>
            <w:tcW w:w="2729" w:type="dxa"/>
            <w:vMerge w:val="continue"/>
            <w:vAlign w:val="center"/>
          </w:tcPr>
          <w:p>
            <w:pPr>
              <w:spacing w:line="360" w:lineRule="exact"/>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2340" w:type="dxa"/>
            <w:vAlign w:val="center"/>
          </w:tcPr>
          <w:p>
            <w:pPr>
              <w:spacing w:line="360" w:lineRule="exact"/>
              <w:jc w:val="center"/>
              <w:rPr>
                <w:rFonts w:ascii="宋体" w:hAnsi="宋体"/>
              </w:rPr>
            </w:pPr>
          </w:p>
        </w:tc>
        <w:tc>
          <w:tcPr>
            <w:tcW w:w="1800" w:type="dxa"/>
            <w:vAlign w:val="center"/>
          </w:tcPr>
          <w:p>
            <w:pPr>
              <w:spacing w:line="360" w:lineRule="exact"/>
              <w:jc w:val="center"/>
              <w:rPr>
                <w:rFonts w:ascii="宋体" w:hAnsi="宋体"/>
              </w:rPr>
            </w:pPr>
          </w:p>
        </w:tc>
        <w:tc>
          <w:tcPr>
            <w:tcW w:w="2160" w:type="dxa"/>
            <w:vAlign w:val="center"/>
          </w:tcPr>
          <w:p>
            <w:pPr>
              <w:spacing w:line="360" w:lineRule="exact"/>
              <w:jc w:val="center"/>
              <w:rPr>
                <w:rFonts w:ascii="宋体" w:hAnsi="宋体"/>
              </w:rPr>
            </w:pPr>
          </w:p>
        </w:tc>
        <w:tc>
          <w:tcPr>
            <w:tcW w:w="2729" w:type="dxa"/>
            <w:vMerge w:val="continue"/>
            <w:vAlign w:val="center"/>
          </w:tcPr>
          <w:p>
            <w:pPr>
              <w:spacing w:line="360" w:lineRule="exact"/>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2340" w:type="dxa"/>
            <w:vAlign w:val="center"/>
          </w:tcPr>
          <w:p>
            <w:pPr>
              <w:spacing w:line="360" w:lineRule="exact"/>
              <w:jc w:val="center"/>
              <w:rPr>
                <w:rFonts w:ascii="宋体" w:hAnsi="宋体"/>
              </w:rPr>
            </w:pPr>
          </w:p>
        </w:tc>
        <w:tc>
          <w:tcPr>
            <w:tcW w:w="1800" w:type="dxa"/>
            <w:vAlign w:val="center"/>
          </w:tcPr>
          <w:p>
            <w:pPr>
              <w:spacing w:line="360" w:lineRule="exact"/>
              <w:jc w:val="center"/>
              <w:rPr>
                <w:rFonts w:ascii="宋体" w:hAnsi="宋体"/>
              </w:rPr>
            </w:pPr>
          </w:p>
        </w:tc>
        <w:tc>
          <w:tcPr>
            <w:tcW w:w="2160" w:type="dxa"/>
            <w:vAlign w:val="center"/>
          </w:tcPr>
          <w:p>
            <w:pPr>
              <w:spacing w:line="360" w:lineRule="exact"/>
              <w:jc w:val="center"/>
              <w:rPr>
                <w:rFonts w:ascii="宋体" w:hAnsi="宋体"/>
              </w:rPr>
            </w:pPr>
          </w:p>
        </w:tc>
        <w:tc>
          <w:tcPr>
            <w:tcW w:w="2729" w:type="dxa"/>
            <w:vMerge w:val="continue"/>
            <w:vAlign w:val="center"/>
          </w:tcPr>
          <w:p>
            <w:pPr>
              <w:spacing w:line="360" w:lineRule="exact"/>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2340" w:type="dxa"/>
            <w:vAlign w:val="center"/>
          </w:tcPr>
          <w:p>
            <w:pPr>
              <w:spacing w:line="360" w:lineRule="exact"/>
              <w:jc w:val="center"/>
              <w:rPr>
                <w:rFonts w:ascii="宋体" w:hAnsi="宋体"/>
              </w:rPr>
            </w:pPr>
          </w:p>
        </w:tc>
        <w:tc>
          <w:tcPr>
            <w:tcW w:w="1800" w:type="dxa"/>
            <w:vAlign w:val="center"/>
          </w:tcPr>
          <w:p>
            <w:pPr>
              <w:spacing w:line="360" w:lineRule="exact"/>
              <w:jc w:val="center"/>
              <w:rPr>
                <w:rFonts w:ascii="宋体" w:hAnsi="宋体"/>
              </w:rPr>
            </w:pPr>
          </w:p>
        </w:tc>
        <w:tc>
          <w:tcPr>
            <w:tcW w:w="2160" w:type="dxa"/>
            <w:vAlign w:val="center"/>
          </w:tcPr>
          <w:p>
            <w:pPr>
              <w:spacing w:line="360" w:lineRule="exact"/>
              <w:jc w:val="center"/>
              <w:rPr>
                <w:rFonts w:ascii="宋体" w:hAnsi="宋体"/>
              </w:rPr>
            </w:pPr>
          </w:p>
        </w:tc>
        <w:tc>
          <w:tcPr>
            <w:tcW w:w="2729" w:type="dxa"/>
            <w:vMerge w:val="continue"/>
            <w:vAlign w:val="center"/>
          </w:tcPr>
          <w:p>
            <w:pPr>
              <w:spacing w:line="360" w:lineRule="exact"/>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2340" w:type="dxa"/>
            <w:vAlign w:val="center"/>
          </w:tcPr>
          <w:p>
            <w:pPr>
              <w:spacing w:line="360" w:lineRule="exact"/>
              <w:jc w:val="center"/>
              <w:rPr>
                <w:rFonts w:ascii="宋体" w:hAnsi="宋体"/>
              </w:rPr>
            </w:pPr>
          </w:p>
        </w:tc>
        <w:tc>
          <w:tcPr>
            <w:tcW w:w="1800" w:type="dxa"/>
            <w:vAlign w:val="center"/>
          </w:tcPr>
          <w:p>
            <w:pPr>
              <w:spacing w:line="360" w:lineRule="exact"/>
              <w:jc w:val="center"/>
              <w:rPr>
                <w:rFonts w:ascii="宋体" w:hAnsi="宋体"/>
              </w:rPr>
            </w:pPr>
          </w:p>
        </w:tc>
        <w:tc>
          <w:tcPr>
            <w:tcW w:w="2160" w:type="dxa"/>
            <w:vAlign w:val="center"/>
          </w:tcPr>
          <w:p>
            <w:pPr>
              <w:spacing w:line="360" w:lineRule="exact"/>
              <w:jc w:val="center"/>
              <w:rPr>
                <w:rFonts w:ascii="宋体" w:hAnsi="宋体"/>
              </w:rPr>
            </w:pPr>
          </w:p>
        </w:tc>
        <w:tc>
          <w:tcPr>
            <w:tcW w:w="2729" w:type="dxa"/>
            <w:vMerge w:val="continue"/>
            <w:vAlign w:val="center"/>
          </w:tcPr>
          <w:p>
            <w:pPr>
              <w:spacing w:line="360" w:lineRule="exact"/>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140" w:type="dxa"/>
            <w:gridSpan w:val="2"/>
            <w:vAlign w:val="center"/>
          </w:tcPr>
          <w:p>
            <w:pPr>
              <w:spacing w:line="360" w:lineRule="exact"/>
              <w:jc w:val="center"/>
              <w:rPr>
                <w:rFonts w:ascii="宋体" w:hAnsi="宋体"/>
              </w:rPr>
            </w:pPr>
            <w:r>
              <w:rPr>
                <w:rFonts w:hint="eastAsia" w:ascii="宋体" w:hAnsi="宋体"/>
              </w:rPr>
              <w:t>分包值合计（万元）</w:t>
            </w:r>
          </w:p>
        </w:tc>
        <w:tc>
          <w:tcPr>
            <w:tcW w:w="2160" w:type="dxa"/>
            <w:vAlign w:val="center"/>
          </w:tcPr>
          <w:p>
            <w:pPr>
              <w:spacing w:line="360" w:lineRule="exact"/>
              <w:jc w:val="center"/>
              <w:rPr>
                <w:rFonts w:ascii="宋体" w:hAnsi="宋体"/>
              </w:rPr>
            </w:pPr>
          </w:p>
        </w:tc>
        <w:tc>
          <w:tcPr>
            <w:tcW w:w="2729" w:type="dxa"/>
            <w:vMerge w:val="continue"/>
            <w:vAlign w:val="center"/>
          </w:tcPr>
          <w:p>
            <w:pPr>
              <w:spacing w:line="360" w:lineRule="exact"/>
              <w:jc w:val="center"/>
              <w:rPr>
                <w:rFonts w:ascii="宋体" w:hAnsi="宋体"/>
              </w:rPr>
            </w:pPr>
          </w:p>
        </w:tc>
      </w:tr>
    </w:tbl>
    <w:p>
      <w:pPr>
        <w:rPr>
          <w:rFonts w:eastAsia="黑体"/>
        </w:rPr>
      </w:pPr>
    </w:p>
    <w:p>
      <w:pPr>
        <w:rPr>
          <w:rFonts w:eastAsia="黑体"/>
        </w:rPr>
      </w:pPr>
    </w:p>
    <w:p>
      <w:pPr>
        <w:spacing w:before="40" w:line="403" w:lineRule="auto"/>
        <w:rPr>
          <w:rFonts w:ascii="楷体" w:hAnsi="楷体" w:cs="楷体"/>
          <w:szCs w:val="21"/>
        </w:rPr>
      </w:pPr>
      <w:r>
        <w:rPr>
          <w:rFonts w:hint="eastAsia" w:ascii="楷体" w:hAnsi="楷体" w:cs="楷体"/>
          <w:szCs w:val="21"/>
        </w:rPr>
        <w:t>注：1.</w:t>
      </w:r>
      <w:r>
        <w:rPr>
          <w:rFonts w:hint="eastAsia" w:ascii="楷体" w:hAnsi="楷体" w:cs="楷体"/>
          <w:spacing w:val="-5"/>
          <w:szCs w:val="21"/>
        </w:rPr>
        <w:t>投标人拟在中标后将适合专业化队伍施工的专项工程分包给具有相应资格的单位的，具体分包活动应符合交通运输部《公路工程施工分包管理办法》和浙江省交通运输厅《浙江省公路水运工程施工分包管理实施细则》及相关的管理规定。</w:t>
      </w:r>
    </w:p>
    <w:p>
      <w:pPr>
        <w:spacing w:before="43"/>
        <w:ind w:left="232" w:firstLine="210" w:firstLineChars="100"/>
        <w:rPr>
          <w:rFonts w:ascii="楷体" w:hAnsi="楷体" w:cs="楷体"/>
          <w:szCs w:val="21"/>
        </w:rPr>
      </w:pPr>
      <w:r>
        <w:rPr>
          <w:rFonts w:hint="eastAsia" w:ascii="楷体" w:hAnsi="楷体" w:cs="楷体"/>
          <w:szCs w:val="21"/>
        </w:rPr>
        <w:t>2.</w:t>
      </w:r>
      <w:r>
        <w:rPr>
          <w:rFonts w:hint="eastAsia" w:ascii="楷体" w:hAnsi="楷体" w:cs="楷体"/>
          <w:spacing w:val="-11"/>
          <w:szCs w:val="21"/>
        </w:rPr>
        <w:t>若无分包计划，则投标人应填写“无”，劳务分包不需填报。</w:t>
      </w:r>
    </w:p>
    <w:p>
      <w:pPr>
        <w:pStyle w:val="5"/>
        <w:jc w:val="center"/>
        <w:rPr>
          <w:b w:val="0"/>
        </w:rPr>
      </w:pPr>
    </w:p>
    <w:p/>
    <w:p/>
    <w:p/>
    <w:p/>
    <w:p>
      <w:pPr>
        <w:pStyle w:val="5"/>
        <w:jc w:val="center"/>
        <w:rPr>
          <w:b w:val="0"/>
        </w:rPr>
      </w:pPr>
      <w:bookmarkStart w:id="7413" w:name="_Toc17978"/>
      <w:bookmarkStart w:id="7414" w:name="_Toc21571"/>
      <w:bookmarkStart w:id="7415" w:name="_Toc2553"/>
      <w:bookmarkStart w:id="7416" w:name="_Toc15122"/>
      <w:bookmarkStart w:id="7417" w:name="_Toc29613"/>
      <w:bookmarkStart w:id="7418" w:name="_Toc27324"/>
      <w:bookmarkStart w:id="7419" w:name="_Toc11123"/>
      <w:bookmarkStart w:id="7420" w:name="_Toc1684"/>
      <w:bookmarkStart w:id="7421" w:name="_Toc10871"/>
      <w:bookmarkStart w:id="7422" w:name="_Toc13092"/>
      <w:bookmarkStart w:id="7423" w:name="_Toc19320"/>
      <w:bookmarkStart w:id="7424" w:name="_Toc20505"/>
      <w:bookmarkStart w:id="7425" w:name="_Toc11256"/>
      <w:bookmarkStart w:id="7426" w:name="_Toc14883"/>
      <w:bookmarkStart w:id="7427" w:name="_Toc5916"/>
      <w:bookmarkStart w:id="7428" w:name="_Toc20890"/>
      <w:bookmarkStart w:id="7429" w:name="_Toc2125"/>
      <w:bookmarkStart w:id="7430" w:name="_Toc13629"/>
      <w:r>
        <w:rPr>
          <w:rFonts w:hint="eastAsia"/>
          <w:b w:val="0"/>
        </w:rPr>
        <w:t>七、资格审查资料</w:t>
      </w:r>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p>
    <w:p>
      <w:pPr>
        <w:pStyle w:val="6"/>
        <w:jc w:val="center"/>
        <w:rPr>
          <w:rFonts w:ascii="黑体" w:eastAsia="黑体"/>
          <w:b w:val="0"/>
        </w:rPr>
      </w:pPr>
      <w:bookmarkStart w:id="7431" w:name="_Toc283794574"/>
      <w:bookmarkStart w:id="7432" w:name="_Toc233423377"/>
      <w:bookmarkStart w:id="7433" w:name="_Toc9809"/>
      <w:bookmarkStart w:id="7434" w:name="_Toc5801"/>
      <w:bookmarkStart w:id="7435" w:name="_Toc21513"/>
      <w:bookmarkStart w:id="7436" w:name="_Toc1490"/>
      <w:bookmarkStart w:id="7437" w:name="_Toc21421"/>
      <w:bookmarkStart w:id="7438" w:name="_Toc9375"/>
      <w:bookmarkStart w:id="7439" w:name="_Toc25442"/>
      <w:bookmarkStart w:id="7440" w:name="_Toc282787841"/>
      <w:bookmarkStart w:id="7441" w:name="_Toc233436035"/>
      <w:bookmarkStart w:id="7442" w:name="_Toc288547030"/>
      <w:bookmarkStart w:id="7443" w:name="_Toc233429894"/>
      <w:bookmarkStart w:id="7444" w:name="_Toc30126"/>
      <w:bookmarkStart w:id="7445" w:name="_Toc287853727"/>
      <w:bookmarkStart w:id="7446" w:name="_Toc3038"/>
      <w:bookmarkStart w:id="7447" w:name="_Toc5636"/>
      <w:bookmarkStart w:id="7448" w:name="_Toc27845"/>
      <w:bookmarkStart w:id="7449" w:name="_Toc252720333"/>
      <w:bookmarkStart w:id="7450" w:name="_Toc9727"/>
      <w:bookmarkStart w:id="7451" w:name="_Toc3817"/>
      <w:bookmarkStart w:id="7452" w:name="_Toc233290492"/>
      <w:bookmarkStart w:id="7453" w:name="_Toc3359"/>
      <w:bookmarkStart w:id="7454" w:name="_Toc233215047"/>
      <w:bookmarkStart w:id="7455" w:name="_Toc30414"/>
      <w:bookmarkStart w:id="7456" w:name="_Toc288491905"/>
      <w:bookmarkStart w:id="7457" w:name="_Toc10961"/>
      <w:bookmarkStart w:id="7458" w:name="_Toc24777"/>
      <w:bookmarkStart w:id="7459" w:name="_Toc282779886"/>
      <w:bookmarkStart w:id="7460" w:name="_Toc10832"/>
      <w:bookmarkStart w:id="7461" w:name="_Toc282779377"/>
      <w:r>
        <w:rPr>
          <w:rFonts w:hint="eastAsia" w:ascii="黑体" w:eastAsia="黑体"/>
          <w:b w:val="0"/>
        </w:rPr>
        <w:t>（一）投标人基本情况表</w:t>
      </w:r>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p>
    <w:tbl>
      <w:tblPr>
        <w:tblStyle w:val="20"/>
        <w:tblW w:w="9085"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76"/>
        <w:gridCol w:w="966"/>
        <w:gridCol w:w="1302"/>
        <w:gridCol w:w="1236"/>
        <w:gridCol w:w="1298"/>
        <w:gridCol w:w="180"/>
        <w:gridCol w:w="636"/>
        <w:gridCol w:w="159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1876" w:type="dxa"/>
            <w:vAlign w:val="center"/>
          </w:tcPr>
          <w:p>
            <w:pPr>
              <w:spacing w:line="320" w:lineRule="exact"/>
              <w:jc w:val="center"/>
              <w:rPr>
                <w:rFonts w:ascii="宋体" w:hAnsi="宋体"/>
              </w:rPr>
            </w:pPr>
            <w:r>
              <w:rPr>
                <w:rFonts w:hint="eastAsia" w:ascii="宋体" w:hAnsi="宋体"/>
              </w:rPr>
              <w:t>投标人名称</w:t>
            </w:r>
          </w:p>
        </w:tc>
        <w:tc>
          <w:tcPr>
            <w:tcW w:w="7209" w:type="dxa"/>
            <w:gridSpan w:val="7"/>
            <w:vAlign w:val="center"/>
          </w:tcPr>
          <w:p>
            <w:pPr>
              <w:spacing w:line="320" w:lineRule="exact"/>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1876" w:type="dxa"/>
            <w:vAlign w:val="center"/>
          </w:tcPr>
          <w:p>
            <w:pPr>
              <w:spacing w:line="320" w:lineRule="exact"/>
              <w:jc w:val="center"/>
              <w:rPr>
                <w:rFonts w:ascii="宋体" w:hAnsi="宋体"/>
              </w:rPr>
            </w:pPr>
            <w:r>
              <w:rPr>
                <w:rFonts w:hint="eastAsia" w:ascii="宋体" w:hAnsi="宋体"/>
              </w:rPr>
              <w:t>注册地址</w:t>
            </w:r>
          </w:p>
        </w:tc>
        <w:tc>
          <w:tcPr>
            <w:tcW w:w="3504" w:type="dxa"/>
            <w:gridSpan w:val="3"/>
            <w:vAlign w:val="center"/>
          </w:tcPr>
          <w:p>
            <w:pPr>
              <w:spacing w:line="320" w:lineRule="exact"/>
              <w:jc w:val="center"/>
              <w:rPr>
                <w:rFonts w:ascii="宋体" w:hAnsi="宋体"/>
              </w:rPr>
            </w:pPr>
          </w:p>
        </w:tc>
        <w:tc>
          <w:tcPr>
            <w:tcW w:w="1298" w:type="dxa"/>
            <w:vAlign w:val="center"/>
          </w:tcPr>
          <w:p>
            <w:pPr>
              <w:spacing w:line="320" w:lineRule="exact"/>
              <w:jc w:val="center"/>
              <w:rPr>
                <w:rFonts w:ascii="宋体" w:hAnsi="宋体"/>
              </w:rPr>
            </w:pPr>
            <w:r>
              <w:rPr>
                <w:rFonts w:hint="eastAsia" w:ascii="宋体" w:hAnsi="宋体"/>
              </w:rPr>
              <w:t>邮政编码</w:t>
            </w:r>
          </w:p>
        </w:tc>
        <w:tc>
          <w:tcPr>
            <w:tcW w:w="2407" w:type="dxa"/>
            <w:gridSpan w:val="3"/>
            <w:vAlign w:val="center"/>
          </w:tcPr>
          <w:p>
            <w:pPr>
              <w:spacing w:line="320" w:lineRule="exact"/>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1876" w:type="dxa"/>
            <w:vMerge w:val="restart"/>
            <w:vAlign w:val="center"/>
          </w:tcPr>
          <w:p>
            <w:pPr>
              <w:spacing w:line="320" w:lineRule="exact"/>
              <w:jc w:val="center"/>
              <w:rPr>
                <w:rFonts w:ascii="宋体" w:hAnsi="宋体"/>
              </w:rPr>
            </w:pPr>
            <w:r>
              <w:rPr>
                <w:rFonts w:hint="eastAsia" w:ascii="宋体" w:hAnsi="宋体"/>
              </w:rPr>
              <w:t>联系方式</w:t>
            </w:r>
          </w:p>
        </w:tc>
        <w:tc>
          <w:tcPr>
            <w:tcW w:w="966" w:type="dxa"/>
            <w:vAlign w:val="center"/>
          </w:tcPr>
          <w:p>
            <w:pPr>
              <w:spacing w:line="320" w:lineRule="exact"/>
              <w:jc w:val="center"/>
              <w:rPr>
                <w:rFonts w:ascii="宋体" w:hAnsi="宋体"/>
              </w:rPr>
            </w:pPr>
            <w:r>
              <w:rPr>
                <w:rFonts w:hint="eastAsia" w:ascii="宋体" w:hAnsi="宋体"/>
              </w:rPr>
              <w:t>联系人</w:t>
            </w:r>
          </w:p>
        </w:tc>
        <w:tc>
          <w:tcPr>
            <w:tcW w:w="2538" w:type="dxa"/>
            <w:gridSpan w:val="2"/>
            <w:vAlign w:val="center"/>
          </w:tcPr>
          <w:p>
            <w:pPr>
              <w:spacing w:line="320" w:lineRule="exact"/>
              <w:jc w:val="center"/>
              <w:rPr>
                <w:rFonts w:ascii="宋体" w:hAnsi="宋体"/>
              </w:rPr>
            </w:pPr>
          </w:p>
        </w:tc>
        <w:tc>
          <w:tcPr>
            <w:tcW w:w="1298" w:type="dxa"/>
            <w:vAlign w:val="center"/>
          </w:tcPr>
          <w:p>
            <w:pPr>
              <w:spacing w:line="320" w:lineRule="exact"/>
              <w:jc w:val="center"/>
              <w:rPr>
                <w:rFonts w:ascii="宋体" w:hAnsi="宋体"/>
              </w:rPr>
            </w:pPr>
            <w:r>
              <w:rPr>
                <w:rFonts w:hint="eastAsia" w:ascii="宋体" w:hAnsi="宋体"/>
              </w:rPr>
              <w:t>电话</w:t>
            </w:r>
          </w:p>
        </w:tc>
        <w:tc>
          <w:tcPr>
            <w:tcW w:w="2407" w:type="dxa"/>
            <w:gridSpan w:val="3"/>
            <w:vAlign w:val="center"/>
          </w:tcPr>
          <w:p>
            <w:pPr>
              <w:spacing w:line="320" w:lineRule="exact"/>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1876" w:type="dxa"/>
            <w:vMerge w:val="continue"/>
            <w:vAlign w:val="center"/>
          </w:tcPr>
          <w:p>
            <w:pPr>
              <w:spacing w:line="320" w:lineRule="exact"/>
              <w:jc w:val="center"/>
              <w:rPr>
                <w:rFonts w:ascii="宋体" w:hAnsi="宋体"/>
              </w:rPr>
            </w:pPr>
          </w:p>
        </w:tc>
        <w:tc>
          <w:tcPr>
            <w:tcW w:w="966" w:type="dxa"/>
            <w:vAlign w:val="center"/>
          </w:tcPr>
          <w:p>
            <w:pPr>
              <w:spacing w:line="320" w:lineRule="exact"/>
              <w:jc w:val="center"/>
              <w:rPr>
                <w:rFonts w:ascii="宋体" w:hAnsi="宋体"/>
              </w:rPr>
            </w:pPr>
            <w:r>
              <w:rPr>
                <w:rFonts w:hint="eastAsia" w:ascii="宋体" w:hAnsi="宋体"/>
              </w:rPr>
              <w:t>传真</w:t>
            </w:r>
          </w:p>
        </w:tc>
        <w:tc>
          <w:tcPr>
            <w:tcW w:w="2538" w:type="dxa"/>
            <w:gridSpan w:val="2"/>
            <w:vAlign w:val="center"/>
          </w:tcPr>
          <w:p>
            <w:pPr>
              <w:spacing w:line="320" w:lineRule="exact"/>
              <w:jc w:val="center"/>
              <w:rPr>
                <w:rFonts w:ascii="宋体" w:hAnsi="宋体"/>
              </w:rPr>
            </w:pPr>
          </w:p>
        </w:tc>
        <w:tc>
          <w:tcPr>
            <w:tcW w:w="1298" w:type="dxa"/>
            <w:vAlign w:val="center"/>
          </w:tcPr>
          <w:p>
            <w:pPr>
              <w:spacing w:line="320" w:lineRule="exact"/>
              <w:jc w:val="center"/>
              <w:rPr>
                <w:rFonts w:ascii="宋体" w:hAnsi="宋体"/>
              </w:rPr>
            </w:pPr>
            <w:r>
              <w:rPr>
                <w:rFonts w:hint="eastAsia" w:ascii="宋体" w:hAnsi="宋体"/>
              </w:rPr>
              <w:t>电子邮件</w:t>
            </w:r>
          </w:p>
        </w:tc>
        <w:tc>
          <w:tcPr>
            <w:tcW w:w="2407" w:type="dxa"/>
            <w:gridSpan w:val="3"/>
            <w:vAlign w:val="center"/>
          </w:tcPr>
          <w:p>
            <w:pPr>
              <w:spacing w:line="320" w:lineRule="exact"/>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1876" w:type="dxa"/>
            <w:vAlign w:val="center"/>
          </w:tcPr>
          <w:p>
            <w:pPr>
              <w:spacing w:line="320" w:lineRule="exact"/>
              <w:jc w:val="center"/>
              <w:rPr>
                <w:rFonts w:ascii="宋体" w:hAnsi="宋体"/>
              </w:rPr>
            </w:pPr>
            <w:r>
              <w:rPr>
                <w:rFonts w:hint="eastAsia" w:ascii="宋体" w:hAnsi="宋体"/>
              </w:rPr>
              <w:t>法定代表人</w:t>
            </w:r>
          </w:p>
        </w:tc>
        <w:tc>
          <w:tcPr>
            <w:tcW w:w="966" w:type="dxa"/>
            <w:vAlign w:val="center"/>
          </w:tcPr>
          <w:p>
            <w:pPr>
              <w:spacing w:line="320" w:lineRule="exact"/>
              <w:jc w:val="center"/>
              <w:rPr>
                <w:rFonts w:ascii="宋体" w:hAnsi="宋体"/>
              </w:rPr>
            </w:pPr>
            <w:r>
              <w:rPr>
                <w:rFonts w:hint="eastAsia" w:ascii="宋体" w:hAnsi="宋体"/>
              </w:rPr>
              <w:t>姓名</w:t>
            </w:r>
          </w:p>
        </w:tc>
        <w:tc>
          <w:tcPr>
            <w:tcW w:w="1302" w:type="dxa"/>
            <w:vAlign w:val="center"/>
          </w:tcPr>
          <w:p>
            <w:pPr>
              <w:spacing w:line="320" w:lineRule="exact"/>
              <w:jc w:val="center"/>
              <w:rPr>
                <w:rFonts w:ascii="宋体" w:hAnsi="宋体"/>
              </w:rPr>
            </w:pPr>
          </w:p>
        </w:tc>
        <w:tc>
          <w:tcPr>
            <w:tcW w:w="1236" w:type="dxa"/>
            <w:vAlign w:val="center"/>
          </w:tcPr>
          <w:p>
            <w:pPr>
              <w:spacing w:line="320" w:lineRule="exact"/>
              <w:jc w:val="center"/>
              <w:rPr>
                <w:rFonts w:ascii="宋体" w:hAnsi="宋体"/>
              </w:rPr>
            </w:pPr>
            <w:r>
              <w:rPr>
                <w:rFonts w:hint="eastAsia" w:ascii="宋体" w:hAnsi="宋体"/>
              </w:rPr>
              <w:t>技术职称</w:t>
            </w:r>
          </w:p>
        </w:tc>
        <w:tc>
          <w:tcPr>
            <w:tcW w:w="1298" w:type="dxa"/>
            <w:vAlign w:val="center"/>
          </w:tcPr>
          <w:p>
            <w:pPr>
              <w:spacing w:line="320" w:lineRule="exact"/>
              <w:jc w:val="center"/>
              <w:rPr>
                <w:rFonts w:ascii="宋体" w:hAnsi="宋体"/>
              </w:rPr>
            </w:pPr>
          </w:p>
        </w:tc>
        <w:tc>
          <w:tcPr>
            <w:tcW w:w="816" w:type="dxa"/>
            <w:gridSpan w:val="2"/>
            <w:vAlign w:val="center"/>
          </w:tcPr>
          <w:p>
            <w:pPr>
              <w:spacing w:line="320" w:lineRule="exact"/>
              <w:jc w:val="center"/>
              <w:rPr>
                <w:rFonts w:ascii="宋体" w:hAnsi="宋体"/>
              </w:rPr>
            </w:pPr>
            <w:r>
              <w:rPr>
                <w:rFonts w:hint="eastAsia" w:ascii="宋体" w:hAnsi="宋体"/>
              </w:rPr>
              <w:t>电话</w:t>
            </w:r>
          </w:p>
        </w:tc>
        <w:tc>
          <w:tcPr>
            <w:tcW w:w="1591" w:type="dxa"/>
            <w:vAlign w:val="center"/>
          </w:tcPr>
          <w:p>
            <w:pPr>
              <w:spacing w:line="320" w:lineRule="exact"/>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1876" w:type="dxa"/>
            <w:vAlign w:val="center"/>
          </w:tcPr>
          <w:p>
            <w:pPr>
              <w:spacing w:line="320" w:lineRule="exact"/>
              <w:jc w:val="center"/>
              <w:rPr>
                <w:rFonts w:ascii="宋体" w:hAnsi="宋体"/>
              </w:rPr>
            </w:pPr>
            <w:r>
              <w:rPr>
                <w:rFonts w:hint="eastAsia" w:ascii="宋体" w:hAnsi="宋体"/>
              </w:rPr>
              <w:t>技术负责人</w:t>
            </w:r>
          </w:p>
        </w:tc>
        <w:tc>
          <w:tcPr>
            <w:tcW w:w="966" w:type="dxa"/>
            <w:vAlign w:val="center"/>
          </w:tcPr>
          <w:p>
            <w:pPr>
              <w:spacing w:line="320" w:lineRule="exact"/>
              <w:jc w:val="center"/>
              <w:rPr>
                <w:rFonts w:ascii="宋体" w:hAnsi="宋体"/>
              </w:rPr>
            </w:pPr>
            <w:r>
              <w:rPr>
                <w:rFonts w:hint="eastAsia" w:ascii="宋体" w:hAnsi="宋体"/>
              </w:rPr>
              <w:t>姓名</w:t>
            </w:r>
          </w:p>
        </w:tc>
        <w:tc>
          <w:tcPr>
            <w:tcW w:w="1302" w:type="dxa"/>
            <w:vAlign w:val="center"/>
          </w:tcPr>
          <w:p>
            <w:pPr>
              <w:spacing w:line="320" w:lineRule="exact"/>
              <w:jc w:val="center"/>
              <w:rPr>
                <w:rFonts w:ascii="宋体" w:hAnsi="宋体"/>
              </w:rPr>
            </w:pPr>
          </w:p>
        </w:tc>
        <w:tc>
          <w:tcPr>
            <w:tcW w:w="1236" w:type="dxa"/>
            <w:vAlign w:val="center"/>
          </w:tcPr>
          <w:p>
            <w:pPr>
              <w:spacing w:line="320" w:lineRule="exact"/>
              <w:jc w:val="center"/>
              <w:rPr>
                <w:rFonts w:ascii="宋体" w:hAnsi="宋体"/>
              </w:rPr>
            </w:pPr>
            <w:r>
              <w:rPr>
                <w:rFonts w:hint="eastAsia" w:ascii="宋体" w:hAnsi="宋体"/>
              </w:rPr>
              <w:t>技术职称</w:t>
            </w:r>
          </w:p>
        </w:tc>
        <w:tc>
          <w:tcPr>
            <w:tcW w:w="1298" w:type="dxa"/>
            <w:vAlign w:val="center"/>
          </w:tcPr>
          <w:p>
            <w:pPr>
              <w:spacing w:line="320" w:lineRule="exact"/>
              <w:jc w:val="center"/>
              <w:rPr>
                <w:rFonts w:ascii="宋体" w:hAnsi="宋体"/>
              </w:rPr>
            </w:pPr>
          </w:p>
        </w:tc>
        <w:tc>
          <w:tcPr>
            <w:tcW w:w="816" w:type="dxa"/>
            <w:gridSpan w:val="2"/>
            <w:vAlign w:val="center"/>
          </w:tcPr>
          <w:p>
            <w:pPr>
              <w:spacing w:line="320" w:lineRule="exact"/>
              <w:jc w:val="center"/>
              <w:rPr>
                <w:rFonts w:ascii="宋体" w:hAnsi="宋体"/>
              </w:rPr>
            </w:pPr>
            <w:r>
              <w:rPr>
                <w:rFonts w:hint="eastAsia" w:ascii="宋体" w:hAnsi="宋体"/>
              </w:rPr>
              <w:t>电话</w:t>
            </w:r>
          </w:p>
        </w:tc>
        <w:tc>
          <w:tcPr>
            <w:tcW w:w="1591" w:type="dxa"/>
            <w:vAlign w:val="center"/>
          </w:tcPr>
          <w:p>
            <w:pPr>
              <w:spacing w:line="320" w:lineRule="exact"/>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1876" w:type="dxa"/>
            <w:vAlign w:val="center"/>
          </w:tcPr>
          <w:p>
            <w:pPr>
              <w:spacing w:line="320" w:lineRule="exact"/>
              <w:jc w:val="center"/>
              <w:rPr>
                <w:rFonts w:ascii="宋体" w:hAnsi="宋体"/>
              </w:rPr>
            </w:pPr>
            <w:r>
              <w:rPr>
                <w:rFonts w:hint="eastAsia" w:ascii="宋体" w:hAnsi="宋体"/>
              </w:rPr>
              <w:t>成立时间</w:t>
            </w:r>
          </w:p>
        </w:tc>
        <w:tc>
          <w:tcPr>
            <w:tcW w:w="2268" w:type="dxa"/>
            <w:gridSpan w:val="2"/>
            <w:vAlign w:val="center"/>
          </w:tcPr>
          <w:p>
            <w:pPr>
              <w:spacing w:line="320" w:lineRule="exact"/>
              <w:jc w:val="center"/>
              <w:rPr>
                <w:rFonts w:ascii="宋体" w:hAnsi="宋体"/>
              </w:rPr>
            </w:pPr>
          </w:p>
        </w:tc>
        <w:tc>
          <w:tcPr>
            <w:tcW w:w="4941" w:type="dxa"/>
            <w:gridSpan w:val="5"/>
            <w:vAlign w:val="center"/>
          </w:tcPr>
          <w:p>
            <w:pPr>
              <w:spacing w:line="320" w:lineRule="exact"/>
              <w:jc w:val="center"/>
              <w:rPr>
                <w:rFonts w:ascii="宋体" w:hAnsi="宋体"/>
              </w:rPr>
            </w:pPr>
            <w:r>
              <w:rPr>
                <w:rFonts w:hint="eastAsia" w:ascii="宋体" w:hAnsi="宋体"/>
              </w:rPr>
              <w:t>员工总人数：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1876" w:type="dxa"/>
            <w:vAlign w:val="center"/>
          </w:tcPr>
          <w:p>
            <w:pPr>
              <w:spacing w:line="320" w:lineRule="exact"/>
              <w:jc w:val="center"/>
              <w:rPr>
                <w:rFonts w:ascii="宋体" w:hAnsi="宋体"/>
              </w:rPr>
            </w:pPr>
            <w:r>
              <w:rPr>
                <w:rFonts w:hint="eastAsia" w:ascii="宋体" w:hAnsi="宋体"/>
              </w:rPr>
              <w:t>企业资质等级</w:t>
            </w:r>
          </w:p>
        </w:tc>
        <w:tc>
          <w:tcPr>
            <w:tcW w:w="2268" w:type="dxa"/>
            <w:gridSpan w:val="2"/>
            <w:vAlign w:val="center"/>
          </w:tcPr>
          <w:p>
            <w:pPr>
              <w:spacing w:line="320" w:lineRule="exact"/>
              <w:jc w:val="center"/>
              <w:rPr>
                <w:rFonts w:ascii="宋体" w:hAnsi="宋体"/>
              </w:rPr>
            </w:pPr>
          </w:p>
        </w:tc>
        <w:tc>
          <w:tcPr>
            <w:tcW w:w="1236" w:type="dxa"/>
            <w:vMerge w:val="restart"/>
            <w:vAlign w:val="center"/>
          </w:tcPr>
          <w:p>
            <w:pPr>
              <w:spacing w:line="320" w:lineRule="exact"/>
              <w:jc w:val="center"/>
              <w:rPr>
                <w:rFonts w:ascii="宋体" w:hAnsi="宋体"/>
              </w:rPr>
            </w:pPr>
            <w:r>
              <w:rPr>
                <w:rFonts w:hint="eastAsia" w:ascii="宋体" w:hAnsi="宋体"/>
              </w:rPr>
              <w:t>其中</w:t>
            </w:r>
          </w:p>
        </w:tc>
        <w:tc>
          <w:tcPr>
            <w:tcW w:w="1478" w:type="dxa"/>
            <w:gridSpan w:val="2"/>
            <w:vAlign w:val="center"/>
          </w:tcPr>
          <w:p>
            <w:pPr>
              <w:spacing w:line="320" w:lineRule="exact"/>
              <w:jc w:val="center"/>
              <w:rPr>
                <w:rFonts w:ascii="宋体" w:hAnsi="宋体"/>
              </w:rPr>
            </w:pPr>
            <w:r>
              <w:rPr>
                <w:rFonts w:hint="eastAsia" w:ascii="宋体" w:hAnsi="宋体"/>
              </w:rPr>
              <w:t>项目经理</w:t>
            </w:r>
          </w:p>
        </w:tc>
        <w:tc>
          <w:tcPr>
            <w:tcW w:w="2227" w:type="dxa"/>
            <w:gridSpan w:val="2"/>
            <w:vAlign w:val="center"/>
          </w:tcPr>
          <w:p>
            <w:pPr>
              <w:spacing w:line="320" w:lineRule="exact"/>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1876" w:type="dxa"/>
            <w:vAlign w:val="center"/>
          </w:tcPr>
          <w:p>
            <w:pPr>
              <w:spacing w:line="320" w:lineRule="exact"/>
              <w:jc w:val="center"/>
              <w:rPr>
                <w:rFonts w:ascii="宋体" w:hAnsi="宋体"/>
              </w:rPr>
            </w:pPr>
            <w:r>
              <w:rPr>
                <w:rFonts w:hint="eastAsia" w:ascii="宋体" w:hAnsi="宋体"/>
              </w:rPr>
              <w:t>营业执照号</w:t>
            </w:r>
          </w:p>
        </w:tc>
        <w:tc>
          <w:tcPr>
            <w:tcW w:w="2268" w:type="dxa"/>
            <w:gridSpan w:val="2"/>
            <w:vAlign w:val="center"/>
          </w:tcPr>
          <w:p>
            <w:pPr>
              <w:spacing w:line="320" w:lineRule="exact"/>
              <w:jc w:val="center"/>
              <w:rPr>
                <w:rFonts w:ascii="宋体" w:hAnsi="宋体"/>
              </w:rPr>
            </w:pPr>
          </w:p>
        </w:tc>
        <w:tc>
          <w:tcPr>
            <w:tcW w:w="1236" w:type="dxa"/>
            <w:vMerge w:val="continue"/>
            <w:vAlign w:val="center"/>
          </w:tcPr>
          <w:p>
            <w:pPr>
              <w:spacing w:line="320" w:lineRule="exact"/>
              <w:jc w:val="center"/>
              <w:rPr>
                <w:rFonts w:ascii="宋体" w:hAnsi="宋体"/>
              </w:rPr>
            </w:pPr>
          </w:p>
        </w:tc>
        <w:tc>
          <w:tcPr>
            <w:tcW w:w="1478" w:type="dxa"/>
            <w:gridSpan w:val="2"/>
            <w:vAlign w:val="center"/>
          </w:tcPr>
          <w:p>
            <w:pPr>
              <w:spacing w:line="320" w:lineRule="exact"/>
              <w:ind w:left="-105" w:leftChars="-50" w:right="-105" w:rightChars="-50"/>
              <w:jc w:val="center"/>
              <w:rPr>
                <w:rFonts w:ascii="宋体" w:hAnsi="宋体"/>
              </w:rPr>
            </w:pPr>
            <w:r>
              <w:rPr>
                <w:rFonts w:hint="eastAsia" w:ascii="宋体" w:hAnsi="宋体"/>
              </w:rPr>
              <w:t>高级职称人员</w:t>
            </w:r>
          </w:p>
        </w:tc>
        <w:tc>
          <w:tcPr>
            <w:tcW w:w="2227" w:type="dxa"/>
            <w:gridSpan w:val="2"/>
            <w:vAlign w:val="center"/>
          </w:tcPr>
          <w:p>
            <w:pPr>
              <w:spacing w:line="320" w:lineRule="exact"/>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1876" w:type="dxa"/>
            <w:vAlign w:val="center"/>
          </w:tcPr>
          <w:p>
            <w:pPr>
              <w:spacing w:line="320" w:lineRule="exact"/>
              <w:jc w:val="center"/>
              <w:rPr>
                <w:rFonts w:ascii="宋体" w:hAnsi="宋体"/>
              </w:rPr>
            </w:pPr>
            <w:r>
              <w:rPr>
                <w:rFonts w:hint="eastAsia" w:ascii="宋体" w:hAnsi="宋体"/>
              </w:rPr>
              <w:t>注册资金</w:t>
            </w:r>
          </w:p>
        </w:tc>
        <w:tc>
          <w:tcPr>
            <w:tcW w:w="2268" w:type="dxa"/>
            <w:gridSpan w:val="2"/>
            <w:vAlign w:val="center"/>
          </w:tcPr>
          <w:p>
            <w:pPr>
              <w:spacing w:line="320" w:lineRule="exact"/>
              <w:jc w:val="center"/>
              <w:rPr>
                <w:rFonts w:ascii="宋体" w:hAnsi="宋体"/>
              </w:rPr>
            </w:pPr>
          </w:p>
        </w:tc>
        <w:tc>
          <w:tcPr>
            <w:tcW w:w="1236" w:type="dxa"/>
            <w:vMerge w:val="continue"/>
            <w:vAlign w:val="center"/>
          </w:tcPr>
          <w:p>
            <w:pPr>
              <w:spacing w:line="320" w:lineRule="exact"/>
              <w:jc w:val="center"/>
              <w:rPr>
                <w:rFonts w:ascii="宋体" w:hAnsi="宋体"/>
              </w:rPr>
            </w:pPr>
          </w:p>
        </w:tc>
        <w:tc>
          <w:tcPr>
            <w:tcW w:w="1478" w:type="dxa"/>
            <w:gridSpan w:val="2"/>
            <w:vAlign w:val="center"/>
          </w:tcPr>
          <w:p>
            <w:pPr>
              <w:spacing w:line="320" w:lineRule="exact"/>
              <w:ind w:left="-105" w:leftChars="-50" w:right="-105" w:rightChars="-50"/>
              <w:jc w:val="center"/>
              <w:rPr>
                <w:rFonts w:ascii="宋体" w:hAnsi="宋体"/>
              </w:rPr>
            </w:pPr>
            <w:r>
              <w:rPr>
                <w:rFonts w:hint="eastAsia" w:ascii="宋体" w:hAnsi="宋体"/>
              </w:rPr>
              <w:t>中级职称人员</w:t>
            </w:r>
          </w:p>
        </w:tc>
        <w:tc>
          <w:tcPr>
            <w:tcW w:w="2227" w:type="dxa"/>
            <w:gridSpan w:val="2"/>
            <w:vAlign w:val="center"/>
          </w:tcPr>
          <w:p>
            <w:pPr>
              <w:spacing w:line="320" w:lineRule="exact"/>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1876" w:type="dxa"/>
            <w:vAlign w:val="center"/>
          </w:tcPr>
          <w:p>
            <w:pPr>
              <w:spacing w:line="320" w:lineRule="exact"/>
              <w:ind w:left="-105" w:leftChars="-50" w:right="-105" w:rightChars="-50"/>
              <w:jc w:val="center"/>
              <w:rPr>
                <w:rFonts w:ascii="宋体" w:hAnsi="宋体"/>
              </w:rPr>
            </w:pPr>
            <w:r>
              <w:rPr>
                <w:rFonts w:hint="eastAsia" w:ascii="宋体" w:hAnsi="宋体"/>
              </w:rPr>
              <w:t>基本账户开户银行</w:t>
            </w:r>
          </w:p>
        </w:tc>
        <w:tc>
          <w:tcPr>
            <w:tcW w:w="2268" w:type="dxa"/>
            <w:gridSpan w:val="2"/>
            <w:vAlign w:val="center"/>
          </w:tcPr>
          <w:p>
            <w:pPr>
              <w:spacing w:line="320" w:lineRule="exact"/>
              <w:jc w:val="center"/>
              <w:rPr>
                <w:rFonts w:ascii="宋体" w:hAnsi="宋体"/>
              </w:rPr>
            </w:pPr>
          </w:p>
        </w:tc>
        <w:tc>
          <w:tcPr>
            <w:tcW w:w="1236" w:type="dxa"/>
            <w:vMerge w:val="continue"/>
            <w:vAlign w:val="center"/>
          </w:tcPr>
          <w:p>
            <w:pPr>
              <w:spacing w:line="320" w:lineRule="exact"/>
              <w:jc w:val="center"/>
              <w:rPr>
                <w:rFonts w:ascii="宋体" w:hAnsi="宋体"/>
              </w:rPr>
            </w:pPr>
          </w:p>
        </w:tc>
        <w:tc>
          <w:tcPr>
            <w:tcW w:w="1478" w:type="dxa"/>
            <w:gridSpan w:val="2"/>
            <w:vAlign w:val="center"/>
          </w:tcPr>
          <w:p>
            <w:pPr>
              <w:spacing w:line="320" w:lineRule="exact"/>
              <w:ind w:left="-105" w:leftChars="-50" w:right="-105" w:rightChars="-50"/>
              <w:jc w:val="center"/>
              <w:rPr>
                <w:rFonts w:ascii="宋体" w:hAnsi="宋体"/>
              </w:rPr>
            </w:pPr>
            <w:r>
              <w:rPr>
                <w:rFonts w:hint="eastAsia" w:ascii="宋体" w:hAnsi="宋体"/>
              </w:rPr>
              <w:t>初级职称人员</w:t>
            </w:r>
          </w:p>
        </w:tc>
        <w:tc>
          <w:tcPr>
            <w:tcW w:w="2227" w:type="dxa"/>
            <w:gridSpan w:val="2"/>
            <w:vAlign w:val="center"/>
          </w:tcPr>
          <w:p>
            <w:pPr>
              <w:spacing w:line="320" w:lineRule="exact"/>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1876" w:type="dxa"/>
            <w:vAlign w:val="center"/>
          </w:tcPr>
          <w:p>
            <w:pPr>
              <w:spacing w:line="320" w:lineRule="exact"/>
              <w:jc w:val="center"/>
              <w:rPr>
                <w:rFonts w:ascii="宋体" w:hAnsi="宋体"/>
              </w:rPr>
            </w:pPr>
            <w:r>
              <w:rPr>
                <w:rFonts w:hint="eastAsia" w:ascii="宋体" w:hAnsi="宋体"/>
              </w:rPr>
              <w:t>基本账户账号</w:t>
            </w:r>
          </w:p>
        </w:tc>
        <w:tc>
          <w:tcPr>
            <w:tcW w:w="2268" w:type="dxa"/>
            <w:gridSpan w:val="2"/>
            <w:vAlign w:val="center"/>
          </w:tcPr>
          <w:p>
            <w:pPr>
              <w:spacing w:line="320" w:lineRule="exact"/>
              <w:jc w:val="center"/>
              <w:rPr>
                <w:rFonts w:ascii="宋体" w:hAnsi="宋体"/>
              </w:rPr>
            </w:pPr>
          </w:p>
        </w:tc>
        <w:tc>
          <w:tcPr>
            <w:tcW w:w="1236" w:type="dxa"/>
            <w:vMerge w:val="continue"/>
            <w:vAlign w:val="center"/>
          </w:tcPr>
          <w:p>
            <w:pPr>
              <w:spacing w:line="320" w:lineRule="exact"/>
              <w:jc w:val="center"/>
              <w:rPr>
                <w:rFonts w:ascii="宋体" w:hAnsi="宋体"/>
              </w:rPr>
            </w:pPr>
          </w:p>
        </w:tc>
        <w:tc>
          <w:tcPr>
            <w:tcW w:w="1478" w:type="dxa"/>
            <w:gridSpan w:val="2"/>
            <w:vAlign w:val="center"/>
          </w:tcPr>
          <w:p>
            <w:pPr>
              <w:spacing w:line="320" w:lineRule="exact"/>
              <w:jc w:val="center"/>
              <w:rPr>
                <w:rFonts w:ascii="宋体" w:hAnsi="宋体"/>
              </w:rPr>
            </w:pPr>
            <w:r>
              <w:rPr>
                <w:rFonts w:hint="eastAsia" w:ascii="宋体" w:hAnsi="宋体"/>
              </w:rPr>
              <w:t>技工</w:t>
            </w:r>
          </w:p>
        </w:tc>
        <w:tc>
          <w:tcPr>
            <w:tcW w:w="2227" w:type="dxa"/>
            <w:gridSpan w:val="2"/>
            <w:vAlign w:val="center"/>
          </w:tcPr>
          <w:p>
            <w:pPr>
              <w:spacing w:line="320" w:lineRule="exact"/>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10" w:hRule="atLeast"/>
        </w:trPr>
        <w:tc>
          <w:tcPr>
            <w:tcW w:w="1876" w:type="dxa"/>
            <w:vAlign w:val="center"/>
          </w:tcPr>
          <w:p>
            <w:pPr>
              <w:spacing w:line="320" w:lineRule="exact"/>
              <w:jc w:val="center"/>
              <w:rPr>
                <w:rFonts w:ascii="宋体" w:hAnsi="宋体"/>
              </w:rPr>
            </w:pPr>
            <w:r>
              <w:rPr>
                <w:rFonts w:hint="eastAsia" w:ascii="宋体" w:hAnsi="宋体"/>
              </w:rPr>
              <w:t>经营范围</w:t>
            </w:r>
          </w:p>
        </w:tc>
        <w:tc>
          <w:tcPr>
            <w:tcW w:w="7209" w:type="dxa"/>
            <w:gridSpan w:val="7"/>
            <w:vAlign w:val="center"/>
          </w:tcPr>
          <w:p>
            <w:pPr>
              <w:spacing w:line="320" w:lineRule="exact"/>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9" w:hRule="atLeast"/>
        </w:trPr>
        <w:tc>
          <w:tcPr>
            <w:tcW w:w="1876" w:type="dxa"/>
            <w:vAlign w:val="center"/>
          </w:tcPr>
          <w:p>
            <w:pPr>
              <w:spacing w:line="320" w:lineRule="exact"/>
              <w:jc w:val="center"/>
              <w:rPr>
                <w:rFonts w:ascii="宋体" w:hAnsi="宋体"/>
              </w:rPr>
            </w:pPr>
            <w:r>
              <w:rPr>
                <w:rFonts w:hint="eastAsia" w:ascii="宋体" w:hAnsi="宋体"/>
              </w:rPr>
              <w:t>资产构成情况及投资参股的关联企业情况</w:t>
            </w:r>
          </w:p>
        </w:tc>
        <w:tc>
          <w:tcPr>
            <w:tcW w:w="7209" w:type="dxa"/>
            <w:gridSpan w:val="7"/>
            <w:vAlign w:val="center"/>
          </w:tcPr>
          <w:p>
            <w:pPr>
              <w:spacing w:line="320" w:lineRule="exact"/>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9" w:hRule="atLeast"/>
        </w:trPr>
        <w:tc>
          <w:tcPr>
            <w:tcW w:w="1876" w:type="dxa"/>
            <w:vAlign w:val="center"/>
          </w:tcPr>
          <w:p>
            <w:pPr>
              <w:spacing w:line="320" w:lineRule="exact"/>
              <w:jc w:val="center"/>
              <w:rPr>
                <w:rFonts w:ascii="宋体" w:hAnsi="宋体"/>
              </w:rPr>
            </w:pPr>
            <w:r>
              <w:rPr>
                <w:rFonts w:hint="eastAsia" w:ascii="宋体" w:hAnsi="宋体"/>
              </w:rPr>
              <w:t>备注</w:t>
            </w:r>
          </w:p>
        </w:tc>
        <w:tc>
          <w:tcPr>
            <w:tcW w:w="7209" w:type="dxa"/>
            <w:gridSpan w:val="7"/>
            <w:vAlign w:val="center"/>
          </w:tcPr>
          <w:p>
            <w:pPr>
              <w:spacing w:line="320" w:lineRule="exact"/>
              <w:jc w:val="center"/>
              <w:rPr>
                <w:rFonts w:ascii="宋体" w:hAnsi="宋体"/>
              </w:rPr>
            </w:pPr>
          </w:p>
        </w:tc>
      </w:tr>
    </w:tbl>
    <w:p>
      <w:pPr>
        <w:spacing w:before="3"/>
        <w:jc w:val="left"/>
        <w:rPr>
          <w:rFonts w:ascii="黑体" w:hAnsi="宋体" w:eastAsia="黑体"/>
          <w:sz w:val="18"/>
          <w:szCs w:val="18"/>
        </w:rPr>
      </w:pPr>
    </w:p>
    <w:p>
      <w:pPr>
        <w:spacing w:before="3"/>
        <w:ind w:firstLine="210" w:firstLineChars="100"/>
        <w:jc w:val="left"/>
        <w:rPr>
          <w:rFonts w:ascii="楷体" w:hAnsi="楷体" w:cs="楷体"/>
          <w:szCs w:val="21"/>
        </w:rPr>
      </w:pPr>
      <w:r>
        <w:rPr>
          <w:rFonts w:hint="eastAsia" w:ascii="楷体" w:hAnsi="楷体" w:cs="楷体"/>
          <w:szCs w:val="21"/>
        </w:rPr>
        <w:t>注：1．在本表后应附企业营业执照副本（全本，</w:t>
      </w:r>
      <w:r>
        <w:rPr>
          <w:rFonts w:hint="eastAsia" w:ascii="楷体" w:hAnsi="楷体" w:cs="楷体"/>
          <w:spacing w:val="-4"/>
          <w:w w:val="101"/>
          <w:szCs w:val="21"/>
        </w:rPr>
        <w:t>并加盖单位电子公章</w:t>
      </w:r>
      <w:r>
        <w:rPr>
          <w:rFonts w:hint="eastAsia" w:ascii="楷体" w:hAnsi="楷体" w:cs="楷体"/>
          <w:szCs w:val="21"/>
        </w:rPr>
        <w:t>）、施工养护资质证书副本（全本，</w:t>
      </w:r>
      <w:r>
        <w:rPr>
          <w:rFonts w:hint="eastAsia" w:ascii="楷体" w:hAnsi="楷体" w:cs="楷体"/>
          <w:spacing w:val="-4"/>
          <w:w w:val="101"/>
          <w:szCs w:val="21"/>
        </w:rPr>
        <w:t>并加盖单位电子公章</w:t>
      </w:r>
      <w:r>
        <w:rPr>
          <w:rFonts w:hint="eastAsia" w:ascii="楷体" w:hAnsi="楷体" w:cs="楷体"/>
          <w:szCs w:val="21"/>
        </w:rPr>
        <w:t>）、基本账户开户许可证</w:t>
      </w:r>
      <w:r>
        <w:rPr>
          <w:rFonts w:hint="eastAsia" w:ascii="仿宋" w:hAnsi="仿宋" w:eastAsia="仿宋" w:cs="仿宋"/>
          <w:szCs w:val="21"/>
        </w:rPr>
        <w:t>（已试点取消企业基本账户开户许可证核发的地区也可提供基本存款账户信息）</w:t>
      </w:r>
      <w:r>
        <w:rPr>
          <w:rFonts w:hint="eastAsia" w:ascii="楷体" w:hAnsi="楷体" w:cs="楷体"/>
          <w:szCs w:val="21"/>
        </w:rPr>
        <w:t>（</w:t>
      </w:r>
      <w:r>
        <w:rPr>
          <w:rFonts w:hint="eastAsia" w:ascii="楷体" w:hAnsi="楷体" w:cs="楷体"/>
          <w:spacing w:val="-4"/>
          <w:w w:val="101"/>
          <w:szCs w:val="21"/>
        </w:rPr>
        <w:t>并加盖单位电子公章</w:t>
      </w:r>
      <w:r>
        <w:rPr>
          <w:rFonts w:hint="eastAsia" w:ascii="楷体" w:hAnsi="楷体" w:cs="楷体"/>
          <w:szCs w:val="21"/>
        </w:rPr>
        <w:t>）等相关资料的彩色扫描件。</w:t>
      </w:r>
    </w:p>
    <w:p>
      <w:pPr>
        <w:spacing w:beforeLines="50" w:line="300" w:lineRule="exact"/>
        <w:ind w:left="540" w:hanging="540" w:hangingChars="300"/>
        <w:rPr>
          <w:sz w:val="18"/>
          <w:szCs w:val="18"/>
        </w:rPr>
      </w:pPr>
    </w:p>
    <w:p>
      <w:pPr>
        <w:pStyle w:val="6"/>
        <w:jc w:val="center"/>
        <w:rPr>
          <w:rFonts w:ascii="黑体" w:eastAsia="黑体"/>
          <w:b w:val="0"/>
        </w:rPr>
      </w:pPr>
      <w:bookmarkStart w:id="7462" w:name="_Toc28214"/>
      <w:bookmarkStart w:id="7463" w:name="_Toc2579"/>
      <w:bookmarkStart w:id="7464" w:name="_Toc27650"/>
      <w:bookmarkStart w:id="7465" w:name="_Toc15061"/>
      <w:bookmarkStart w:id="7466" w:name="_Toc252720334"/>
      <w:bookmarkStart w:id="7467" w:name="_Toc28954"/>
      <w:bookmarkStart w:id="7468" w:name="_Toc32748"/>
      <w:bookmarkStart w:id="7469" w:name="_Toc2177"/>
      <w:bookmarkStart w:id="7470" w:name="_Toc30744"/>
      <w:bookmarkStart w:id="7471" w:name="_Toc23166"/>
      <w:bookmarkStart w:id="7472" w:name="_Toc20008"/>
      <w:bookmarkStart w:id="7473" w:name="_Toc15756"/>
      <w:bookmarkStart w:id="7474" w:name="_Toc233215048"/>
      <w:bookmarkStart w:id="7475" w:name="_Toc12093"/>
      <w:bookmarkStart w:id="7476" w:name="_Toc9182"/>
      <w:bookmarkStart w:id="7477" w:name="_Toc233429895"/>
      <w:bookmarkStart w:id="7478" w:name="_Toc283794575"/>
      <w:bookmarkStart w:id="7479" w:name="_Toc282779378"/>
      <w:bookmarkStart w:id="7480" w:name="_Toc288547031"/>
      <w:bookmarkStart w:id="7481" w:name="_Toc28383"/>
      <w:bookmarkStart w:id="7482" w:name="_Toc282787842"/>
      <w:bookmarkStart w:id="7483" w:name="_Toc287853728"/>
      <w:bookmarkStart w:id="7484" w:name="_Toc233290493"/>
      <w:bookmarkStart w:id="7485" w:name="_Toc16847"/>
      <w:bookmarkStart w:id="7486" w:name="_Toc282779887"/>
      <w:bookmarkStart w:id="7487" w:name="_Toc233423378"/>
      <w:bookmarkStart w:id="7488" w:name="_Toc133"/>
      <w:bookmarkStart w:id="7489" w:name="_Toc1633"/>
      <w:bookmarkStart w:id="7490" w:name="_Toc2179"/>
      <w:bookmarkStart w:id="7491" w:name="_Toc233436036"/>
      <w:bookmarkStart w:id="7492" w:name="_Toc288491906"/>
      <w:r>
        <w:rPr>
          <w:rFonts w:hint="eastAsia" w:ascii="黑体" w:eastAsia="黑体"/>
          <w:b w:val="0"/>
        </w:rPr>
        <w:t>（二）投标人企业组织机构框图</w:t>
      </w:r>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p>
    <w:tbl>
      <w:tblPr>
        <w:tblStyle w:val="20"/>
        <w:tblW w:w="9071"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07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25" w:hRule="atLeast"/>
        </w:trPr>
        <w:tc>
          <w:tcPr>
            <w:tcW w:w="9071" w:type="dxa"/>
          </w:tcPr>
          <w:p>
            <w:pPr>
              <w:spacing w:line="420" w:lineRule="exact"/>
              <w:rPr>
                <w:rFonts w:ascii="宋体" w:hAnsi="宋体"/>
              </w:rPr>
            </w:pPr>
          </w:p>
          <w:p>
            <w:pPr>
              <w:spacing w:line="420" w:lineRule="exact"/>
              <w:ind w:firstLine="420" w:firstLineChars="200"/>
              <w:rPr>
                <w:rFonts w:ascii="宋体" w:hAnsi="宋体"/>
              </w:rPr>
            </w:pPr>
            <w:r>
              <w:rPr>
                <w:rFonts w:hint="eastAsia" w:ascii="宋体" w:hAnsi="宋体"/>
              </w:rPr>
              <w:t>以框图方式表示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51" w:hRule="atLeast"/>
        </w:trPr>
        <w:tc>
          <w:tcPr>
            <w:tcW w:w="9071" w:type="dxa"/>
          </w:tcPr>
          <w:p>
            <w:pPr>
              <w:spacing w:beforeLines="50" w:line="420" w:lineRule="exact"/>
              <w:ind w:firstLine="420" w:firstLineChars="200"/>
              <w:rPr>
                <w:rFonts w:ascii="宋体" w:hAnsi="宋体"/>
              </w:rPr>
            </w:pPr>
            <w:r>
              <w:rPr>
                <w:rFonts w:hint="eastAsia" w:ascii="宋体" w:hAnsi="宋体"/>
              </w:rPr>
              <w:t>说明</w:t>
            </w:r>
          </w:p>
        </w:tc>
      </w:tr>
    </w:tbl>
    <w:p>
      <w:pPr>
        <w:pStyle w:val="6"/>
        <w:keepNext w:val="0"/>
        <w:keepLines w:val="0"/>
        <w:widowControl/>
        <w:spacing w:before="0" w:after="0" w:line="240" w:lineRule="auto"/>
        <w:jc w:val="center"/>
        <w:rPr>
          <w:rFonts w:ascii="黑体" w:eastAsia="黑体"/>
          <w:b w:val="0"/>
        </w:rPr>
      </w:pPr>
      <w:bookmarkStart w:id="7493" w:name="_Toc282779888"/>
      <w:bookmarkStart w:id="7494" w:name="_Toc252720335"/>
      <w:bookmarkStart w:id="7495" w:name="_Toc233290494"/>
      <w:bookmarkStart w:id="7496" w:name="_Toc282779379"/>
      <w:bookmarkStart w:id="7497" w:name="_Toc16002"/>
      <w:bookmarkStart w:id="7498" w:name="_Toc287853729"/>
      <w:bookmarkStart w:id="7499" w:name="_Toc233436037"/>
      <w:bookmarkStart w:id="7500" w:name="_Toc288547032"/>
      <w:bookmarkStart w:id="7501" w:name="_Toc233423379"/>
      <w:bookmarkStart w:id="7502" w:name="_Toc19617"/>
      <w:bookmarkStart w:id="7503" w:name="_Toc233429896"/>
      <w:bookmarkStart w:id="7504" w:name="_Toc668"/>
      <w:bookmarkStart w:id="7505" w:name="_Toc288491907"/>
      <w:bookmarkStart w:id="7506" w:name="_Toc20115"/>
      <w:bookmarkStart w:id="7507" w:name="_Toc3972"/>
      <w:bookmarkStart w:id="7508" w:name="_Toc15572"/>
      <w:bookmarkStart w:id="7509" w:name="_Toc282787843"/>
      <w:bookmarkStart w:id="7510" w:name="_Toc233215049"/>
      <w:bookmarkStart w:id="7511" w:name="_Toc283794576"/>
    </w:p>
    <w:p>
      <w:pPr>
        <w:pStyle w:val="6"/>
        <w:keepNext w:val="0"/>
        <w:keepLines w:val="0"/>
        <w:widowControl/>
        <w:spacing w:before="0" w:after="0" w:line="240" w:lineRule="auto"/>
        <w:rPr>
          <w:rFonts w:ascii="黑体" w:eastAsia="黑体"/>
          <w:b w:val="0"/>
        </w:rPr>
      </w:pPr>
    </w:p>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p>
      <w:pPr>
        <w:pStyle w:val="6"/>
        <w:keepNext w:val="0"/>
        <w:keepLines w:val="0"/>
        <w:widowControl/>
        <w:spacing w:before="0" w:after="0" w:line="240" w:lineRule="auto"/>
        <w:jc w:val="center"/>
        <w:rPr>
          <w:rFonts w:ascii="黑体" w:eastAsia="黑体"/>
          <w:b w:val="0"/>
        </w:rPr>
      </w:pPr>
      <w:bookmarkStart w:id="7512" w:name="_Toc29738"/>
      <w:bookmarkStart w:id="7513" w:name="_Toc17880"/>
      <w:bookmarkStart w:id="7514" w:name="_Toc2608"/>
      <w:bookmarkStart w:id="7515" w:name="_Toc22748"/>
      <w:bookmarkStart w:id="7516" w:name="_Toc10141"/>
      <w:r>
        <w:rPr>
          <w:rFonts w:hint="eastAsia" w:ascii="黑体" w:eastAsia="黑体"/>
          <w:b w:val="0"/>
        </w:rPr>
        <w:t>（三）拟委任的项目经理、项目总工和安全生产负责人资历表</w:t>
      </w:r>
      <w:bookmarkEnd w:id="7512"/>
      <w:bookmarkEnd w:id="7513"/>
      <w:bookmarkEnd w:id="7514"/>
      <w:bookmarkEnd w:id="7515"/>
      <w:bookmarkEnd w:id="7516"/>
    </w:p>
    <w:tbl>
      <w:tblPr>
        <w:tblStyle w:val="20"/>
        <w:tblpPr w:leftFromText="180" w:rightFromText="180" w:vertAnchor="text" w:tblpX="109" w:tblpY="211"/>
        <w:tblW w:w="9081"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440"/>
        <w:gridCol w:w="1980"/>
        <w:gridCol w:w="1260"/>
        <w:gridCol w:w="1084"/>
        <w:gridCol w:w="716"/>
        <w:gridCol w:w="921"/>
        <w:gridCol w:w="627"/>
        <w:gridCol w:w="1053"/>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50" w:hRule="atLeast"/>
        </w:trPr>
        <w:tc>
          <w:tcPr>
            <w:tcW w:w="1440" w:type="dxa"/>
            <w:tcBorders>
              <w:bottom w:val="single" w:color="auto" w:sz="4" w:space="0"/>
              <w:right w:val="single" w:color="auto" w:sz="4" w:space="0"/>
            </w:tcBorders>
            <w:vAlign w:val="center"/>
          </w:tcPr>
          <w:p>
            <w:pPr>
              <w:spacing w:line="360" w:lineRule="exact"/>
              <w:jc w:val="center"/>
              <w:rPr>
                <w:rFonts w:ascii="宋体" w:hAnsi="宋体"/>
              </w:rPr>
            </w:pPr>
            <w:r>
              <w:rPr>
                <w:rFonts w:hint="eastAsia" w:ascii="宋体" w:hAnsi="宋体"/>
              </w:rPr>
              <w:t>姓名</w:t>
            </w:r>
          </w:p>
        </w:tc>
        <w:tc>
          <w:tcPr>
            <w:tcW w:w="1980" w:type="dxa"/>
            <w:tcBorders>
              <w:left w:val="single" w:color="auto" w:sz="4" w:space="0"/>
              <w:bottom w:val="single" w:color="auto" w:sz="4" w:space="0"/>
              <w:right w:val="single" w:color="auto" w:sz="4" w:space="0"/>
            </w:tcBorders>
            <w:vAlign w:val="center"/>
          </w:tcPr>
          <w:p>
            <w:pPr>
              <w:spacing w:line="360" w:lineRule="exact"/>
              <w:jc w:val="center"/>
              <w:rPr>
                <w:rFonts w:ascii="宋体" w:hAnsi="宋体"/>
              </w:rPr>
            </w:pPr>
          </w:p>
        </w:tc>
        <w:tc>
          <w:tcPr>
            <w:tcW w:w="1260" w:type="dxa"/>
            <w:tcBorders>
              <w:left w:val="single" w:color="auto" w:sz="4" w:space="0"/>
              <w:bottom w:val="single" w:color="auto" w:sz="4" w:space="0"/>
              <w:right w:val="single" w:color="auto" w:sz="4" w:space="0"/>
            </w:tcBorders>
            <w:vAlign w:val="center"/>
          </w:tcPr>
          <w:p>
            <w:pPr>
              <w:spacing w:line="360" w:lineRule="exact"/>
              <w:jc w:val="center"/>
              <w:rPr>
                <w:rFonts w:ascii="宋体" w:hAnsi="宋体"/>
              </w:rPr>
            </w:pPr>
            <w:r>
              <w:rPr>
                <w:rFonts w:hint="eastAsia" w:ascii="宋体" w:hAnsi="宋体"/>
              </w:rPr>
              <w:t>年龄</w:t>
            </w:r>
          </w:p>
        </w:tc>
        <w:tc>
          <w:tcPr>
            <w:tcW w:w="1800" w:type="dxa"/>
            <w:gridSpan w:val="2"/>
            <w:tcBorders>
              <w:left w:val="single" w:color="auto" w:sz="4" w:space="0"/>
              <w:bottom w:val="single" w:color="auto" w:sz="4" w:space="0"/>
              <w:right w:val="single" w:color="auto" w:sz="4" w:space="0"/>
            </w:tcBorders>
            <w:vAlign w:val="center"/>
          </w:tcPr>
          <w:p>
            <w:pPr>
              <w:spacing w:line="360" w:lineRule="exact"/>
              <w:jc w:val="center"/>
              <w:rPr>
                <w:rFonts w:ascii="宋体" w:hAnsi="宋体"/>
              </w:rPr>
            </w:pPr>
          </w:p>
        </w:tc>
        <w:tc>
          <w:tcPr>
            <w:tcW w:w="1548" w:type="dxa"/>
            <w:gridSpan w:val="2"/>
            <w:tcBorders>
              <w:left w:val="single" w:color="auto" w:sz="4" w:space="0"/>
              <w:bottom w:val="single" w:color="auto" w:sz="4" w:space="0"/>
              <w:right w:val="single" w:color="auto" w:sz="4" w:space="0"/>
            </w:tcBorders>
            <w:vAlign w:val="center"/>
          </w:tcPr>
          <w:p>
            <w:pPr>
              <w:spacing w:line="360" w:lineRule="exact"/>
              <w:jc w:val="center"/>
              <w:rPr>
                <w:rFonts w:ascii="宋体" w:hAnsi="宋体"/>
              </w:rPr>
            </w:pPr>
            <w:r>
              <w:rPr>
                <w:rFonts w:hint="eastAsia" w:ascii="宋体" w:hAnsi="宋体"/>
              </w:rPr>
              <w:t>专业</w:t>
            </w:r>
          </w:p>
        </w:tc>
        <w:tc>
          <w:tcPr>
            <w:tcW w:w="1053" w:type="dxa"/>
            <w:tcBorders>
              <w:left w:val="single" w:color="auto" w:sz="4" w:space="0"/>
              <w:bottom w:val="single" w:color="auto" w:sz="4" w:space="0"/>
            </w:tcBorders>
            <w:vAlign w:val="center"/>
          </w:tcPr>
          <w:p>
            <w:pPr>
              <w:spacing w:line="360" w:lineRule="exact"/>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62" w:hRule="atLeast"/>
        </w:trPr>
        <w:tc>
          <w:tcPr>
            <w:tcW w:w="1440" w:type="dxa"/>
            <w:tcBorders>
              <w:top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职称</w:t>
            </w:r>
          </w:p>
        </w:tc>
        <w:tc>
          <w:tcPr>
            <w:tcW w:w="1980" w:type="dxa"/>
            <w:tcBorders>
              <w:top w:val="single" w:color="auto" w:sz="4" w:space="0"/>
              <w:left w:val="single" w:color="auto" w:sz="4" w:space="0"/>
              <w:bottom w:val="single" w:color="auto" w:sz="4" w:space="0"/>
              <w:right w:val="single" w:color="auto" w:sz="4" w:space="0"/>
            </w:tcBorders>
          </w:tcPr>
          <w:p>
            <w:pPr>
              <w:spacing w:beforeLines="50" w:line="320" w:lineRule="exact"/>
              <w:rPr>
                <w:rFonts w:ascii="宋体" w:hAnsi="宋体"/>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公司单位</w:t>
            </w:r>
          </w:p>
          <w:p>
            <w:pPr>
              <w:spacing w:line="320" w:lineRule="exact"/>
              <w:jc w:val="center"/>
              <w:rPr>
                <w:rFonts w:ascii="宋体" w:hAnsi="宋体"/>
              </w:rPr>
            </w:pPr>
            <w:r>
              <w:rPr>
                <w:rFonts w:hint="eastAsia" w:ascii="宋体" w:hAnsi="宋体"/>
              </w:rPr>
              <w:t>职    务</w:t>
            </w:r>
          </w:p>
        </w:tc>
        <w:tc>
          <w:tcPr>
            <w:tcW w:w="1800" w:type="dxa"/>
            <w:gridSpan w:val="2"/>
            <w:tcBorders>
              <w:top w:val="single" w:color="auto" w:sz="4" w:space="0"/>
              <w:left w:val="single" w:color="auto" w:sz="4" w:space="0"/>
              <w:bottom w:val="single" w:color="auto" w:sz="4" w:space="0"/>
              <w:right w:val="single" w:color="auto" w:sz="4" w:space="0"/>
            </w:tcBorders>
          </w:tcPr>
          <w:p>
            <w:pPr>
              <w:spacing w:beforeLines="50" w:line="320" w:lineRule="exact"/>
              <w:rPr>
                <w:rFonts w:ascii="宋体" w:hAnsi="宋体"/>
              </w:rPr>
            </w:pPr>
          </w:p>
        </w:tc>
        <w:tc>
          <w:tcPr>
            <w:tcW w:w="154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拟在本标段</w:t>
            </w:r>
          </w:p>
          <w:p>
            <w:pPr>
              <w:spacing w:line="320" w:lineRule="exact"/>
              <w:jc w:val="center"/>
              <w:rPr>
                <w:rFonts w:ascii="宋体" w:hAnsi="宋体"/>
              </w:rPr>
            </w:pPr>
            <w:r>
              <w:rPr>
                <w:rFonts w:hint="eastAsia" w:ascii="宋体" w:hAnsi="宋体"/>
              </w:rPr>
              <w:t>工程担任职务</w:t>
            </w:r>
          </w:p>
        </w:tc>
        <w:tc>
          <w:tcPr>
            <w:tcW w:w="1053" w:type="dxa"/>
            <w:tcBorders>
              <w:top w:val="single" w:color="auto" w:sz="4" w:space="0"/>
              <w:left w:val="single" w:color="auto" w:sz="4" w:space="0"/>
              <w:bottom w:val="single" w:color="auto" w:sz="4" w:space="0"/>
            </w:tcBorders>
          </w:tcPr>
          <w:p>
            <w:pPr>
              <w:spacing w:beforeLines="50" w:line="320" w:lineRule="exact"/>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99" w:hRule="atLeast"/>
        </w:trPr>
        <w:tc>
          <w:tcPr>
            <w:tcW w:w="1440" w:type="dxa"/>
            <w:tcBorders>
              <w:top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毕业学校</w:t>
            </w:r>
          </w:p>
        </w:tc>
        <w:tc>
          <w:tcPr>
            <w:tcW w:w="7641" w:type="dxa"/>
            <w:gridSpan w:val="7"/>
            <w:tcBorders>
              <w:top w:val="single" w:color="auto" w:sz="4" w:space="0"/>
              <w:left w:val="single" w:color="auto" w:sz="4" w:space="0"/>
              <w:bottom w:val="single" w:color="auto" w:sz="4" w:space="0"/>
            </w:tcBorders>
          </w:tcPr>
          <w:p>
            <w:pPr>
              <w:spacing w:beforeLines="50" w:line="320" w:lineRule="exact"/>
              <w:rPr>
                <w:rFonts w:ascii="宋体" w:hAnsi="宋体"/>
              </w:rPr>
            </w:pPr>
            <w:r>
              <w:rPr>
                <w:rFonts w:hint="eastAsia" w:ascii="宋体" w:hAnsi="宋体"/>
              </w:rPr>
              <w:t>年月毕业于学校专业，学制年</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50" w:hRule="atLeast"/>
        </w:trPr>
        <w:tc>
          <w:tcPr>
            <w:tcW w:w="9081" w:type="dxa"/>
            <w:gridSpan w:val="8"/>
            <w:tcBorders>
              <w:top w:val="single" w:color="auto" w:sz="4" w:space="0"/>
              <w:bottom w:val="single" w:color="auto" w:sz="4" w:space="0"/>
            </w:tcBorders>
            <w:vAlign w:val="center"/>
          </w:tcPr>
          <w:p>
            <w:pPr>
              <w:spacing w:line="320" w:lineRule="exact"/>
              <w:jc w:val="center"/>
              <w:rPr>
                <w:rFonts w:ascii="宋体" w:hAnsi="宋体"/>
              </w:rPr>
            </w:pPr>
            <w:r>
              <w:rPr>
                <w:rFonts w:hint="eastAsia" w:ascii="宋体" w:hAnsi="宋体"/>
              </w:rPr>
              <w:t>经      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51" w:hRule="atLeast"/>
        </w:trPr>
        <w:tc>
          <w:tcPr>
            <w:tcW w:w="1440" w:type="dxa"/>
            <w:tcBorders>
              <w:top w:val="single" w:color="auto" w:sz="4" w:space="0"/>
              <w:bottom w:val="single" w:color="auto" w:sz="4" w:space="0"/>
              <w:right w:val="single" w:color="auto" w:sz="4" w:space="0"/>
            </w:tcBorders>
          </w:tcPr>
          <w:p>
            <w:pPr>
              <w:spacing w:beforeLines="50" w:line="320" w:lineRule="exact"/>
              <w:rPr>
                <w:rFonts w:ascii="宋体" w:hAnsi="宋体"/>
              </w:rPr>
            </w:pPr>
            <w:r>
              <w:rPr>
                <w:rFonts w:hint="eastAsia" w:ascii="宋体" w:hAnsi="宋体"/>
              </w:rPr>
              <w:t>年～</w:t>
            </w:r>
          </w:p>
          <w:p>
            <w:pPr>
              <w:spacing w:line="320" w:lineRule="exact"/>
              <w:rPr>
                <w:rFonts w:ascii="宋体" w:hAnsi="宋体"/>
              </w:rPr>
            </w:pPr>
            <w:r>
              <w:rPr>
                <w:rFonts w:hint="eastAsia" w:ascii="宋体" w:hAnsi="宋体"/>
              </w:rPr>
              <w:t>年</w:t>
            </w:r>
          </w:p>
        </w:tc>
        <w:tc>
          <w:tcPr>
            <w:tcW w:w="432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参加过的工程项目名称</w:t>
            </w:r>
          </w:p>
        </w:tc>
        <w:tc>
          <w:tcPr>
            <w:tcW w:w="163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担任何职</w:t>
            </w:r>
          </w:p>
        </w:tc>
        <w:tc>
          <w:tcPr>
            <w:tcW w:w="1680" w:type="dxa"/>
            <w:gridSpan w:val="2"/>
            <w:tcBorders>
              <w:top w:val="single" w:color="auto" w:sz="4" w:space="0"/>
              <w:left w:val="single" w:color="auto" w:sz="4" w:space="0"/>
              <w:bottom w:val="single" w:color="auto" w:sz="4" w:space="0"/>
            </w:tcBorders>
            <w:vAlign w:val="center"/>
          </w:tcPr>
          <w:p>
            <w:pPr>
              <w:spacing w:line="320" w:lineRule="exact"/>
              <w:jc w:val="center"/>
              <w:rPr>
                <w:rFonts w:ascii="宋体" w:hAnsi="宋体"/>
              </w:rPr>
            </w:pPr>
            <w:r>
              <w:rPr>
                <w:rFonts w:hint="eastAsia" w:ascii="宋体" w:hAnsi="宋体"/>
              </w:rPr>
              <w:t>发包人及</w:t>
            </w:r>
          </w:p>
          <w:p>
            <w:pPr>
              <w:spacing w:line="320" w:lineRule="exact"/>
              <w:jc w:val="center"/>
              <w:rPr>
                <w:rFonts w:ascii="宋体" w:hAnsi="宋体"/>
              </w:rPr>
            </w:pPr>
            <w:r>
              <w:rPr>
                <w:rFonts w:hint="eastAsia" w:ascii="宋体" w:hAnsi="宋体"/>
              </w:rPr>
              <w:t>联系电话</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10" w:hRule="atLeast"/>
        </w:trPr>
        <w:tc>
          <w:tcPr>
            <w:tcW w:w="1440" w:type="dxa"/>
            <w:tcBorders>
              <w:top w:val="single" w:color="auto" w:sz="4" w:space="0"/>
              <w:bottom w:val="single" w:color="auto" w:sz="4" w:space="0"/>
              <w:right w:val="single" w:color="auto" w:sz="4" w:space="0"/>
            </w:tcBorders>
          </w:tcPr>
          <w:p>
            <w:pPr>
              <w:spacing w:beforeLines="50" w:line="320" w:lineRule="exact"/>
              <w:rPr>
                <w:rFonts w:ascii="宋体" w:hAnsi="宋体"/>
              </w:rPr>
            </w:pPr>
          </w:p>
        </w:tc>
        <w:tc>
          <w:tcPr>
            <w:tcW w:w="1980" w:type="dxa"/>
            <w:tcBorders>
              <w:top w:val="single" w:color="auto" w:sz="4" w:space="0"/>
              <w:left w:val="single" w:color="auto" w:sz="4" w:space="0"/>
              <w:bottom w:val="single" w:color="auto" w:sz="4" w:space="0"/>
              <w:right w:val="single" w:color="auto" w:sz="4" w:space="0"/>
            </w:tcBorders>
          </w:tcPr>
          <w:p>
            <w:pPr>
              <w:spacing w:beforeLines="50" w:line="320" w:lineRule="exact"/>
              <w:rPr>
                <w:rFonts w:ascii="宋体" w:hAnsi="宋体"/>
              </w:rPr>
            </w:pPr>
          </w:p>
        </w:tc>
        <w:tc>
          <w:tcPr>
            <w:tcW w:w="1260" w:type="dxa"/>
            <w:tcBorders>
              <w:top w:val="single" w:color="auto" w:sz="4" w:space="0"/>
              <w:left w:val="single" w:color="auto" w:sz="4" w:space="0"/>
              <w:bottom w:val="single" w:color="auto" w:sz="4" w:space="0"/>
              <w:right w:val="single" w:color="auto" w:sz="4" w:space="0"/>
            </w:tcBorders>
          </w:tcPr>
          <w:p>
            <w:pPr>
              <w:spacing w:beforeLines="50" w:line="320" w:lineRule="exact"/>
              <w:rPr>
                <w:rFonts w:ascii="宋体" w:hAnsi="宋体"/>
              </w:rPr>
            </w:pPr>
          </w:p>
        </w:tc>
        <w:tc>
          <w:tcPr>
            <w:tcW w:w="1084" w:type="dxa"/>
            <w:tcBorders>
              <w:top w:val="single" w:color="auto" w:sz="4" w:space="0"/>
              <w:left w:val="single" w:color="auto" w:sz="4" w:space="0"/>
              <w:bottom w:val="single" w:color="auto" w:sz="4" w:space="0"/>
              <w:right w:val="single" w:color="auto" w:sz="4" w:space="0"/>
            </w:tcBorders>
          </w:tcPr>
          <w:p>
            <w:pPr>
              <w:spacing w:beforeLines="50" w:line="320" w:lineRule="exact"/>
              <w:rPr>
                <w:rFonts w:ascii="宋体" w:hAnsi="宋体"/>
              </w:rPr>
            </w:pPr>
          </w:p>
        </w:tc>
        <w:tc>
          <w:tcPr>
            <w:tcW w:w="1637" w:type="dxa"/>
            <w:gridSpan w:val="2"/>
            <w:tcBorders>
              <w:top w:val="single" w:color="auto" w:sz="4" w:space="0"/>
              <w:left w:val="single" w:color="auto" w:sz="4" w:space="0"/>
              <w:bottom w:val="single" w:color="auto" w:sz="4" w:space="0"/>
              <w:right w:val="single" w:color="auto" w:sz="4" w:space="0"/>
            </w:tcBorders>
          </w:tcPr>
          <w:p>
            <w:pPr>
              <w:spacing w:beforeLines="50" w:line="320" w:lineRule="exact"/>
              <w:rPr>
                <w:rFonts w:ascii="宋体" w:hAnsi="宋体"/>
              </w:rPr>
            </w:pPr>
          </w:p>
        </w:tc>
        <w:tc>
          <w:tcPr>
            <w:tcW w:w="1680" w:type="dxa"/>
            <w:gridSpan w:val="2"/>
            <w:tcBorders>
              <w:top w:val="single" w:color="auto" w:sz="4" w:space="0"/>
              <w:left w:val="single" w:color="auto" w:sz="4" w:space="0"/>
              <w:bottom w:val="single" w:color="auto" w:sz="4" w:space="0"/>
            </w:tcBorders>
          </w:tcPr>
          <w:p>
            <w:pPr>
              <w:spacing w:beforeLines="50" w:line="320" w:lineRule="exact"/>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10" w:hRule="atLeast"/>
        </w:trPr>
        <w:tc>
          <w:tcPr>
            <w:tcW w:w="1440" w:type="dxa"/>
            <w:tcBorders>
              <w:top w:val="single" w:color="auto" w:sz="4" w:space="0"/>
              <w:bottom w:val="single" w:color="auto" w:sz="4" w:space="0"/>
              <w:right w:val="single" w:color="auto" w:sz="4" w:space="0"/>
            </w:tcBorders>
          </w:tcPr>
          <w:p>
            <w:pPr>
              <w:spacing w:beforeLines="50" w:line="320" w:lineRule="exact"/>
              <w:rPr>
                <w:rFonts w:ascii="宋体" w:hAnsi="宋体"/>
              </w:rPr>
            </w:pPr>
          </w:p>
        </w:tc>
        <w:tc>
          <w:tcPr>
            <w:tcW w:w="1980" w:type="dxa"/>
            <w:tcBorders>
              <w:top w:val="single" w:color="auto" w:sz="4" w:space="0"/>
              <w:left w:val="single" w:color="auto" w:sz="4" w:space="0"/>
              <w:bottom w:val="single" w:color="auto" w:sz="4" w:space="0"/>
              <w:right w:val="single" w:color="auto" w:sz="4" w:space="0"/>
            </w:tcBorders>
          </w:tcPr>
          <w:p>
            <w:pPr>
              <w:spacing w:beforeLines="50" w:line="320" w:lineRule="exact"/>
              <w:rPr>
                <w:rFonts w:ascii="宋体" w:hAnsi="宋体"/>
              </w:rPr>
            </w:pPr>
          </w:p>
        </w:tc>
        <w:tc>
          <w:tcPr>
            <w:tcW w:w="1260" w:type="dxa"/>
            <w:tcBorders>
              <w:top w:val="single" w:color="auto" w:sz="4" w:space="0"/>
              <w:left w:val="single" w:color="auto" w:sz="4" w:space="0"/>
              <w:bottom w:val="single" w:color="auto" w:sz="4" w:space="0"/>
              <w:right w:val="single" w:color="auto" w:sz="4" w:space="0"/>
            </w:tcBorders>
          </w:tcPr>
          <w:p>
            <w:pPr>
              <w:spacing w:beforeLines="50" w:line="320" w:lineRule="exact"/>
              <w:rPr>
                <w:rFonts w:ascii="宋体" w:hAnsi="宋体"/>
              </w:rPr>
            </w:pPr>
          </w:p>
        </w:tc>
        <w:tc>
          <w:tcPr>
            <w:tcW w:w="1084" w:type="dxa"/>
            <w:tcBorders>
              <w:top w:val="single" w:color="auto" w:sz="4" w:space="0"/>
              <w:left w:val="single" w:color="auto" w:sz="4" w:space="0"/>
              <w:bottom w:val="single" w:color="auto" w:sz="4" w:space="0"/>
              <w:right w:val="single" w:color="auto" w:sz="4" w:space="0"/>
            </w:tcBorders>
          </w:tcPr>
          <w:p>
            <w:pPr>
              <w:spacing w:beforeLines="50" w:line="320" w:lineRule="exact"/>
              <w:rPr>
                <w:rFonts w:ascii="宋体" w:hAnsi="宋体"/>
              </w:rPr>
            </w:pPr>
          </w:p>
        </w:tc>
        <w:tc>
          <w:tcPr>
            <w:tcW w:w="1637" w:type="dxa"/>
            <w:gridSpan w:val="2"/>
            <w:tcBorders>
              <w:top w:val="single" w:color="auto" w:sz="4" w:space="0"/>
              <w:left w:val="single" w:color="auto" w:sz="4" w:space="0"/>
              <w:bottom w:val="single" w:color="auto" w:sz="4" w:space="0"/>
              <w:right w:val="single" w:color="auto" w:sz="4" w:space="0"/>
            </w:tcBorders>
          </w:tcPr>
          <w:p>
            <w:pPr>
              <w:spacing w:beforeLines="50" w:line="320" w:lineRule="exact"/>
              <w:rPr>
                <w:rFonts w:ascii="宋体" w:hAnsi="宋体"/>
              </w:rPr>
            </w:pPr>
          </w:p>
        </w:tc>
        <w:tc>
          <w:tcPr>
            <w:tcW w:w="1680" w:type="dxa"/>
            <w:gridSpan w:val="2"/>
            <w:tcBorders>
              <w:top w:val="single" w:color="auto" w:sz="4" w:space="0"/>
              <w:left w:val="single" w:color="auto" w:sz="4" w:space="0"/>
              <w:bottom w:val="single" w:color="auto" w:sz="4" w:space="0"/>
            </w:tcBorders>
          </w:tcPr>
          <w:p>
            <w:pPr>
              <w:spacing w:beforeLines="50" w:line="320" w:lineRule="exact"/>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10" w:hRule="atLeast"/>
        </w:trPr>
        <w:tc>
          <w:tcPr>
            <w:tcW w:w="1440" w:type="dxa"/>
            <w:tcBorders>
              <w:top w:val="single" w:color="auto" w:sz="4" w:space="0"/>
              <w:bottom w:val="single" w:color="auto" w:sz="4" w:space="0"/>
              <w:right w:val="single" w:color="auto" w:sz="4" w:space="0"/>
            </w:tcBorders>
          </w:tcPr>
          <w:p>
            <w:pPr>
              <w:spacing w:beforeLines="50" w:line="320" w:lineRule="exact"/>
              <w:rPr>
                <w:rFonts w:ascii="宋体" w:hAnsi="宋体"/>
              </w:rPr>
            </w:pPr>
          </w:p>
        </w:tc>
        <w:tc>
          <w:tcPr>
            <w:tcW w:w="1980" w:type="dxa"/>
            <w:tcBorders>
              <w:top w:val="single" w:color="auto" w:sz="4" w:space="0"/>
              <w:left w:val="single" w:color="auto" w:sz="4" w:space="0"/>
              <w:bottom w:val="single" w:color="auto" w:sz="4" w:space="0"/>
              <w:right w:val="single" w:color="auto" w:sz="4" w:space="0"/>
            </w:tcBorders>
          </w:tcPr>
          <w:p>
            <w:pPr>
              <w:spacing w:beforeLines="50" w:line="320" w:lineRule="exact"/>
              <w:rPr>
                <w:rFonts w:ascii="宋体" w:hAnsi="宋体"/>
              </w:rPr>
            </w:pPr>
          </w:p>
        </w:tc>
        <w:tc>
          <w:tcPr>
            <w:tcW w:w="1260" w:type="dxa"/>
            <w:tcBorders>
              <w:top w:val="single" w:color="auto" w:sz="4" w:space="0"/>
              <w:left w:val="single" w:color="auto" w:sz="4" w:space="0"/>
              <w:bottom w:val="single" w:color="auto" w:sz="4" w:space="0"/>
              <w:right w:val="single" w:color="auto" w:sz="4" w:space="0"/>
            </w:tcBorders>
          </w:tcPr>
          <w:p>
            <w:pPr>
              <w:spacing w:beforeLines="50" w:line="320" w:lineRule="exact"/>
              <w:rPr>
                <w:rFonts w:ascii="宋体" w:hAnsi="宋体"/>
              </w:rPr>
            </w:pPr>
          </w:p>
        </w:tc>
        <w:tc>
          <w:tcPr>
            <w:tcW w:w="1084" w:type="dxa"/>
            <w:tcBorders>
              <w:top w:val="single" w:color="auto" w:sz="4" w:space="0"/>
              <w:left w:val="single" w:color="auto" w:sz="4" w:space="0"/>
              <w:bottom w:val="single" w:color="auto" w:sz="4" w:space="0"/>
              <w:right w:val="single" w:color="auto" w:sz="4" w:space="0"/>
            </w:tcBorders>
          </w:tcPr>
          <w:p>
            <w:pPr>
              <w:spacing w:beforeLines="50" w:line="320" w:lineRule="exact"/>
              <w:rPr>
                <w:rFonts w:ascii="宋体" w:hAnsi="宋体"/>
              </w:rPr>
            </w:pPr>
          </w:p>
        </w:tc>
        <w:tc>
          <w:tcPr>
            <w:tcW w:w="1637" w:type="dxa"/>
            <w:gridSpan w:val="2"/>
            <w:tcBorders>
              <w:top w:val="single" w:color="auto" w:sz="4" w:space="0"/>
              <w:left w:val="single" w:color="auto" w:sz="4" w:space="0"/>
              <w:bottom w:val="single" w:color="auto" w:sz="4" w:space="0"/>
              <w:right w:val="single" w:color="auto" w:sz="4" w:space="0"/>
            </w:tcBorders>
          </w:tcPr>
          <w:p>
            <w:pPr>
              <w:spacing w:beforeLines="50" w:line="320" w:lineRule="exact"/>
              <w:rPr>
                <w:rFonts w:ascii="宋体" w:hAnsi="宋体"/>
              </w:rPr>
            </w:pPr>
          </w:p>
        </w:tc>
        <w:tc>
          <w:tcPr>
            <w:tcW w:w="1680" w:type="dxa"/>
            <w:gridSpan w:val="2"/>
            <w:tcBorders>
              <w:top w:val="single" w:color="auto" w:sz="4" w:space="0"/>
              <w:left w:val="single" w:color="auto" w:sz="4" w:space="0"/>
              <w:bottom w:val="single" w:color="auto" w:sz="4" w:space="0"/>
            </w:tcBorders>
          </w:tcPr>
          <w:p>
            <w:pPr>
              <w:spacing w:beforeLines="50" w:line="320" w:lineRule="exact"/>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10" w:hRule="atLeast"/>
        </w:trPr>
        <w:tc>
          <w:tcPr>
            <w:tcW w:w="1440" w:type="dxa"/>
            <w:tcBorders>
              <w:top w:val="single" w:color="auto" w:sz="4" w:space="0"/>
              <w:bottom w:val="single" w:color="auto" w:sz="4" w:space="0"/>
              <w:right w:val="single" w:color="auto" w:sz="4" w:space="0"/>
            </w:tcBorders>
          </w:tcPr>
          <w:p>
            <w:pPr>
              <w:spacing w:beforeLines="50" w:line="320" w:lineRule="exact"/>
              <w:rPr>
                <w:rFonts w:ascii="宋体" w:hAnsi="宋体"/>
              </w:rPr>
            </w:pPr>
          </w:p>
        </w:tc>
        <w:tc>
          <w:tcPr>
            <w:tcW w:w="1980" w:type="dxa"/>
            <w:tcBorders>
              <w:top w:val="single" w:color="auto" w:sz="4" w:space="0"/>
              <w:left w:val="single" w:color="auto" w:sz="4" w:space="0"/>
              <w:bottom w:val="single" w:color="auto" w:sz="4" w:space="0"/>
              <w:right w:val="single" w:color="auto" w:sz="4" w:space="0"/>
            </w:tcBorders>
          </w:tcPr>
          <w:p>
            <w:pPr>
              <w:spacing w:beforeLines="50" w:line="320" w:lineRule="exact"/>
              <w:rPr>
                <w:rFonts w:ascii="宋体" w:hAnsi="宋体"/>
              </w:rPr>
            </w:pPr>
          </w:p>
        </w:tc>
        <w:tc>
          <w:tcPr>
            <w:tcW w:w="1260" w:type="dxa"/>
            <w:tcBorders>
              <w:top w:val="single" w:color="auto" w:sz="4" w:space="0"/>
              <w:left w:val="single" w:color="auto" w:sz="4" w:space="0"/>
              <w:bottom w:val="single" w:color="auto" w:sz="4" w:space="0"/>
              <w:right w:val="single" w:color="auto" w:sz="4" w:space="0"/>
            </w:tcBorders>
          </w:tcPr>
          <w:p>
            <w:pPr>
              <w:spacing w:beforeLines="50" w:line="320" w:lineRule="exact"/>
              <w:rPr>
                <w:rFonts w:ascii="宋体" w:hAnsi="宋体"/>
              </w:rPr>
            </w:pPr>
          </w:p>
        </w:tc>
        <w:tc>
          <w:tcPr>
            <w:tcW w:w="1084" w:type="dxa"/>
            <w:tcBorders>
              <w:top w:val="single" w:color="auto" w:sz="4" w:space="0"/>
              <w:left w:val="single" w:color="auto" w:sz="4" w:space="0"/>
              <w:bottom w:val="single" w:color="auto" w:sz="4" w:space="0"/>
              <w:right w:val="single" w:color="auto" w:sz="4" w:space="0"/>
            </w:tcBorders>
          </w:tcPr>
          <w:p>
            <w:pPr>
              <w:spacing w:beforeLines="50" w:line="320" w:lineRule="exact"/>
              <w:rPr>
                <w:rFonts w:ascii="宋体" w:hAnsi="宋体"/>
              </w:rPr>
            </w:pPr>
          </w:p>
        </w:tc>
        <w:tc>
          <w:tcPr>
            <w:tcW w:w="1637" w:type="dxa"/>
            <w:gridSpan w:val="2"/>
            <w:tcBorders>
              <w:top w:val="single" w:color="auto" w:sz="4" w:space="0"/>
              <w:left w:val="single" w:color="auto" w:sz="4" w:space="0"/>
              <w:bottom w:val="single" w:color="auto" w:sz="4" w:space="0"/>
              <w:right w:val="single" w:color="auto" w:sz="4" w:space="0"/>
            </w:tcBorders>
          </w:tcPr>
          <w:p>
            <w:pPr>
              <w:spacing w:beforeLines="50" w:line="320" w:lineRule="exact"/>
              <w:rPr>
                <w:rFonts w:ascii="宋体" w:hAnsi="宋体"/>
              </w:rPr>
            </w:pPr>
          </w:p>
        </w:tc>
        <w:tc>
          <w:tcPr>
            <w:tcW w:w="1680" w:type="dxa"/>
            <w:gridSpan w:val="2"/>
            <w:tcBorders>
              <w:top w:val="single" w:color="auto" w:sz="4" w:space="0"/>
              <w:left w:val="single" w:color="auto" w:sz="4" w:space="0"/>
              <w:bottom w:val="single" w:color="auto" w:sz="4" w:space="0"/>
            </w:tcBorders>
          </w:tcPr>
          <w:p>
            <w:pPr>
              <w:spacing w:beforeLines="50" w:line="320" w:lineRule="exact"/>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10" w:hRule="atLeast"/>
        </w:trPr>
        <w:tc>
          <w:tcPr>
            <w:tcW w:w="1440" w:type="dxa"/>
            <w:tcBorders>
              <w:top w:val="single" w:color="auto" w:sz="4" w:space="0"/>
              <w:bottom w:val="single" w:color="auto" w:sz="4" w:space="0"/>
              <w:right w:val="single" w:color="auto" w:sz="4" w:space="0"/>
            </w:tcBorders>
          </w:tcPr>
          <w:p>
            <w:pPr>
              <w:spacing w:beforeLines="50" w:line="320" w:lineRule="exact"/>
              <w:rPr>
                <w:rFonts w:ascii="宋体" w:hAnsi="宋体"/>
              </w:rPr>
            </w:pPr>
          </w:p>
        </w:tc>
        <w:tc>
          <w:tcPr>
            <w:tcW w:w="1980" w:type="dxa"/>
            <w:tcBorders>
              <w:top w:val="single" w:color="auto" w:sz="4" w:space="0"/>
              <w:left w:val="single" w:color="auto" w:sz="4" w:space="0"/>
              <w:bottom w:val="single" w:color="auto" w:sz="4" w:space="0"/>
              <w:right w:val="single" w:color="auto" w:sz="4" w:space="0"/>
            </w:tcBorders>
          </w:tcPr>
          <w:p>
            <w:pPr>
              <w:spacing w:beforeLines="50" w:line="320" w:lineRule="exact"/>
              <w:rPr>
                <w:rFonts w:ascii="宋体" w:hAnsi="宋体"/>
              </w:rPr>
            </w:pPr>
          </w:p>
        </w:tc>
        <w:tc>
          <w:tcPr>
            <w:tcW w:w="1260" w:type="dxa"/>
            <w:tcBorders>
              <w:top w:val="single" w:color="auto" w:sz="4" w:space="0"/>
              <w:left w:val="single" w:color="auto" w:sz="4" w:space="0"/>
              <w:bottom w:val="single" w:color="auto" w:sz="4" w:space="0"/>
              <w:right w:val="single" w:color="auto" w:sz="4" w:space="0"/>
            </w:tcBorders>
          </w:tcPr>
          <w:p>
            <w:pPr>
              <w:spacing w:beforeLines="50" w:line="320" w:lineRule="exact"/>
              <w:rPr>
                <w:rFonts w:ascii="宋体" w:hAnsi="宋体"/>
              </w:rPr>
            </w:pPr>
          </w:p>
        </w:tc>
        <w:tc>
          <w:tcPr>
            <w:tcW w:w="1084" w:type="dxa"/>
            <w:tcBorders>
              <w:top w:val="single" w:color="auto" w:sz="4" w:space="0"/>
              <w:left w:val="single" w:color="auto" w:sz="4" w:space="0"/>
              <w:bottom w:val="single" w:color="auto" w:sz="4" w:space="0"/>
              <w:right w:val="single" w:color="auto" w:sz="4" w:space="0"/>
            </w:tcBorders>
          </w:tcPr>
          <w:p>
            <w:pPr>
              <w:spacing w:beforeLines="50" w:line="320" w:lineRule="exact"/>
              <w:rPr>
                <w:rFonts w:ascii="宋体" w:hAnsi="宋体"/>
              </w:rPr>
            </w:pPr>
          </w:p>
        </w:tc>
        <w:tc>
          <w:tcPr>
            <w:tcW w:w="1637" w:type="dxa"/>
            <w:gridSpan w:val="2"/>
            <w:tcBorders>
              <w:top w:val="single" w:color="auto" w:sz="4" w:space="0"/>
              <w:left w:val="single" w:color="auto" w:sz="4" w:space="0"/>
              <w:bottom w:val="single" w:color="auto" w:sz="4" w:space="0"/>
              <w:right w:val="single" w:color="auto" w:sz="4" w:space="0"/>
            </w:tcBorders>
          </w:tcPr>
          <w:p>
            <w:pPr>
              <w:spacing w:beforeLines="50" w:line="320" w:lineRule="exact"/>
              <w:rPr>
                <w:rFonts w:ascii="宋体" w:hAnsi="宋体"/>
              </w:rPr>
            </w:pPr>
          </w:p>
        </w:tc>
        <w:tc>
          <w:tcPr>
            <w:tcW w:w="1680" w:type="dxa"/>
            <w:gridSpan w:val="2"/>
            <w:tcBorders>
              <w:top w:val="single" w:color="auto" w:sz="4" w:space="0"/>
              <w:left w:val="single" w:color="auto" w:sz="4" w:space="0"/>
              <w:bottom w:val="single" w:color="auto" w:sz="4" w:space="0"/>
            </w:tcBorders>
          </w:tcPr>
          <w:p>
            <w:pPr>
              <w:spacing w:beforeLines="50" w:line="320" w:lineRule="exact"/>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10" w:hRule="atLeast"/>
        </w:trPr>
        <w:tc>
          <w:tcPr>
            <w:tcW w:w="3420" w:type="dxa"/>
            <w:gridSpan w:val="2"/>
            <w:tcBorders>
              <w:top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获奖情况</w:t>
            </w:r>
          </w:p>
        </w:tc>
        <w:tc>
          <w:tcPr>
            <w:tcW w:w="5661" w:type="dxa"/>
            <w:gridSpan w:val="6"/>
            <w:tcBorders>
              <w:top w:val="single" w:color="auto" w:sz="4" w:space="0"/>
              <w:left w:val="single" w:color="auto" w:sz="4" w:space="0"/>
              <w:bottom w:val="single" w:color="auto" w:sz="4" w:space="0"/>
            </w:tcBorders>
          </w:tcPr>
          <w:p>
            <w:pPr>
              <w:spacing w:beforeLines="50" w:line="320" w:lineRule="exact"/>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10" w:hRule="atLeast"/>
        </w:trPr>
        <w:tc>
          <w:tcPr>
            <w:tcW w:w="1440" w:type="dxa"/>
            <w:vMerge w:val="restart"/>
            <w:tcBorders>
              <w:top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目前任职</w:t>
            </w:r>
          </w:p>
          <w:p>
            <w:pPr>
              <w:spacing w:line="320" w:lineRule="exact"/>
              <w:jc w:val="center"/>
              <w:rPr>
                <w:rFonts w:ascii="宋体" w:hAnsi="宋体"/>
              </w:rPr>
            </w:pPr>
            <w:r>
              <w:rPr>
                <w:rFonts w:hint="eastAsia" w:ascii="宋体" w:hAnsi="宋体"/>
              </w:rPr>
              <w:t>项目情况</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项目名称</w:t>
            </w:r>
          </w:p>
        </w:tc>
        <w:tc>
          <w:tcPr>
            <w:tcW w:w="5661" w:type="dxa"/>
            <w:gridSpan w:val="6"/>
            <w:tcBorders>
              <w:top w:val="single" w:color="auto" w:sz="4" w:space="0"/>
              <w:left w:val="single" w:color="auto" w:sz="4" w:space="0"/>
              <w:bottom w:val="single" w:color="auto" w:sz="4" w:space="0"/>
            </w:tcBorders>
          </w:tcPr>
          <w:p>
            <w:pPr>
              <w:spacing w:beforeLines="50" w:line="320" w:lineRule="exact"/>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10" w:hRule="atLeast"/>
        </w:trPr>
        <w:tc>
          <w:tcPr>
            <w:tcW w:w="1440" w:type="dxa"/>
            <w:vMerge w:val="continue"/>
            <w:tcBorders>
              <w:right w:val="single" w:color="auto" w:sz="4" w:space="0"/>
            </w:tcBorders>
          </w:tcPr>
          <w:p>
            <w:pPr>
              <w:spacing w:beforeLines="50" w:line="320" w:lineRule="exact"/>
              <w:rPr>
                <w:rFonts w:ascii="宋体" w:hAnsi="宋体"/>
              </w:rPr>
            </w:pPr>
          </w:p>
        </w:tc>
        <w:tc>
          <w:tcPr>
            <w:tcW w:w="198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担任职位</w:t>
            </w:r>
          </w:p>
        </w:tc>
        <w:tc>
          <w:tcPr>
            <w:tcW w:w="5661" w:type="dxa"/>
            <w:gridSpan w:val="6"/>
            <w:tcBorders>
              <w:top w:val="single" w:color="auto" w:sz="4" w:space="0"/>
              <w:left w:val="single" w:color="auto" w:sz="4" w:space="0"/>
              <w:bottom w:val="single" w:color="auto" w:sz="4" w:space="0"/>
            </w:tcBorders>
          </w:tcPr>
          <w:p>
            <w:pPr>
              <w:spacing w:beforeLines="50" w:line="320" w:lineRule="exact"/>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10" w:hRule="atLeast"/>
        </w:trPr>
        <w:tc>
          <w:tcPr>
            <w:tcW w:w="1440" w:type="dxa"/>
            <w:vMerge w:val="continue"/>
            <w:tcBorders>
              <w:bottom w:val="single" w:color="auto" w:sz="4" w:space="0"/>
              <w:right w:val="single" w:color="auto" w:sz="4" w:space="0"/>
            </w:tcBorders>
          </w:tcPr>
          <w:p>
            <w:pPr>
              <w:spacing w:beforeLines="50" w:line="320" w:lineRule="exact"/>
              <w:rPr>
                <w:rFonts w:ascii="宋体" w:hAnsi="宋体"/>
              </w:rPr>
            </w:pPr>
          </w:p>
        </w:tc>
        <w:tc>
          <w:tcPr>
            <w:tcW w:w="198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可以调离日期</w:t>
            </w:r>
          </w:p>
        </w:tc>
        <w:tc>
          <w:tcPr>
            <w:tcW w:w="5661" w:type="dxa"/>
            <w:gridSpan w:val="6"/>
            <w:tcBorders>
              <w:top w:val="single" w:color="auto" w:sz="4" w:space="0"/>
              <w:left w:val="single" w:color="auto" w:sz="4" w:space="0"/>
              <w:bottom w:val="single" w:color="auto" w:sz="4" w:space="0"/>
            </w:tcBorders>
          </w:tcPr>
          <w:p>
            <w:pPr>
              <w:spacing w:beforeLines="50" w:line="320" w:lineRule="exact"/>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429" w:hRule="atLeast"/>
        </w:trPr>
        <w:tc>
          <w:tcPr>
            <w:tcW w:w="3420" w:type="dxa"/>
            <w:gridSpan w:val="2"/>
            <w:tcBorders>
              <w:top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备  注</w:t>
            </w:r>
          </w:p>
        </w:tc>
        <w:tc>
          <w:tcPr>
            <w:tcW w:w="5661" w:type="dxa"/>
            <w:gridSpan w:val="6"/>
            <w:tcBorders>
              <w:top w:val="single" w:color="auto" w:sz="4" w:space="0"/>
              <w:left w:val="single" w:color="auto" w:sz="4" w:space="0"/>
            </w:tcBorders>
          </w:tcPr>
          <w:p>
            <w:pPr>
              <w:spacing w:beforeLines="50" w:line="320" w:lineRule="exact"/>
              <w:rPr>
                <w:rFonts w:ascii="宋体" w:hAnsi="宋体"/>
              </w:rPr>
            </w:pPr>
          </w:p>
        </w:tc>
      </w:tr>
    </w:tbl>
    <w:p>
      <w:pPr>
        <w:spacing w:before="3"/>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注：1．本表后应附项目经理和项目总工的身份证（双面）、职称证书或建造师证书，以及资格审查条件所要求的其它相关证书（如安全生产考核合格证书等）的清晰复印件或彩色扫描件。</w:t>
      </w:r>
    </w:p>
    <w:p>
      <w:pPr>
        <w:spacing w:before="3"/>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2.本表后应附上安全生产负责人的身份证（双面）、安全生产考核合格证书的清晰复印件或彩色扫描件。</w:t>
      </w:r>
    </w:p>
    <w:p>
      <w:pPr>
        <w:spacing w:before="3"/>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3.目前未在具体项目上任职的，请在备注栏说明现在负责的工作内容。</w:t>
      </w:r>
    </w:p>
    <w:p>
      <w:pPr>
        <w:spacing w:before="3"/>
        <w:ind w:firstLine="420" w:firstLineChars="200"/>
        <w:jc w:val="left"/>
        <w:rPr>
          <w:szCs w:val="21"/>
        </w:rPr>
      </w:pPr>
    </w:p>
    <w:p>
      <w:pPr>
        <w:spacing w:before="3"/>
        <w:ind w:firstLine="420" w:firstLineChars="200"/>
        <w:jc w:val="left"/>
        <w:rPr>
          <w:rFonts w:asciiTheme="minorEastAsia" w:hAnsiTheme="minorEastAsia" w:eastAsiaTheme="minorEastAsia" w:cstheme="minorEastAsia"/>
          <w:szCs w:val="21"/>
        </w:rPr>
      </w:pPr>
    </w:p>
    <w:p>
      <w:pPr>
        <w:spacing w:before="360" w:after="120"/>
      </w:pPr>
      <w:bookmarkStart w:id="7517" w:name="_Toc6060"/>
      <w:bookmarkStart w:id="7518" w:name="_Toc23402"/>
      <w:bookmarkStart w:id="7519" w:name="_Toc1009"/>
      <w:bookmarkStart w:id="7520" w:name="_Toc28593"/>
    </w:p>
    <w:p>
      <w:pPr>
        <w:pStyle w:val="2"/>
        <w:ind w:firstLine="240"/>
      </w:pPr>
    </w:p>
    <w:p>
      <w:pPr>
        <w:pStyle w:val="2"/>
        <w:ind w:firstLine="240"/>
      </w:pPr>
    </w:p>
    <w:bookmarkEnd w:id="7517"/>
    <w:bookmarkEnd w:id="7518"/>
    <w:bookmarkEnd w:id="7519"/>
    <w:bookmarkEnd w:id="7520"/>
    <w:p>
      <w:pPr>
        <w:pStyle w:val="6"/>
        <w:spacing w:before="360" w:after="120" w:line="415" w:lineRule="auto"/>
        <w:rPr>
          <w:rFonts w:ascii="黑体" w:eastAsia="黑体"/>
          <w:b w:val="0"/>
        </w:rPr>
      </w:pPr>
      <w:bookmarkStart w:id="7521" w:name="_Toc282779380"/>
      <w:bookmarkStart w:id="7522" w:name="_Toc288491908"/>
      <w:bookmarkStart w:id="7523" w:name="_Toc23747"/>
      <w:bookmarkStart w:id="7524" w:name="_Toc287853730"/>
      <w:bookmarkStart w:id="7525" w:name="_Toc17911"/>
      <w:bookmarkStart w:id="7526" w:name="_Toc282779889"/>
      <w:bookmarkStart w:id="7527" w:name="_Toc9806"/>
      <w:bookmarkStart w:id="7528" w:name="_Toc2102"/>
      <w:bookmarkStart w:id="7529" w:name="_Toc252720336"/>
      <w:bookmarkStart w:id="7530" w:name="_Toc251241316"/>
      <w:bookmarkStart w:id="7531" w:name="_Toc13019"/>
      <w:bookmarkStart w:id="7532" w:name="_Toc21017"/>
      <w:bookmarkStart w:id="7533" w:name="_Toc288547033"/>
      <w:bookmarkStart w:id="7534" w:name="_Toc283794577"/>
      <w:bookmarkStart w:id="7535" w:name="_Toc282787844"/>
      <w:r>
        <w:rPr>
          <w:rFonts w:hint="eastAsia" w:ascii="黑体" w:eastAsia="黑体"/>
          <w:b w:val="0"/>
        </w:rPr>
        <w:t>（四）</w:t>
      </w:r>
      <w:r>
        <w:rPr>
          <w:rFonts w:hint="eastAsia" w:ascii="宋体" w:hAnsi="宋体"/>
          <w:sz w:val="36"/>
          <w:szCs w:val="36"/>
        </w:rPr>
        <w:t>拟委任的其他主要管理人员和技术人员资历表</w:t>
      </w:r>
    </w:p>
    <w:tbl>
      <w:tblPr>
        <w:tblStyle w:val="20"/>
        <w:tblpPr w:leftFromText="180" w:rightFromText="180" w:vertAnchor="text" w:tblpX="109" w:tblpY="211"/>
        <w:tblW w:w="0" w:type="auto"/>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440"/>
        <w:gridCol w:w="1980"/>
        <w:gridCol w:w="1260"/>
        <w:gridCol w:w="1084"/>
        <w:gridCol w:w="716"/>
        <w:gridCol w:w="921"/>
        <w:gridCol w:w="627"/>
        <w:gridCol w:w="1053"/>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50" w:hRule="atLeast"/>
        </w:trPr>
        <w:tc>
          <w:tcPr>
            <w:tcW w:w="1440" w:type="dxa"/>
            <w:tcBorders>
              <w:bottom w:val="single" w:color="auto" w:sz="4" w:space="0"/>
              <w:right w:val="single" w:color="auto" w:sz="4" w:space="0"/>
            </w:tcBorders>
            <w:vAlign w:val="center"/>
          </w:tcPr>
          <w:p>
            <w:pPr>
              <w:spacing w:line="360" w:lineRule="exact"/>
              <w:jc w:val="center"/>
              <w:rPr>
                <w:rFonts w:ascii="宋体" w:hAnsi="宋体"/>
              </w:rPr>
            </w:pPr>
            <w:r>
              <w:rPr>
                <w:rFonts w:hint="eastAsia" w:ascii="宋体" w:hAnsi="宋体"/>
              </w:rPr>
              <w:t>姓名</w:t>
            </w:r>
          </w:p>
        </w:tc>
        <w:tc>
          <w:tcPr>
            <w:tcW w:w="1980" w:type="dxa"/>
            <w:tcBorders>
              <w:left w:val="single" w:color="auto" w:sz="4" w:space="0"/>
              <w:bottom w:val="single" w:color="auto" w:sz="4" w:space="0"/>
              <w:right w:val="single" w:color="auto" w:sz="4" w:space="0"/>
            </w:tcBorders>
            <w:vAlign w:val="center"/>
          </w:tcPr>
          <w:p>
            <w:pPr>
              <w:spacing w:line="360" w:lineRule="exact"/>
              <w:jc w:val="center"/>
              <w:rPr>
                <w:rFonts w:ascii="宋体" w:hAnsi="宋体"/>
              </w:rPr>
            </w:pPr>
          </w:p>
        </w:tc>
        <w:tc>
          <w:tcPr>
            <w:tcW w:w="1260" w:type="dxa"/>
            <w:tcBorders>
              <w:left w:val="single" w:color="auto" w:sz="4" w:space="0"/>
              <w:bottom w:val="single" w:color="auto" w:sz="4" w:space="0"/>
              <w:right w:val="single" w:color="auto" w:sz="4" w:space="0"/>
            </w:tcBorders>
            <w:vAlign w:val="center"/>
          </w:tcPr>
          <w:p>
            <w:pPr>
              <w:spacing w:line="360" w:lineRule="exact"/>
              <w:jc w:val="center"/>
              <w:rPr>
                <w:rFonts w:ascii="宋体" w:hAnsi="宋体"/>
              </w:rPr>
            </w:pPr>
            <w:r>
              <w:rPr>
                <w:rFonts w:hint="eastAsia" w:ascii="宋体" w:hAnsi="宋体"/>
              </w:rPr>
              <w:t>年龄</w:t>
            </w:r>
          </w:p>
        </w:tc>
        <w:tc>
          <w:tcPr>
            <w:tcW w:w="1800" w:type="dxa"/>
            <w:gridSpan w:val="2"/>
            <w:tcBorders>
              <w:left w:val="single" w:color="auto" w:sz="4" w:space="0"/>
              <w:bottom w:val="single" w:color="auto" w:sz="4" w:space="0"/>
              <w:right w:val="single" w:color="auto" w:sz="4" w:space="0"/>
            </w:tcBorders>
            <w:vAlign w:val="center"/>
          </w:tcPr>
          <w:p>
            <w:pPr>
              <w:spacing w:line="360" w:lineRule="exact"/>
              <w:jc w:val="center"/>
              <w:rPr>
                <w:rFonts w:ascii="宋体" w:hAnsi="宋体"/>
              </w:rPr>
            </w:pPr>
          </w:p>
        </w:tc>
        <w:tc>
          <w:tcPr>
            <w:tcW w:w="1548" w:type="dxa"/>
            <w:gridSpan w:val="2"/>
            <w:tcBorders>
              <w:left w:val="single" w:color="auto" w:sz="4" w:space="0"/>
              <w:bottom w:val="single" w:color="auto" w:sz="4" w:space="0"/>
              <w:right w:val="single" w:color="auto" w:sz="4" w:space="0"/>
            </w:tcBorders>
            <w:vAlign w:val="center"/>
          </w:tcPr>
          <w:p>
            <w:pPr>
              <w:spacing w:line="360" w:lineRule="exact"/>
              <w:jc w:val="center"/>
              <w:rPr>
                <w:rFonts w:ascii="宋体" w:hAnsi="宋体"/>
              </w:rPr>
            </w:pPr>
            <w:r>
              <w:rPr>
                <w:rFonts w:hint="eastAsia" w:ascii="宋体" w:hAnsi="宋体"/>
              </w:rPr>
              <w:t>专业</w:t>
            </w:r>
          </w:p>
        </w:tc>
        <w:tc>
          <w:tcPr>
            <w:tcW w:w="1053" w:type="dxa"/>
            <w:tcBorders>
              <w:left w:val="single" w:color="auto" w:sz="4" w:space="0"/>
              <w:bottom w:val="single" w:color="auto" w:sz="4" w:space="0"/>
            </w:tcBorders>
            <w:vAlign w:val="center"/>
          </w:tcPr>
          <w:p>
            <w:pPr>
              <w:spacing w:line="360" w:lineRule="exact"/>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62" w:hRule="atLeast"/>
        </w:trPr>
        <w:tc>
          <w:tcPr>
            <w:tcW w:w="1440" w:type="dxa"/>
            <w:tcBorders>
              <w:top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职称</w:t>
            </w:r>
          </w:p>
        </w:tc>
        <w:tc>
          <w:tcPr>
            <w:tcW w:w="1980" w:type="dxa"/>
            <w:tcBorders>
              <w:top w:val="single" w:color="auto" w:sz="4" w:space="0"/>
              <w:left w:val="single" w:color="auto" w:sz="4" w:space="0"/>
              <w:bottom w:val="single" w:color="auto" w:sz="4" w:space="0"/>
              <w:right w:val="single" w:color="auto" w:sz="4" w:space="0"/>
            </w:tcBorders>
          </w:tcPr>
          <w:p>
            <w:pPr>
              <w:spacing w:beforeLines="50" w:line="320" w:lineRule="exact"/>
              <w:rPr>
                <w:rFonts w:ascii="宋体" w:hAnsi="宋体"/>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公司单位</w:t>
            </w:r>
          </w:p>
          <w:p>
            <w:pPr>
              <w:spacing w:line="320" w:lineRule="exact"/>
              <w:jc w:val="center"/>
              <w:rPr>
                <w:rFonts w:ascii="宋体" w:hAnsi="宋体"/>
              </w:rPr>
            </w:pPr>
            <w:r>
              <w:rPr>
                <w:rFonts w:hint="eastAsia" w:ascii="宋体" w:hAnsi="宋体"/>
              </w:rPr>
              <w:t>职    务</w:t>
            </w:r>
          </w:p>
        </w:tc>
        <w:tc>
          <w:tcPr>
            <w:tcW w:w="1800" w:type="dxa"/>
            <w:gridSpan w:val="2"/>
            <w:tcBorders>
              <w:top w:val="single" w:color="auto" w:sz="4" w:space="0"/>
              <w:left w:val="single" w:color="auto" w:sz="4" w:space="0"/>
              <w:bottom w:val="single" w:color="auto" w:sz="4" w:space="0"/>
              <w:right w:val="single" w:color="auto" w:sz="4" w:space="0"/>
            </w:tcBorders>
          </w:tcPr>
          <w:p>
            <w:pPr>
              <w:spacing w:beforeLines="50" w:line="320" w:lineRule="exact"/>
              <w:rPr>
                <w:rFonts w:ascii="宋体" w:hAnsi="宋体"/>
              </w:rPr>
            </w:pPr>
          </w:p>
        </w:tc>
        <w:tc>
          <w:tcPr>
            <w:tcW w:w="154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拟在本标段</w:t>
            </w:r>
          </w:p>
          <w:p>
            <w:pPr>
              <w:spacing w:line="320" w:lineRule="exact"/>
              <w:jc w:val="center"/>
              <w:rPr>
                <w:rFonts w:ascii="宋体" w:hAnsi="宋体"/>
              </w:rPr>
            </w:pPr>
            <w:r>
              <w:rPr>
                <w:rFonts w:hint="eastAsia" w:ascii="宋体" w:hAnsi="宋体"/>
              </w:rPr>
              <w:t>工程担任职务</w:t>
            </w:r>
          </w:p>
        </w:tc>
        <w:tc>
          <w:tcPr>
            <w:tcW w:w="1053" w:type="dxa"/>
            <w:tcBorders>
              <w:top w:val="single" w:color="auto" w:sz="4" w:space="0"/>
              <w:left w:val="single" w:color="auto" w:sz="4" w:space="0"/>
              <w:bottom w:val="single" w:color="auto" w:sz="4" w:space="0"/>
            </w:tcBorders>
          </w:tcPr>
          <w:p>
            <w:pPr>
              <w:spacing w:beforeLines="50" w:line="320" w:lineRule="exact"/>
              <w:rPr>
                <w:rFonts w:ascii="宋体" w:hAnsi="宋体"/>
                <w:spacing w:val="-20"/>
                <w:szCs w:val="21"/>
              </w:rPr>
            </w:pPr>
            <w:r>
              <w:rPr>
                <w:rFonts w:hint="eastAsia" w:ascii="宋体" w:hAnsi="宋体"/>
                <w:spacing w:val="-20"/>
                <w:szCs w:val="21"/>
              </w:rPr>
              <w:t>安全生产负责人</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99" w:hRule="atLeast"/>
        </w:trPr>
        <w:tc>
          <w:tcPr>
            <w:tcW w:w="1440" w:type="dxa"/>
            <w:tcBorders>
              <w:top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毕业学校</w:t>
            </w:r>
          </w:p>
        </w:tc>
        <w:tc>
          <w:tcPr>
            <w:tcW w:w="7641" w:type="dxa"/>
            <w:gridSpan w:val="7"/>
            <w:tcBorders>
              <w:top w:val="single" w:color="auto" w:sz="4" w:space="0"/>
              <w:left w:val="single" w:color="auto" w:sz="4" w:space="0"/>
              <w:bottom w:val="single" w:color="auto" w:sz="4" w:space="0"/>
            </w:tcBorders>
          </w:tcPr>
          <w:p>
            <w:pPr>
              <w:spacing w:beforeLines="50" w:line="320" w:lineRule="exact"/>
              <w:rPr>
                <w:rFonts w:ascii="宋体" w:hAnsi="宋体"/>
              </w:rPr>
            </w:pPr>
            <w:r>
              <w:rPr>
                <w:rFonts w:hint="eastAsia" w:ascii="宋体" w:hAnsi="宋体"/>
              </w:rPr>
              <w:t>年月毕业于学校专业，学制年</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50" w:hRule="atLeast"/>
        </w:trPr>
        <w:tc>
          <w:tcPr>
            <w:tcW w:w="9081" w:type="dxa"/>
            <w:gridSpan w:val="8"/>
            <w:tcBorders>
              <w:top w:val="single" w:color="auto" w:sz="4" w:space="0"/>
              <w:bottom w:val="single" w:color="auto" w:sz="4" w:space="0"/>
            </w:tcBorders>
            <w:vAlign w:val="center"/>
          </w:tcPr>
          <w:p>
            <w:pPr>
              <w:spacing w:line="320" w:lineRule="exact"/>
              <w:jc w:val="center"/>
              <w:rPr>
                <w:rFonts w:ascii="宋体" w:hAnsi="宋体"/>
              </w:rPr>
            </w:pPr>
            <w:r>
              <w:rPr>
                <w:rFonts w:hint="eastAsia" w:ascii="宋体" w:hAnsi="宋体"/>
              </w:rPr>
              <w:t>经      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51" w:hRule="atLeast"/>
        </w:trPr>
        <w:tc>
          <w:tcPr>
            <w:tcW w:w="1440" w:type="dxa"/>
            <w:tcBorders>
              <w:top w:val="single" w:color="auto" w:sz="4" w:space="0"/>
              <w:bottom w:val="single" w:color="auto" w:sz="4" w:space="0"/>
              <w:right w:val="single" w:color="auto" w:sz="4" w:space="0"/>
            </w:tcBorders>
          </w:tcPr>
          <w:p>
            <w:pPr>
              <w:spacing w:beforeLines="50" w:line="320" w:lineRule="exact"/>
              <w:rPr>
                <w:rFonts w:ascii="宋体" w:hAnsi="宋体"/>
              </w:rPr>
            </w:pPr>
            <w:r>
              <w:rPr>
                <w:rFonts w:hint="eastAsia" w:ascii="宋体" w:hAnsi="宋体"/>
              </w:rPr>
              <w:t>年～</w:t>
            </w:r>
          </w:p>
          <w:p>
            <w:pPr>
              <w:spacing w:line="320" w:lineRule="exact"/>
              <w:ind w:firstLine="105" w:firstLineChars="50"/>
              <w:rPr>
                <w:rFonts w:ascii="宋体" w:hAnsi="宋体"/>
              </w:rPr>
            </w:pPr>
            <w:r>
              <w:rPr>
                <w:rFonts w:hint="eastAsia" w:ascii="宋体" w:hAnsi="宋体"/>
              </w:rPr>
              <w:t>年</w:t>
            </w:r>
          </w:p>
        </w:tc>
        <w:tc>
          <w:tcPr>
            <w:tcW w:w="432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参加过的工程项目名称</w:t>
            </w:r>
          </w:p>
        </w:tc>
        <w:tc>
          <w:tcPr>
            <w:tcW w:w="163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担任何职</w:t>
            </w:r>
          </w:p>
        </w:tc>
        <w:tc>
          <w:tcPr>
            <w:tcW w:w="1680" w:type="dxa"/>
            <w:gridSpan w:val="2"/>
            <w:tcBorders>
              <w:top w:val="single" w:color="auto" w:sz="4" w:space="0"/>
              <w:left w:val="single" w:color="auto" w:sz="4" w:space="0"/>
              <w:bottom w:val="single" w:color="auto" w:sz="4" w:space="0"/>
            </w:tcBorders>
            <w:vAlign w:val="center"/>
          </w:tcPr>
          <w:p>
            <w:pPr>
              <w:spacing w:line="320" w:lineRule="exact"/>
              <w:jc w:val="center"/>
              <w:rPr>
                <w:rFonts w:ascii="宋体" w:hAnsi="宋体"/>
              </w:rPr>
            </w:pPr>
            <w:r>
              <w:rPr>
                <w:rFonts w:hint="eastAsia" w:ascii="宋体" w:hAnsi="宋体"/>
              </w:rPr>
              <w:t>发包人及</w:t>
            </w:r>
          </w:p>
          <w:p>
            <w:pPr>
              <w:spacing w:line="320" w:lineRule="exact"/>
              <w:jc w:val="center"/>
              <w:rPr>
                <w:rFonts w:ascii="宋体" w:hAnsi="宋体"/>
              </w:rPr>
            </w:pPr>
            <w:r>
              <w:rPr>
                <w:rFonts w:hint="eastAsia" w:ascii="宋体" w:hAnsi="宋体"/>
              </w:rPr>
              <w:t>联系电话</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10" w:hRule="atLeast"/>
        </w:trPr>
        <w:tc>
          <w:tcPr>
            <w:tcW w:w="1440" w:type="dxa"/>
            <w:tcBorders>
              <w:top w:val="single" w:color="auto" w:sz="4" w:space="0"/>
              <w:bottom w:val="single" w:color="auto" w:sz="4" w:space="0"/>
              <w:right w:val="single" w:color="auto" w:sz="4" w:space="0"/>
            </w:tcBorders>
          </w:tcPr>
          <w:p>
            <w:pPr>
              <w:spacing w:beforeLines="50" w:line="320" w:lineRule="exact"/>
              <w:rPr>
                <w:rFonts w:ascii="宋体" w:hAnsi="宋体"/>
              </w:rPr>
            </w:pPr>
          </w:p>
        </w:tc>
        <w:tc>
          <w:tcPr>
            <w:tcW w:w="1980" w:type="dxa"/>
            <w:tcBorders>
              <w:top w:val="single" w:color="auto" w:sz="4" w:space="0"/>
              <w:left w:val="single" w:color="auto" w:sz="4" w:space="0"/>
              <w:bottom w:val="single" w:color="auto" w:sz="4" w:space="0"/>
              <w:right w:val="single" w:color="auto" w:sz="4" w:space="0"/>
            </w:tcBorders>
          </w:tcPr>
          <w:p>
            <w:pPr>
              <w:spacing w:beforeLines="50" w:line="320" w:lineRule="exact"/>
              <w:rPr>
                <w:rFonts w:ascii="宋体" w:hAnsi="宋体"/>
              </w:rPr>
            </w:pPr>
          </w:p>
        </w:tc>
        <w:tc>
          <w:tcPr>
            <w:tcW w:w="1260" w:type="dxa"/>
            <w:tcBorders>
              <w:top w:val="single" w:color="auto" w:sz="4" w:space="0"/>
              <w:left w:val="single" w:color="auto" w:sz="4" w:space="0"/>
              <w:bottom w:val="single" w:color="auto" w:sz="4" w:space="0"/>
              <w:right w:val="single" w:color="auto" w:sz="4" w:space="0"/>
            </w:tcBorders>
          </w:tcPr>
          <w:p>
            <w:pPr>
              <w:spacing w:beforeLines="50" w:line="320" w:lineRule="exact"/>
              <w:rPr>
                <w:rFonts w:ascii="宋体" w:hAnsi="宋体"/>
              </w:rPr>
            </w:pPr>
          </w:p>
        </w:tc>
        <w:tc>
          <w:tcPr>
            <w:tcW w:w="1084" w:type="dxa"/>
            <w:tcBorders>
              <w:top w:val="single" w:color="auto" w:sz="4" w:space="0"/>
              <w:left w:val="single" w:color="auto" w:sz="4" w:space="0"/>
              <w:bottom w:val="single" w:color="auto" w:sz="4" w:space="0"/>
              <w:right w:val="single" w:color="auto" w:sz="4" w:space="0"/>
            </w:tcBorders>
          </w:tcPr>
          <w:p>
            <w:pPr>
              <w:spacing w:beforeLines="50" w:line="320" w:lineRule="exact"/>
              <w:rPr>
                <w:rFonts w:ascii="宋体" w:hAnsi="宋体"/>
              </w:rPr>
            </w:pPr>
          </w:p>
        </w:tc>
        <w:tc>
          <w:tcPr>
            <w:tcW w:w="1637" w:type="dxa"/>
            <w:gridSpan w:val="2"/>
            <w:tcBorders>
              <w:top w:val="single" w:color="auto" w:sz="4" w:space="0"/>
              <w:left w:val="single" w:color="auto" w:sz="4" w:space="0"/>
              <w:bottom w:val="single" w:color="auto" w:sz="4" w:space="0"/>
              <w:right w:val="single" w:color="auto" w:sz="4" w:space="0"/>
            </w:tcBorders>
          </w:tcPr>
          <w:p>
            <w:pPr>
              <w:spacing w:beforeLines="50" w:line="320" w:lineRule="exact"/>
              <w:rPr>
                <w:rFonts w:ascii="宋体" w:hAnsi="宋体"/>
              </w:rPr>
            </w:pPr>
          </w:p>
        </w:tc>
        <w:tc>
          <w:tcPr>
            <w:tcW w:w="1680" w:type="dxa"/>
            <w:gridSpan w:val="2"/>
            <w:tcBorders>
              <w:top w:val="single" w:color="auto" w:sz="4" w:space="0"/>
              <w:left w:val="single" w:color="auto" w:sz="4" w:space="0"/>
              <w:bottom w:val="single" w:color="auto" w:sz="4" w:space="0"/>
            </w:tcBorders>
          </w:tcPr>
          <w:p>
            <w:pPr>
              <w:spacing w:beforeLines="50" w:line="320" w:lineRule="exact"/>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10" w:hRule="atLeast"/>
        </w:trPr>
        <w:tc>
          <w:tcPr>
            <w:tcW w:w="1440" w:type="dxa"/>
            <w:tcBorders>
              <w:top w:val="single" w:color="auto" w:sz="4" w:space="0"/>
              <w:bottom w:val="single" w:color="auto" w:sz="4" w:space="0"/>
              <w:right w:val="single" w:color="auto" w:sz="4" w:space="0"/>
            </w:tcBorders>
          </w:tcPr>
          <w:p>
            <w:pPr>
              <w:spacing w:beforeLines="50" w:line="320" w:lineRule="exact"/>
              <w:rPr>
                <w:rFonts w:ascii="宋体" w:hAnsi="宋体"/>
              </w:rPr>
            </w:pPr>
          </w:p>
        </w:tc>
        <w:tc>
          <w:tcPr>
            <w:tcW w:w="1980" w:type="dxa"/>
            <w:tcBorders>
              <w:top w:val="single" w:color="auto" w:sz="4" w:space="0"/>
              <w:left w:val="single" w:color="auto" w:sz="4" w:space="0"/>
              <w:bottom w:val="single" w:color="auto" w:sz="4" w:space="0"/>
              <w:right w:val="single" w:color="auto" w:sz="4" w:space="0"/>
            </w:tcBorders>
          </w:tcPr>
          <w:p>
            <w:pPr>
              <w:spacing w:beforeLines="50" w:line="320" w:lineRule="exact"/>
              <w:rPr>
                <w:rFonts w:ascii="宋体" w:hAnsi="宋体"/>
              </w:rPr>
            </w:pPr>
          </w:p>
        </w:tc>
        <w:tc>
          <w:tcPr>
            <w:tcW w:w="1260" w:type="dxa"/>
            <w:tcBorders>
              <w:top w:val="single" w:color="auto" w:sz="4" w:space="0"/>
              <w:left w:val="single" w:color="auto" w:sz="4" w:space="0"/>
              <w:bottom w:val="single" w:color="auto" w:sz="4" w:space="0"/>
              <w:right w:val="single" w:color="auto" w:sz="4" w:space="0"/>
            </w:tcBorders>
          </w:tcPr>
          <w:p>
            <w:pPr>
              <w:spacing w:beforeLines="50" w:line="320" w:lineRule="exact"/>
              <w:rPr>
                <w:rFonts w:ascii="宋体" w:hAnsi="宋体"/>
              </w:rPr>
            </w:pPr>
          </w:p>
        </w:tc>
        <w:tc>
          <w:tcPr>
            <w:tcW w:w="1084" w:type="dxa"/>
            <w:tcBorders>
              <w:top w:val="single" w:color="auto" w:sz="4" w:space="0"/>
              <w:left w:val="single" w:color="auto" w:sz="4" w:space="0"/>
              <w:bottom w:val="single" w:color="auto" w:sz="4" w:space="0"/>
              <w:right w:val="single" w:color="auto" w:sz="4" w:space="0"/>
            </w:tcBorders>
          </w:tcPr>
          <w:p>
            <w:pPr>
              <w:spacing w:beforeLines="50" w:line="320" w:lineRule="exact"/>
              <w:rPr>
                <w:rFonts w:ascii="宋体" w:hAnsi="宋体"/>
              </w:rPr>
            </w:pPr>
          </w:p>
        </w:tc>
        <w:tc>
          <w:tcPr>
            <w:tcW w:w="1637" w:type="dxa"/>
            <w:gridSpan w:val="2"/>
            <w:tcBorders>
              <w:top w:val="single" w:color="auto" w:sz="4" w:space="0"/>
              <w:left w:val="single" w:color="auto" w:sz="4" w:space="0"/>
              <w:bottom w:val="single" w:color="auto" w:sz="4" w:space="0"/>
              <w:right w:val="single" w:color="auto" w:sz="4" w:space="0"/>
            </w:tcBorders>
          </w:tcPr>
          <w:p>
            <w:pPr>
              <w:spacing w:beforeLines="50" w:line="320" w:lineRule="exact"/>
              <w:rPr>
                <w:rFonts w:ascii="宋体" w:hAnsi="宋体"/>
              </w:rPr>
            </w:pPr>
          </w:p>
        </w:tc>
        <w:tc>
          <w:tcPr>
            <w:tcW w:w="1680" w:type="dxa"/>
            <w:gridSpan w:val="2"/>
            <w:tcBorders>
              <w:top w:val="single" w:color="auto" w:sz="4" w:space="0"/>
              <w:left w:val="single" w:color="auto" w:sz="4" w:space="0"/>
              <w:bottom w:val="single" w:color="auto" w:sz="4" w:space="0"/>
            </w:tcBorders>
          </w:tcPr>
          <w:p>
            <w:pPr>
              <w:spacing w:beforeLines="50" w:line="320" w:lineRule="exact"/>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10" w:hRule="atLeast"/>
        </w:trPr>
        <w:tc>
          <w:tcPr>
            <w:tcW w:w="1440" w:type="dxa"/>
            <w:tcBorders>
              <w:top w:val="single" w:color="auto" w:sz="4" w:space="0"/>
              <w:bottom w:val="single" w:color="auto" w:sz="4" w:space="0"/>
              <w:right w:val="single" w:color="auto" w:sz="4" w:space="0"/>
            </w:tcBorders>
          </w:tcPr>
          <w:p>
            <w:pPr>
              <w:spacing w:beforeLines="50" w:line="320" w:lineRule="exact"/>
              <w:rPr>
                <w:rFonts w:ascii="宋体" w:hAnsi="宋体"/>
              </w:rPr>
            </w:pPr>
          </w:p>
        </w:tc>
        <w:tc>
          <w:tcPr>
            <w:tcW w:w="1980" w:type="dxa"/>
            <w:tcBorders>
              <w:top w:val="single" w:color="auto" w:sz="4" w:space="0"/>
              <w:left w:val="single" w:color="auto" w:sz="4" w:space="0"/>
              <w:bottom w:val="single" w:color="auto" w:sz="4" w:space="0"/>
              <w:right w:val="single" w:color="auto" w:sz="4" w:space="0"/>
            </w:tcBorders>
          </w:tcPr>
          <w:p>
            <w:pPr>
              <w:spacing w:beforeLines="50" w:line="320" w:lineRule="exact"/>
              <w:rPr>
                <w:rFonts w:ascii="宋体" w:hAnsi="宋体"/>
              </w:rPr>
            </w:pPr>
          </w:p>
        </w:tc>
        <w:tc>
          <w:tcPr>
            <w:tcW w:w="1260" w:type="dxa"/>
            <w:tcBorders>
              <w:top w:val="single" w:color="auto" w:sz="4" w:space="0"/>
              <w:left w:val="single" w:color="auto" w:sz="4" w:space="0"/>
              <w:bottom w:val="single" w:color="auto" w:sz="4" w:space="0"/>
              <w:right w:val="single" w:color="auto" w:sz="4" w:space="0"/>
            </w:tcBorders>
          </w:tcPr>
          <w:p>
            <w:pPr>
              <w:spacing w:beforeLines="50" w:line="320" w:lineRule="exact"/>
              <w:rPr>
                <w:rFonts w:ascii="宋体" w:hAnsi="宋体"/>
              </w:rPr>
            </w:pPr>
          </w:p>
        </w:tc>
        <w:tc>
          <w:tcPr>
            <w:tcW w:w="1084" w:type="dxa"/>
            <w:tcBorders>
              <w:top w:val="single" w:color="auto" w:sz="4" w:space="0"/>
              <w:left w:val="single" w:color="auto" w:sz="4" w:space="0"/>
              <w:bottom w:val="single" w:color="auto" w:sz="4" w:space="0"/>
              <w:right w:val="single" w:color="auto" w:sz="4" w:space="0"/>
            </w:tcBorders>
          </w:tcPr>
          <w:p>
            <w:pPr>
              <w:spacing w:beforeLines="50" w:line="320" w:lineRule="exact"/>
              <w:rPr>
                <w:rFonts w:ascii="宋体" w:hAnsi="宋体"/>
              </w:rPr>
            </w:pPr>
          </w:p>
        </w:tc>
        <w:tc>
          <w:tcPr>
            <w:tcW w:w="1637" w:type="dxa"/>
            <w:gridSpan w:val="2"/>
            <w:tcBorders>
              <w:top w:val="single" w:color="auto" w:sz="4" w:space="0"/>
              <w:left w:val="single" w:color="auto" w:sz="4" w:space="0"/>
              <w:bottom w:val="single" w:color="auto" w:sz="4" w:space="0"/>
              <w:right w:val="single" w:color="auto" w:sz="4" w:space="0"/>
            </w:tcBorders>
          </w:tcPr>
          <w:p>
            <w:pPr>
              <w:spacing w:beforeLines="50" w:line="320" w:lineRule="exact"/>
              <w:rPr>
                <w:rFonts w:ascii="宋体" w:hAnsi="宋体"/>
              </w:rPr>
            </w:pPr>
          </w:p>
        </w:tc>
        <w:tc>
          <w:tcPr>
            <w:tcW w:w="1680" w:type="dxa"/>
            <w:gridSpan w:val="2"/>
            <w:tcBorders>
              <w:top w:val="single" w:color="auto" w:sz="4" w:space="0"/>
              <w:left w:val="single" w:color="auto" w:sz="4" w:space="0"/>
              <w:bottom w:val="single" w:color="auto" w:sz="4" w:space="0"/>
            </w:tcBorders>
          </w:tcPr>
          <w:p>
            <w:pPr>
              <w:spacing w:beforeLines="50" w:line="320" w:lineRule="exact"/>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10" w:hRule="atLeast"/>
        </w:trPr>
        <w:tc>
          <w:tcPr>
            <w:tcW w:w="1440" w:type="dxa"/>
            <w:tcBorders>
              <w:top w:val="single" w:color="auto" w:sz="4" w:space="0"/>
              <w:bottom w:val="single" w:color="auto" w:sz="4" w:space="0"/>
              <w:right w:val="single" w:color="auto" w:sz="4" w:space="0"/>
            </w:tcBorders>
          </w:tcPr>
          <w:p>
            <w:pPr>
              <w:spacing w:beforeLines="50" w:line="320" w:lineRule="exact"/>
              <w:rPr>
                <w:rFonts w:ascii="宋体" w:hAnsi="宋体"/>
              </w:rPr>
            </w:pPr>
          </w:p>
        </w:tc>
        <w:tc>
          <w:tcPr>
            <w:tcW w:w="1980" w:type="dxa"/>
            <w:tcBorders>
              <w:top w:val="single" w:color="auto" w:sz="4" w:space="0"/>
              <w:left w:val="single" w:color="auto" w:sz="4" w:space="0"/>
              <w:bottom w:val="single" w:color="auto" w:sz="4" w:space="0"/>
              <w:right w:val="single" w:color="auto" w:sz="4" w:space="0"/>
            </w:tcBorders>
          </w:tcPr>
          <w:p>
            <w:pPr>
              <w:spacing w:beforeLines="50" w:line="320" w:lineRule="exact"/>
              <w:rPr>
                <w:rFonts w:ascii="宋体" w:hAnsi="宋体"/>
              </w:rPr>
            </w:pPr>
          </w:p>
        </w:tc>
        <w:tc>
          <w:tcPr>
            <w:tcW w:w="1260" w:type="dxa"/>
            <w:tcBorders>
              <w:top w:val="single" w:color="auto" w:sz="4" w:space="0"/>
              <w:left w:val="single" w:color="auto" w:sz="4" w:space="0"/>
              <w:bottom w:val="single" w:color="auto" w:sz="4" w:space="0"/>
              <w:right w:val="single" w:color="auto" w:sz="4" w:space="0"/>
            </w:tcBorders>
          </w:tcPr>
          <w:p>
            <w:pPr>
              <w:spacing w:beforeLines="50" w:line="320" w:lineRule="exact"/>
              <w:rPr>
                <w:rFonts w:ascii="宋体" w:hAnsi="宋体"/>
              </w:rPr>
            </w:pPr>
          </w:p>
        </w:tc>
        <w:tc>
          <w:tcPr>
            <w:tcW w:w="1084" w:type="dxa"/>
            <w:tcBorders>
              <w:top w:val="single" w:color="auto" w:sz="4" w:space="0"/>
              <w:left w:val="single" w:color="auto" w:sz="4" w:space="0"/>
              <w:bottom w:val="single" w:color="auto" w:sz="4" w:space="0"/>
              <w:right w:val="single" w:color="auto" w:sz="4" w:space="0"/>
            </w:tcBorders>
          </w:tcPr>
          <w:p>
            <w:pPr>
              <w:spacing w:beforeLines="50" w:line="320" w:lineRule="exact"/>
              <w:rPr>
                <w:rFonts w:ascii="宋体" w:hAnsi="宋体"/>
              </w:rPr>
            </w:pPr>
          </w:p>
        </w:tc>
        <w:tc>
          <w:tcPr>
            <w:tcW w:w="1637" w:type="dxa"/>
            <w:gridSpan w:val="2"/>
            <w:tcBorders>
              <w:top w:val="single" w:color="auto" w:sz="4" w:space="0"/>
              <w:left w:val="single" w:color="auto" w:sz="4" w:space="0"/>
              <w:bottom w:val="single" w:color="auto" w:sz="4" w:space="0"/>
              <w:right w:val="single" w:color="auto" w:sz="4" w:space="0"/>
            </w:tcBorders>
          </w:tcPr>
          <w:p>
            <w:pPr>
              <w:spacing w:beforeLines="50" w:line="320" w:lineRule="exact"/>
              <w:rPr>
                <w:rFonts w:ascii="宋体" w:hAnsi="宋体"/>
              </w:rPr>
            </w:pPr>
          </w:p>
        </w:tc>
        <w:tc>
          <w:tcPr>
            <w:tcW w:w="1680" w:type="dxa"/>
            <w:gridSpan w:val="2"/>
            <w:tcBorders>
              <w:top w:val="single" w:color="auto" w:sz="4" w:space="0"/>
              <w:left w:val="single" w:color="auto" w:sz="4" w:space="0"/>
              <w:bottom w:val="single" w:color="auto" w:sz="4" w:space="0"/>
            </w:tcBorders>
          </w:tcPr>
          <w:p>
            <w:pPr>
              <w:spacing w:beforeLines="50" w:line="320" w:lineRule="exact"/>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10" w:hRule="atLeast"/>
        </w:trPr>
        <w:tc>
          <w:tcPr>
            <w:tcW w:w="1440" w:type="dxa"/>
            <w:tcBorders>
              <w:top w:val="single" w:color="auto" w:sz="4" w:space="0"/>
              <w:bottom w:val="single" w:color="auto" w:sz="4" w:space="0"/>
              <w:right w:val="single" w:color="auto" w:sz="4" w:space="0"/>
            </w:tcBorders>
          </w:tcPr>
          <w:p>
            <w:pPr>
              <w:spacing w:beforeLines="50" w:line="320" w:lineRule="exact"/>
              <w:rPr>
                <w:rFonts w:ascii="宋体" w:hAnsi="宋体"/>
              </w:rPr>
            </w:pPr>
          </w:p>
        </w:tc>
        <w:tc>
          <w:tcPr>
            <w:tcW w:w="1980" w:type="dxa"/>
            <w:tcBorders>
              <w:top w:val="single" w:color="auto" w:sz="4" w:space="0"/>
              <w:left w:val="single" w:color="auto" w:sz="4" w:space="0"/>
              <w:bottom w:val="single" w:color="auto" w:sz="4" w:space="0"/>
              <w:right w:val="single" w:color="auto" w:sz="4" w:space="0"/>
            </w:tcBorders>
          </w:tcPr>
          <w:p>
            <w:pPr>
              <w:spacing w:beforeLines="50" w:line="320" w:lineRule="exact"/>
              <w:rPr>
                <w:rFonts w:ascii="宋体" w:hAnsi="宋体"/>
              </w:rPr>
            </w:pPr>
          </w:p>
        </w:tc>
        <w:tc>
          <w:tcPr>
            <w:tcW w:w="1260" w:type="dxa"/>
            <w:tcBorders>
              <w:top w:val="single" w:color="auto" w:sz="4" w:space="0"/>
              <w:left w:val="single" w:color="auto" w:sz="4" w:space="0"/>
              <w:bottom w:val="single" w:color="auto" w:sz="4" w:space="0"/>
              <w:right w:val="single" w:color="auto" w:sz="4" w:space="0"/>
            </w:tcBorders>
          </w:tcPr>
          <w:p>
            <w:pPr>
              <w:spacing w:beforeLines="50" w:line="320" w:lineRule="exact"/>
              <w:rPr>
                <w:rFonts w:ascii="宋体" w:hAnsi="宋体"/>
              </w:rPr>
            </w:pPr>
          </w:p>
        </w:tc>
        <w:tc>
          <w:tcPr>
            <w:tcW w:w="1084" w:type="dxa"/>
            <w:tcBorders>
              <w:top w:val="single" w:color="auto" w:sz="4" w:space="0"/>
              <w:left w:val="single" w:color="auto" w:sz="4" w:space="0"/>
              <w:bottom w:val="single" w:color="auto" w:sz="4" w:space="0"/>
              <w:right w:val="single" w:color="auto" w:sz="4" w:space="0"/>
            </w:tcBorders>
          </w:tcPr>
          <w:p>
            <w:pPr>
              <w:spacing w:beforeLines="50" w:line="320" w:lineRule="exact"/>
              <w:rPr>
                <w:rFonts w:ascii="宋体" w:hAnsi="宋体"/>
              </w:rPr>
            </w:pPr>
          </w:p>
        </w:tc>
        <w:tc>
          <w:tcPr>
            <w:tcW w:w="1637" w:type="dxa"/>
            <w:gridSpan w:val="2"/>
            <w:tcBorders>
              <w:top w:val="single" w:color="auto" w:sz="4" w:space="0"/>
              <w:left w:val="single" w:color="auto" w:sz="4" w:space="0"/>
              <w:bottom w:val="single" w:color="auto" w:sz="4" w:space="0"/>
              <w:right w:val="single" w:color="auto" w:sz="4" w:space="0"/>
            </w:tcBorders>
          </w:tcPr>
          <w:p>
            <w:pPr>
              <w:spacing w:beforeLines="50" w:line="320" w:lineRule="exact"/>
              <w:rPr>
                <w:rFonts w:ascii="宋体" w:hAnsi="宋体"/>
              </w:rPr>
            </w:pPr>
          </w:p>
        </w:tc>
        <w:tc>
          <w:tcPr>
            <w:tcW w:w="1680" w:type="dxa"/>
            <w:gridSpan w:val="2"/>
            <w:tcBorders>
              <w:top w:val="single" w:color="auto" w:sz="4" w:space="0"/>
              <w:left w:val="single" w:color="auto" w:sz="4" w:space="0"/>
              <w:bottom w:val="single" w:color="auto" w:sz="4" w:space="0"/>
            </w:tcBorders>
          </w:tcPr>
          <w:p>
            <w:pPr>
              <w:spacing w:beforeLines="50" w:line="320" w:lineRule="exact"/>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10" w:hRule="atLeast"/>
        </w:trPr>
        <w:tc>
          <w:tcPr>
            <w:tcW w:w="3420" w:type="dxa"/>
            <w:gridSpan w:val="2"/>
            <w:tcBorders>
              <w:top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获奖情况</w:t>
            </w:r>
          </w:p>
        </w:tc>
        <w:tc>
          <w:tcPr>
            <w:tcW w:w="5661" w:type="dxa"/>
            <w:gridSpan w:val="6"/>
            <w:tcBorders>
              <w:top w:val="single" w:color="auto" w:sz="4" w:space="0"/>
              <w:left w:val="single" w:color="auto" w:sz="4" w:space="0"/>
              <w:bottom w:val="single" w:color="auto" w:sz="4" w:space="0"/>
            </w:tcBorders>
          </w:tcPr>
          <w:p>
            <w:pPr>
              <w:spacing w:beforeLines="50" w:line="320" w:lineRule="exact"/>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10" w:hRule="atLeast"/>
        </w:trPr>
        <w:tc>
          <w:tcPr>
            <w:tcW w:w="1440" w:type="dxa"/>
            <w:vMerge w:val="restart"/>
            <w:tcBorders>
              <w:top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目前任职</w:t>
            </w:r>
          </w:p>
          <w:p>
            <w:pPr>
              <w:spacing w:line="320" w:lineRule="exact"/>
              <w:jc w:val="center"/>
              <w:rPr>
                <w:rFonts w:ascii="宋体" w:hAnsi="宋体"/>
              </w:rPr>
            </w:pPr>
            <w:r>
              <w:rPr>
                <w:rFonts w:hint="eastAsia" w:ascii="宋体" w:hAnsi="宋体"/>
              </w:rPr>
              <w:t>项目情况</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项目名称</w:t>
            </w:r>
          </w:p>
        </w:tc>
        <w:tc>
          <w:tcPr>
            <w:tcW w:w="5661" w:type="dxa"/>
            <w:gridSpan w:val="6"/>
            <w:tcBorders>
              <w:top w:val="single" w:color="auto" w:sz="4" w:space="0"/>
              <w:left w:val="single" w:color="auto" w:sz="4" w:space="0"/>
              <w:bottom w:val="single" w:color="auto" w:sz="4" w:space="0"/>
            </w:tcBorders>
          </w:tcPr>
          <w:p>
            <w:pPr>
              <w:spacing w:beforeLines="50" w:line="320" w:lineRule="exact"/>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10" w:hRule="atLeast"/>
        </w:trPr>
        <w:tc>
          <w:tcPr>
            <w:tcW w:w="1440" w:type="dxa"/>
            <w:vMerge w:val="continue"/>
            <w:tcBorders>
              <w:right w:val="single" w:color="auto" w:sz="4" w:space="0"/>
            </w:tcBorders>
          </w:tcPr>
          <w:p>
            <w:pPr>
              <w:spacing w:beforeLines="50" w:line="320" w:lineRule="exact"/>
              <w:rPr>
                <w:rFonts w:ascii="宋体" w:hAnsi="宋体"/>
              </w:rPr>
            </w:pPr>
          </w:p>
        </w:tc>
        <w:tc>
          <w:tcPr>
            <w:tcW w:w="198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担任职位</w:t>
            </w:r>
          </w:p>
        </w:tc>
        <w:tc>
          <w:tcPr>
            <w:tcW w:w="5661" w:type="dxa"/>
            <w:gridSpan w:val="6"/>
            <w:tcBorders>
              <w:top w:val="single" w:color="auto" w:sz="4" w:space="0"/>
              <w:left w:val="single" w:color="auto" w:sz="4" w:space="0"/>
              <w:bottom w:val="single" w:color="auto" w:sz="4" w:space="0"/>
            </w:tcBorders>
          </w:tcPr>
          <w:p>
            <w:pPr>
              <w:spacing w:beforeLines="50" w:line="320" w:lineRule="exact"/>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10" w:hRule="atLeast"/>
        </w:trPr>
        <w:tc>
          <w:tcPr>
            <w:tcW w:w="1440" w:type="dxa"/>
            <w:vMerge w:val="continue"/>
            <w:tcBorders>
              <w:bottom w:val="single" w:color="auto" w:sz="4" w:space="0"/>
              <w:right w:val="single" w:color="auto" w:sz="4" w:space="0"/>
            </w:tcBorders>
          </w:tcPr>
          <w:p>
            <w:pPr>
              <w:spacing w:beforeLines="50" w:line="320" w:lineRule="exact"/>
              <w:rPr>
                <w:rFonts w:ascii="宋体" w:hAnsi="宋体"/>
              </w:rPr>
            </w:pPr>
          </w:p>
        </w:tc>
        <w:tc>
          <w:tcPr>
            <w:tcW w:w="198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可以调离日期</w:t>
            </w:r>
          </w:p>
        </w:tc>
        <w:tc>
          <w:tcPr>
            <w:tcW w:w="5661" w:type="dxa"/>
            <w:gridSpan w:val="6"/>
            <w:tcBorders>
              <w:top w:val="single" w:color="auto" w:sz="4" w:space="0"/>
              <w:left w:val="single" w:color="auto" w:sz="4" w:space="0"/>
              <w:bottom w:val="single" w:color="auto" w:sz="4" w:space="0"/>
            </w:tcBorders>
          </w:tcPr>
          <w:p>
            <w:pPr>
              <w:spacing w:beforeLines="50" w:line="320" w:lineRule="exact"/>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429" w:hRule="atLeast"/>
        </w:trPr>
        <w:tc>
          <w:tcPr>
            <w:tcW w:w="3420" w:type="dxa"/>
            <w:gridSpan w:val="2"/>
            <w:tcBorders>
              <w:top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备  注</w:t>
            </w:r>
          </w:p>
        </w:tc>
        <w:tc>
          <w:tcPr>
            <w:tcW w:w="5661" w:type="dxa"/>
            <w:gridSpan w:val="6"/>
            <w:tcBorders>
              <w:top w:val="single" w:color="auto" w:sz="4" w:space="0"/>
              <w:left w:val="single" w:color="auto" w:sz="4" w:space="0"/>
            </w:tcBorders>
          </w:tcPr>
          <w:p>
            <w:pPr>
              <w:spacing w:beforeLines="50" w:line="320" w:lineRule="exact"/>
              <w:rPr>
                <w:rFonts w:ascii="宋体" w:hAnsi="宋体"/>
              </w:rPr>
            </w:pPr>
          </w:p>
        </w:tc>
      </w:tr>
    </w:tbl>
    <w:p>
      <w:pPr>
        <w:spacing w:line="320" w:lineRule="exact"/>
        <w:ind w:left="600" w:leftChars="200" w:hanging="180" w:hangingChars="100"/>
        <w:rPr>
          <w:rFonts w:ascii="宋体" w:hAnsi="宋体"/>
          <w:sz w:val="18"/>
          <w:szCs w:val="18"/>
        </w:rPr>
      </w:pPr>
    </w:p>
    <w:p>
      <w:pPr>
        <w:spacing w:line="320" w:lineRule="exact"/>
        <w:ind w:left="600" w:leftChars="200" w:hanging="180" w:hangingChars="100"/>
        <w:rPr>
          <w:rFonts w:ascii="宋体" w:hAnsi="宋体"/>
          <w:sz w:val="18"/>
          <w:szCs w:val="18"/>
        </w:rPr>
      </w:pPr>
    </w:p>
    <w:p>
      <w:pPr>
        <w:spacing w:line="320" w:lineRule="exact"/>
        <w:ind w:left="600" w:leftChars="200" w:hanging="180" w:hangingChars="100"/>
        <w:rPr>
          <w:rFonts w:ascii="宋体" w:hAnsi="宋体"/>
          <w:sz w:val="18"/>
          <w:szCs w:val="18"/>
        </w:rPr>
      </w:pPr>
    </w:p>
    <w:p>
      <w:pPr>
        <w:spacing w:line="320" w:lineRule="exact"/>
        <w:ind w:left="600" w:leftChars="200" w:hanging="180" w:hangingChars="100"/>
        <w:rPr>
          <w:rFonts w:ascii="宋体" w:hAnsi="宋体"/>
          <w:sz w:val="18"/>
          <w:szCs w:val="18"/>
        </w:rPr>
      </w:pPr>
    </w:p>
    <w:p>
      <w:pPr>
        <w:spacing w:line="320" w:lineRule="exact"/>
        <w:ind w:left="600" w:leftChars="200" w:hanging="180" w:hangingChars="100"/>
        <w:rPr>
          <w:rFonts w:ascii="宋体" w:hAnsi="宋体"/>
          <w:sz w:val="18"/>
          <w:szCs w:val="18"/>
        </w:rPr>
      </w:pPr>
    </w:p>
    <w:p>
      <w:pPr>
        <w:spacing w:line="320" w:lineRule="exact"/>
        <w:ind w:left="600" w:leftChars="200" w:hanging="180" w:hangingChars="100"/>
        <w:rPr>
          <w:rFonts w:ascii="宋体" w:hAnsi="宋体"/>
          <w:sz w:val="18"/>
          <w:szCs w:val="18"/>
        </w:rPr>
      </w:pPr>
    </w:p>
    <w:p>
      <w:pPr>
        <w:spacing w:line="320" w:lineRule="exact"/>
        <w:ind w:left="600" w:leftChars="200" w:hanging="180" w:hangingChars="100"/>
        <w:rPr>
          <w:rFonts w:ascii="宋体" w:hAnsi="宋体"/>
          <w:sz w:val="18"/>
          <w:szCs w:val="18"/>
        </w:rPr>
      </w:pPr>
    </w:p>
    <w:p>
      <w:pPr>
        <w:spacing w:line="320" w:lineRule="exact"/>
        <w:ind w:left="600" w:leftChars="200" w:hanging="180" w:hangingChars="100"/>
        <w:rPr>
          <w:rFonts w:ascii="宋体" w:hAnsi="宋体"/>
          <w:sz w:val="18"/>
          <w:szCs w:val="18"/>
        </w:rPr>
      </w:pPr>
    </w:p>
    <w:p>
      <w:pPr>
        <w:pStyle w:val="2"/>
        <w:ind w:firstLine="240"/>
      </w:pPr>
    </w:p>
    <w:tbl>
      <w:tblPr>
        <w:tblStyle w:val="20"/>
        <w:tblpPr w:leftFromText="180" w:rightFromText="180" w:vertAnchor="text" w:horzAnchor="margin" w:tblpY="9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787"/>
        <w:gridCol w:w="787"/>
        <w:gridCol w:w="787"/>
        <w:gridCol w:w="740"/>
        <w:gridCol w:w="916"/>
        <w:gridCol w:w="706"/>
        <w:gridCol w:w="674"/>
        <w:gridCol w:w="674"/>
        <w:gridCol w:w="674"/>
        <w:gridCol w:w="674"/>
        <w:gridCol w:w="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87" w:type="dxa"/>
            <w:vMerge w:val="restart"/>
            <w:vAlign w:val="center"/>
          </w:tcPr>
          <w:p>
            <w:pPr>
              <w:spacing w:line="400" w:lineRule="exact"/>
              <w:jc w:val="center"/>
              <w:rPr>
                <w:bCs/>
                <w:szCs w:val="21"/>
              </w:rPr>
            </w:pPr>
            <w:r>
              <w:rPr>
                <w:rFonts w:hint="eastAsia"/>
                <w:bCs/>
                <w:szCs w:val="21"/>
              </w:rPr>
              <w:t>序号</w:t>
            </w:r>
          </w:p>
        </w:tc>
        <w:tc>
          <w:tcPr>
            <w:tcW w:w="787" w:type="dxa"/>
            <w:vMerge w:val="restart"/>
            <w:vAlign w:val="center"/>
          </w:tcPr>
          <w:p>
            <w:pPr>
              <w:spacing w:line="400" w:lineRule="exact"/>
              <w:jc w:val="center"/>
              <w:rPr>
                <w:bCs/>
                <w:szCs w:val="21"/>
              </w:rPr>
            </w:pPr>
            <w:r>
              <w:rPr>
                <w:rFonts w:hint="eastAsia"/>
                <w:bCs/>
                <w:szCs w:val="21"/>
              </w:rPr>
              <w:t>设备名称</w:t>
            </w:r>
          </w:p>
        </w:tc>
        <w:tc>
          <w:tcPr>
            <w:tcW w:w="787" w:type="dxa"/>
            <w:vMerge w:val="restart"/>
            <w:vAlign w:val="center"/>
          </w:tcPr>
          <w:p>
            <w:pPr>
              <w:spacing w:line="400" w:lineRule="exact"/>
              <w:jc w:val="center"/>
              <w:rPr>
                <w:bCs/>
                <w:szCs w:val="21"/>
              </w:rPr>
            </w:pPr>
            <w:r>
              <w:rPr>
                <w:rFonts w:hint="eastAsia"/>
                <w:bCs/>
                <w:szCs w:val="21"/>
              </w:rPr>
              <w:t>型号</w:t>
            </w:r>
          </w:p>
          <w:p>
            <w:pPr>
              <w:spacing w:line="400" w:lineRule="exact"/>
              <w:jc w:val="center"/>
              <w:rPr>
                <w:bCs/>
                <w:szCs w:val="21"/>
              </w:rPr>
            </w:pPr>
            <w:r>
              <w:rPr>
                <w:rFonts w:hint="eastAsia"/>
                <w:bCs/>
                <w:szCs w:val="21"/>
              </w:rPr>
              <w:t>规格</w:t>
            </w:r>
          </w:p>
        </w:tc>
        <w:tc>
          <w:tcPr>
            <w:tcW w:w="787" w:type="dxa"/>
            <w:vMerge w:val="restart"/>
            <w:vAlign w:val="center"/>
          </w:tcPr>
          <w:p>
            <w:pPr>
              <w:spacing w:line="400" w:lineRule="exact"/>
              <w:jc w:val="center"/>
              <w:rPr>
                <w:bCs/>
                <w:szCs w:val="21"/>
              </w:rPr>
            </w:pPr>
            <w:r>
              <w:rPr>
                <w:rFonts w:hint="eastAsia"/>
                <w:bCs/>
                <w:szCs w:val="21"/>
              </w:rPr>
              <w:t>国别产地</w:t>
            </w:r>
          </w:p>
        </w:tc>
        <w:tc>
          <w:tcPr>
            <w:tcW w:w="740" w:type="dxa"/>
            <w:vMerge w:val="restart"/>
            <w:vAlign w:val="center"/>
          </w:tcPr>
          <w:p>
            <w:pPr>
              <w:spacing w:line="400" w:lineRule="exact"/>
              <w:jc w:val="center"/>
              <w:rPr>
                <w:bCs/>
                <w:szCs w:val="21"/>
              </w:rPr>
            </w:pPr>
            <w:r>
              <w:rPr>
                <w:rFonts w:hint="eastAsia"/>
                <w:bCs/>
                <w:szCs w:val="21"/>
              </w:rPr>
              <w:t>制作年份</w:t>
            </w:r>
          </w:p>
        </w:tc>
        <w:tc>
          <w:tcPr>
            <w:tcW w:w="916" w:type="dxa"/>
            <w:vMerge w:val="restart"/>
            <w:vAlign w:val="center"/>
          </w:tcPr>
          <w:p>
            <w:pPr>
              <w:spacing w:line="400" w:lineRule="exact"/>
              <w:jc w:val="center"/>
              <w:rPr>
                <w:bCs/>
                <w:szCs w:val="21"/>
              </w:rPr>
            </w:pPr>
            <w:r>
              <w:rPr>
                <w:rFonts w:hint="eastAsia"/>
                <w:bCs/>
                <w:szCs w:val="21"/>
              </w:rPr>
              <w:t>额定</w:t>
            </w:r>
          </w:p>
          <w:p>
            <w:pPr>
              <w:spacing w:line="400" w:lineRule="exact"/>
              <w:jc w:val="center"/>
              <w:rPr>
                <w:bCs/>
                <w:szCs w:val="21"/>
              </w:rPr>
            </w:pPr>
            <w:r>
              <w:rPr>
                <w:rFonts w:hint="eastAsia"/>
                <w:bCs/>
                <w:szCs w:val="21"/>
              </w:rPr>
              <w:t>功率（KW）</w:t>
            </w:r>
          </w:p>
        </w:tc>
        <w:tc>
          <w:tcPr>
            <w:tcW w:w="706" w:type="dxa"/>
            <w:vMerge w:val="restart"/>
            <w:vAlign w:val="center"/>
          </w:tcPr>
          <w:p>
            <w:pPr>
              <w:spacing w:line="400" w:lineRule="exact"/>
              <w:jc w:val="center"/>
              <w:rPr>
                <w:bCs/>
                <w:szCs w:val="21"/>
              </w:rPr>
            </w:pPr>
            <w:r>
              <w:rPr>
                <w:rFonts w:hint="eastAsia"/>
                <w:bCs/>
                <w:szCs w:val="21"/>
              </w:rPr>
              <w:t>生产能力</w:t>
            </w:r>
          </w:p>
        </w:tc>
        <w:tc>
          <w:tcPr>
            <w:tcW w:w="2696" w:type="dxa"/>
            <w:gridSpan w:val="4"/>
            <w:vAlign w:val="center"/>
          </w:tcPr>
          <w:p>
            <w:pPr>
              <w:spacing w:line="400" w:lineRule="exact"/>
              <w:jc w:val="center"/>
              <w:rPr>
                <w:bCs/>
                <w:szCs w:val="21"/>
              </w:rPr>
            </w:pPr>
            <w:r>
              <w:rPr>
                <w:rFonts w:hint="eastAsia"/>
                <w:bCs/>
                <w:szCs w:val="21"/>
              </w:rPr>
              <w:t>数量（台）</w:t>
            </w:r>
          </w:p>
        </w:tc>
        <w:tc>
          <w:tcPr>
            <w:tcW w:w="999" w:type="dxa"/>
            <w:vMerge w:val="restart"/>
            <w:vAlign w:val="center"/>
          </w:tcPr>
          <w:p>
            <w:pPr>
              <w:spacing w:line="400" w:lineRule="exact"/>
              <w:jc w:val="center"/>
              <w:rPr>
                <w:bCs/>
                <w:szCs w:val="21"/>
              </w:rPr>
            </w:pPr>
            <w:r>
              <w:rPr>
                <w:rFonts w:hint="eastAsia"/>
                <w:bCs/>
                <w:szCs w:val="21"/>
              </w:rPr>
              <w:t>预计进场时间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87" w:type="dxa"/>
            <w:vMerge w:val="continue"/>
            <w:vAlign w:val="center"/>
          </w:tcPr>
          <w:p>
            <w:pPr>
              <w:spacing w:line="400" w:lineRule="exact"/>
              <w:jc w:val="center"/>
              <w:rPr>
                <w:bCs/>
                <w:szCs w:val="21"/>
              </w:rPr>
            </w:pPr>
          </w:p>
        </w:tc>
        <w:tc>
          <w:tcPr>
            <w:tcW w:w="787" w:type="dxa"/>
            <w:vMerge w:val="continue"/>
            <w:vAlign w:val="center"/>
          </w:tcPr>
          <w:p>
            <w:pPr>
              <w:spacing w:line="400" w:lineRule="exact"/>
              <w:jc w:val="center"/>
              <w:rPr>
                <w:bCs/>
                <w:szCs w:val="21"/>
              </w:rPr>
            </w:pPr>
          </w:p>
        </w:tc>
        <w:tc>
          <w:tcPr>
            <w:tcW w:w="787" w:type="dxa"/>
            <w:vMerge w:val="continue"/>
            <w:vAlign w:val="center"/>
          </w:tcPr>
          <w:p>
            <w:pPr>
              <w:spacing w:line="400" w:lineRule="exact"/>
              <w:jc w:val="center"/>
              <w:rPr>
                <w:bCs/>
                <w:szCs w:val="21"/>
              </w:rPr>
            </w:pPr>
          </w:p>
        </w:tc>
        <w:tc>
          <w:tcPr>
            <w:tcW w:w="787" w:type="dxa"/>
            <w:vMerge w:val="continue"/>
            <w:vAlign w:val="center"/>
          </w:tcPr>
          <w:p>
            <w:pPr>
              <w:spacing w:line="400" w:lineRule="exact"/>
              <w:jc w:val="center"/>
              <w:rPr>
                <w:bCs/>
                <w:szCs w:val="21"/>
              </w:rPr>
            </w:pPr>
          </w:p>
        </w:tc>
        <w:tc>
          <w:tcPr>
            <w:tcW w:w="740" w:type="dxa"/>
            <w:vMerge w:val="continue"/>
            <w:vAlign w:val="center"/>
          </w:tcPr>
          <w:p>
            <w:pPr>
              <w:spacing w:line="400" w:lineRule="exact"/>
              <w:jc w:val="center"/>
              <w:rPr>
                <w:bCs/>
                <w:szCs w:val="21"/>
              </w:rPr>
            </w:pPr>
          </w:p>
        </w:tc>
        <w:tc>
          <w:tcPr>
            <w:tcW w:w="916" w:type="dxa"/>
            <w:vMerge w:val="continue"/>
            <w:vAlign w:val="center"/>
          </w:tcPr>
          <w:p>
            <w:pPr>
              <w:spacing w:line="400" w:lineRule="exact"/>
              <w:jc w:val="center"/>
              <w:rPr>
                <w:bCs/>
                <w:szCs w:val="21"/>
              </w:rPr>
            </w:pPr>
          </w:p>
        </w:tc>
        <w:tc>
          <w:tcPr>
            <w:tcW w:w="706" w:type="dxa"/>
            <w:vMerge w:val="continue"/>
            <w:vAlign w:val="center"/>
          </w:tcPr>
          <w:p>
            <w:pPr>
              <w:spacing w:line="400" w:lineRule="exact"/>
              <w:jc w:val="center"/>
              <w:rPr>
                <w:bCs/>
                <w:szCs w:val="21"/>
              </w:rPr>
            </w:pPr>
          </w:p>
        </w:tc>
        <w:tc>
          <w:tcPr>
            <w:tcW w:w="674" w:type="dxa"/>
            <w:vMerge w:val="restart"/>
            <w:vAlign w:val="center"/>
          </w:tcPr>
          <w:p>
            <w:pPr>
              <w:spacing w:line="400" w:lineRule="exact"/>
              <w:jc w:val="center"/>
              <w:rPr>
                <w:bCs/>
                <w:szCs w:val="21"/>
              </w:rPr>
            </w:pPr>
            <w:r>
              <w:rPr>
                <w:rFonts w:hint="eastAsia"/>
                <w:bCs/>
                <w:szCs w:val="21"/>
              </w:rPr>
              <w:t>小计</w:t>
            </w:r>
          </w:p>
        </w:tc>
        <w:tc>
          <w:tcPr>
            <w:tcW w:w="2022" w:type="dxa"/>
            <w:gridSpan w:val="3"/>
            <w:vAlign w:val="center"/>
          </w:tcPr>
          <w:p>
            <w:pPr>
              <w:spacing w:line="400" w:lineRule="exact"/>
              <w:jc w:val="center"/>
              <w:rPr>
                <w:bCs/>
                <w:szCs w:val="21"/>
              </w:rPr>
            </w:pPr>
            <w:r>
              <w:rPr>
                <w:rFonts w:hint="eastAsia"/>
                <w:bCs/>
                <w:szCs w:val="21"/>
              </w:rPr>
              <w:t>其中</w:t>
            </w:r>
          </w:p>
        </w:tc>
        <w:tc>
          <w:tcPr>
            <w:tcW w:w="999" w:type="dxa"/>
            <w:vMerge w:val="continue"/>
            <w:vAlign w:val="center"/>
          </w:tcPr>
          <w:p>
            <w:pPr>
              <w:spacing w:line="400" w:lineRule="exact"/>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87" w:type="dxa"/>
            <w:vMerge w:val="continue"/>
            <w:vAlign w:val="center"/>
          </w:tcPr>
          <w:p>
            <w:pPr>
              <w:spacing w:line="400" w:lineRule="exact"/>
              <w:jc w:val="center"/>
              <w:rPr>
                <w:bCs/>
                <w:szCs w:val="21"/>
              </w:rPr>
            </w:pPr>
          </w:p>
        </w:tc>
        <w:tc>
          <w:tcPr>
            <w:tcW w:w="787" w:type="dxa"/>
            <w:vMerge w:val="continue"/>
            <w:vAlign w:val="center"/>
          </w:tcPr>
          <w:p>
            <w:pPr>
              <w:spacing w:line="400" w:lineRule="exact"/>
              <w:jc w:val="center"/>
              <w:rPr>
                <w:bCs/>
                <w:szCs w:val="21"/>
              </w:rPr>
            </w:pPr>
          </w:p>
        </w:tc>
        <w:tc>
          <w:tcPr>
            <w:tcW w:w="787" w:type="dxa"/>
            <w:vMerge w:val="continue"/>
            <w:vAlign w:val="center"/>
          </w:tcPr>
          <w:p>
            <w:pPr>
              <w:spacing w:line="400" w:lineRule="exact"/>
              <w:jc w:val="center"/>
              <w:rPr>
                <w:bCs/>
                <w:szCs w:val="21"/>
              </w:rPr>
            </w:pPr>
          </w:p>
        </w:tc>
        <w:tc>
          <w:tcPr>
            <w:tcW w:w="787" w:type="dxa"/>
            <w:vMerge w:val="continue"/>
            <w:vAlign w:val="center"/>
          </w:tcPr>
          <w:p>
            <w:pPr>
              <w:spacing w:line="400" w:lineRule="exact"/>
              <w:jc w:val="center"/>
              <w:rPr>
                <w:bCs/>
                <w:szCs w:val="21"/>
              </w:rPr>
            </w:pPr>
          </w:p>
        </w:tc>
        <w:tc>
          <w:tcPr>
            <w:tcW w:w="740" w:type="dxa"/>
            <w:vMerge w:val="continue"/>
            <w:vAlign w:val="center"/>
          </w:tcPr>
          <w:p>
            <w:pPr>
              <w:spacing w:line="400" w:lineRule="exact"/>
              <w:jc w:val="center"/>
              <w:rPr>
                <w:bCs/>
                <w:szCs w:val="21"/>
              </w:rPr>
            </w:pPr>
          </w:p>
        </w:tc>
        <w:tc>
          <w:tcPr>
            <w:tcW w:w="916" w:type="dxa"/>
            <w:vMerge w:val="continue"/>
            <w:vAlign w:val="center"/>
          </w:tcPr>
          <w:p>
            <w:pPr>
              <w:spacing w:line="400" w:lineRule="exact"/>
              <w:jc w:val="center"/>
              <w:rPr>
                <w:bCs/>
                <w:szCs w:val="21"/>
              </w:rPr>
            </w:pPr>
          </w:p>
        </w:tc>
        <w:tc>
          <w:tcPr>
            <w:tcW w:w="706" w:type="dxa"/>
            <w:vMerge w:val="continue"/>
            <w:vAlign w:val="center"/>
          </w:tcPr>
          <w:p>
            <w:pPr>
              <w:spacing w:line="400" w:lineRule="exact"/>
              <w:jc w:val="center"/>
              <w:rPr>
                <w:bCs/>
                <w:szCs w:val="21"/>
              </w:rPr>
            </w:pPr>
          </w:p>
        </w:tc>
        <w:tc>
          <w:tcPr>
            <w:tcW w:w="674" w:type="dxa"/>
            <w:vMerge w:val="continue"/>
            <w:vAlign w:val="center"/>
          </w:tcPr>
          <w:p>
            <w:pPr>
              <w:spacing w:line="400" w:lineRule="exact"/>
              <w:jc w:val="center"/>
              <w:rPr>
                <w:bCs/>
                <w:szCs w:val="21"/>
              </w:rPr>
            </w:pPr>
          </w:p>
        </w:tc>
        <w:tc>
          <w:tcPr>
            <w:tcW w:w="674" w:type="dxa"/>
            <w:vAlign w:val="center"/>
          </w:tcPr>
          <w:p>
            <w:pPr>
              <w:spacing w:line="400" w:lineRule="exact"/>
              <w:jc w:val="center"/>
              <w:rPr>
                <w:bCs/>
                <w:szCs w:val="21"/>
              </w:rPr>
            </w:pPr>
            <w:r>
              <w:rPr>
                <w:rFonts w:hint="eastAsia"/>
                <w:bCs/>
                <w:szCs w:val="21"/>
              </w:rPr>
              <w:t>自有</w:t>
            </w:r>
          </w:p>
        </w:tc>
        <w:tc>
          <w:tcPr>
            <w:tcW w:w="674" w:type="dxa"/>
            <w:vAlign w:val="center"/>
          </w:tcPr>
          <w:p>
            <w:pPr>
              <w:spacing w:line="400" w:lineRule="exact"/>
              <w:jc w:val="center"/>
              <w:rPr>
                <w:bCs/>
                <w:szCs w:val="21"/>
              </w:rPr>
            </w:pPr>
            <w:r>
              <w:rPr>
                <w:rFonts w:hint="eastAsia"/>
                <w:bCs/>
                <w:szCs w:val="21"/>
              </w:rPr>
              <w:t>新购</w:t>
            </w:r>
          </w:p>
        </w:tc>
        <w:tc>
          <w:tcPr>
            <w:tcW w:w="674" w:type="dxa"/>
            <w:vAlign w:val="center"/>
          </w:tcPr>
          <w:p>
            <w:pPr>
              <w:spacing w:line="400" w:lineRule="exact"/>
              <w:jc w:val="center"/>
              <w:rPr>
                <w:bCs/>
                <w:szCs w:val="21"/>
              </w:rPr>
            </w:pPr>
            <w:r>
              <w:rPr>
                <w:rFonts w:hint="eastAsia"/>
                <w:bCs/>
                <w:szCs w:val="21"/>
              </w:rPr>
              <w:t>租赁</w:t>
            </w:r>
          </w:p>
        </w:tc>
        <w:tc>
          <w:tcPr>
            <w:tcW w:w="999" w:type="dxa"/>
            <w:vMerge w:val="continue"/>
            <w:vAlign w:val="center"/>
          </w:tcPr>
          <w:p>
            <w:pPr>
              <w:spacing w:line="400" w:lineRule="exact"/>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787" w:type="dxa"/>
            <w:vAlign w:val="center"/>
          </w:tcPr>
          <w:p>
            <w:pPr>
              <w:spacing w:line="500" w:lineRule="exact"/>
              <w:jc w:val="center"/>
              <w:rPr>
                <w:bCs/>
                <w:kern w:val="0"/>
                <w:szCs w:val="21"/>
              </w:rPr>
            </w:pPr>
          </w:p>
        </w:tc>
        <w:tc>
          <w:tcPr>
            <w:tcW w:w="787" w:type="dxa"/>
            <w:vAlign w:val="center"/>
          </w:tcPr>
          <w:p>
            <w:pPr>
              <w:spacing w:line="500" w:lineRule="exact"/>
              <w:jc w:val="center"/>
              <w:rPr>
                <w:bCs/>
                <w:kern w:val="0"/>
                <w:szCs w:val="21"/>
              </w:rPr>
            </w:pPr>
          </w:p>
        </w:tc>
        <w:tc>
          <w:tcPr>
            <w:tcW w:w="787" w:type="dxa"/>
            <w:vAlign w:val="center"/>
          </w:tcPr>
          <w:p>
            <w:pPr>
              <w:spacing w:line="500" w:lineRule="exact"/>
              <w:jc w:val="center"/>
              <w:rPr>
                <w:bCs/>
                <w:kern w:val="0"/>
                <w:szCs w:val="21"/>
              </w:rPr>
            </w:pPr>
          </w:p>
        </w:tc>
        <w:tc>
          <w:tcPr>
            <w:tcW w:w="787" w:type="dxa"/>
            <w:vAlign w:val="center"/>
          </w:tcPr>
          <w:p>
            <w:pPr>
              <w:spacing w:line="500" w:lineRule="exact"/>
              <w:jc w:val="center"/>
              <w:rPr>
                <w:bCs/>
                <w:kern w:val="0"/>
                <w:szCs w:val="21"/>
              </w:rPr>
            </w:pPr>
          </w:p>
        </w:tc>
        <w:tc>
          <w:tcPr>
            <w:tcW w:w="740" w:type="dxa"/>
            <w:vAlign w:val="center"/>
          </w:tcPr>
          <w:p>
            <w:pPr>
              <w:spacing w:line="500" w:lineRule="exact"/>
              <w:jc w:val="center"/>
              <w:rPr>
                <w:bCs/>
                <w:szCs w:val="21"/>
              </w:rPr>
            </w:pPr>
          </w:p>
        </w:tc>
        <w:tc>
          <w:tcPr>
            <w:tcW w:w="916" w:type="dxa"/>
            <w:vAlign w:val="center"/>
          </w:tcPr>
          <w:p>
            <w:pPr>
              <w:spacing w:line="500" w:lineRule="exact"/>
              <w:jc w:val="center"/>
              <w:rPr>
                <w:bCs/>
                <w:szCs w:val="21"/>
              </w:rPr>
            </w:pPr>
          </w:p>
        </w:tc>
        <w:tc>
          <w:tcPr>
            <w:tcW w:w="706" w:type="dxa"/>
            <w:vAlign w:val="center"/>
          </w:tcPr>
          <w:p>
            <w:pPr>
              <w:spacing w:line="500" w:lineRule="exact"/>
              <w:jc w:val="center"/>
              <w:rPr>
                <w:bCs/>
                <w:szCs w:val="21"/>
              </w:rPr>
            </w:pPr>
          </w:p>
        </w:tc>
        <w:tc>
          <w:tcPr>
            <w:tcW w:w="674" w:type="dxa"/>
            <w:vAlign w:val="center"/>
          </w:tcPr>
          <w:p>
            <w:pPr>
              <w:spacing w:line="500" w:lineRule="exact"/>
              <w:jc w:val="center"/>
              <w:rPr>
                <w:bCs/>
                <w:szCs w:val="21"/>
              </w:rPr>
            </w:pPr>
          </w:p>
        </w:tc>
        <w:tc>
          <w:tcPr>
            <w:tcW w:w="674" w:type="dxa"/>
            <w:vAlign w:val="center"/>
          </w:tcPr>
          <w:p>
            <w:pPr>
              <w:spacing w:line="500" w:lineRule="exact"/>
              <w:jc w:val="center"/>
              <w:rPr>
                <w:bCs/>
                <w:szCs w:val="21"/>
              </w:rPr>
            </w:pPr>
          </w:p>
        </w:tc>
        <w:tc>
          <w:tcPr>
            <w:tcW w:w="674" w:type="dxa"/>
            <w:vAlign w:val="center"/>
          </w:tcPr>
          <w:p>
            <w:pPr>
              <w:spacing w:line="500" w:lineRule="exact"/>
              <w:jc w:val="center"/>
              <w:rPr>
                <w:bCs/>
                <w:szCs w:val="21"/>
              </w:rPr>
            </w:pPr>
          </w:p>
        </w:tc>
        <w:tc>
          <w:tcPr>
            <w:tcW w:w="674" w:type="dxa"/>
            <w:vAlign w:val="center"/>
          </w:tcPr>
          <w:p>
            <w:pPr>
              <w:spacing w:line="500" w:lineRule="exact"/>
              <w:jc w:val="center"/>
              <w:rPr>
                <w:bCs/>
                <w:szCs w:val="21"/>
              </w:rPr>
            </w:pPr>
          </w:p>
        </w:tc>
        <w:tc>
          <w:tcPr>
            <w:tcW w:w="999" w:type="dxa"/>
            <w:vAlign w:val="center"/>
          </w:tcPr>
          <w:p>
            <w:pPr>
              <w:spacing w:line="500" w:lineRule="exact"/>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787" w:type="dxa"/>
            <w:vAlign w:val="center"/>
          </w:tcPr>
          <w:p>
            <w:pPr>
              <w:spacing w:line="500" w:lineRule="exact"/>
              <w:jc w:val="center"/>
              <w:rPr>
                <w:bCs/>
                <w:szCs w:val="21"/>
              </w:rPr>
            </w:pPr>
          </w:p>
        </w:tc>
        <w:tc>
          <w:tcPr>
            <w:tcW w:w="787" w:type="dxa"/>
            <w:vAlign w:val="center"/>
          </w:tcPr>
          <w:p>
            <w:pPr>
              <w:spacing w:line="500" w:lineRule="exact"/>
              <w:jc w:val="center"/>
              <w:rPr>
                <w:szCs w:val="21"/>
              </w:rPr>
            </w:pPr>
          </w:p>
        </w:tc>
        <w:tc>
          <w:tcPr>
            <w:tcW w:w="787" w:type="dxa"/>
            <w:vAlign w:val="center"/>
          </w:tcPr>
          <w:p>
            <w:pPr>
              <w:spacing w:line="500" w:lineRule="exact"/>
              <w:jc w:val="center"/>
              <w:rPr>
                <w:bCs/>
                <w:kern w:val="0"/>
                <w:szCs w:val="21"/>
              </w:rPr>
            </w:pPr>
          </w:p>
        </w:tc>
        <w:tc>
          <w:tcPr>
            <w:tcW w:w="787" w:type="dxa"/>
            <w:vAlign w:val="center"/>
          </w:tcPr>
          <w:p>
            <w:pPr>
              <w:spacing w:line="500" w:lineRule="exact"/>
              <w:jc w:val="center"/>
              <w:rPr>
                <w:bCs/>
                <w:kern w:val="0"/>
                <w:szCs w:val="21"/>
              </w:rPr>
            </w:pPr>
          </w:p>
        </w:tc>
        <w:tc>
          <w:tcPr>
            <w:tcW w:w="740" w:type="dxa"/>
            <w:vAlign w:val="center"/>
          </w:tcPr>
          <w:p>
            <w:pPr>
              <w:spacing w:line="500" w:lineRule="exact"/>
              <w:jc w:val="center"/>
              <w:rPr>
                <w:bCs/>
                <w:kern w:val="0"/>
                <w:szCs w:val="21"/>
              </w:rPr>
            </w:pPr>
          </w:p>
        </w:tc>
        <w:tc>
          <w:tcPr>
            <w:tcW w:w="916" w:type="dxa"/>
            <w:vAlign w:val="center"/>
          </w:tcPr>
          <w:p>
            <w:pPr>
              <w:spacing w:line="500" w:lineRule="exact"/>
              <w:jc w:val="center"/>
              <w:rPr>
                <w:bCs/>
                <w:kern w:val="0"/>
                <w:szCs w:val="21"/>
              </w:rPr>
            </w:pPr>
          </w:p>
        </w:tc>
        <w:tc>
          <w:tcPr>
            <w:tcW w:w="706" w:type="dxa"/>
            <w:vAlign w:val="center"/>
          </w:tcPr>
          <w:p>
            <w:pPr>
              <w:spacing w:line="500" w:lineRule="exact"/>
              <w:jc w:val="center"/>
              <w:rPr>
                <w:bCs/>
                <w:szCs w:val="21"/>
              </w:rPr>
            </w:pPr>
          </w:p>
        </w:tc>
        <w:tc>
          <w:tcPr>
            <w:tcW w:w="674" w:type="dxa"/>
            <w:vAlign w:val="center"/>
          </w:tcPr>
          <w:p>
            <w:pPr>
              <w:spacing w:line="500" w:lineRule="exact"/>
              <w:jc w:val="center"/>
              <w:rPr>
                <w:bCs/>
                <w:szCs w:val="21"/>
              </w:rPr>
            </w:pPr>
          </w:p>
        </w:tc>
        <w:tc>
          <w:tcPr>
            <w:tcW w:w="674" w:type="dxa"/>
            <w:vAlign w:val="center"/>
          </w:tcPr>
          <w:p>
            <w:pPr>
              <w:spacing w:line="500" w:lineRule="exact"/>
              <w:jc w:val="center"/>
              <w:rPr>
                <w:bCs/>
                <w:szCs w:val="21"/>
              </w:rPr>
            </w:pPr>
          </w:p>
        </w:tc>
        <w:tc>
          <w:tcPr>
            <w:tcW w:w="674" w:type="dxa"/>
            <w:vAlign w:val="center"/>
          </w:tcPr>
          <w:p>
            <w:pPr>
              <w:spacing w:line="500" w:lineRule="exact"/>
              <w:jc w:val="center"/>
              <w:rPr>
                <w:bCs/>
                <w:szCs w:val="21"/>
              </w:rPr>
            </w:pPr>
          </w:p>
        </w:tc>
        <w:tc>
          <w:tcPr>
            <w:tcW w:w="674" w:type="dxa"/>
            <w:vAlign w:val="center"/>
          </w:tcPr>
          <w:p>
            <w:pPr>
              <w:spacing w:line="500" w:lineRule="exact"/>
              <w:jc w:val="center"/>
              <w:rPr>
                <w:bCs/>
                <w:szCs w:val="21"/>
              </w:rPr>
            </w:pPr>
          </w:p>
        </w:tc>
        <w:tc>
          <w:tcPr>
            <w:tcW w:w="999" w:type="dxa"/>
            <w:vAlign w:val="center"/>
          </w:tcPr>
          <w:p>
            <w:pPr>
              <w:spacing w:line="500" w:lineRule="exact"/>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787" w:type="dxa"/>
            <w:vAlign w:val="center"/>
          </w:tcPr>
          <w:p>
            <w:pPr>
              <w:spacing w:line="500" w:lineRule="exact"/>
              <w:jc w:val="center"/>
              <w:rPr>
                <w:bCs/>
                <w:szCs w:val="21"/>
              </w:rPr>
            </w:pPr>
          </w:p>
        </w:tc>
        <w:tc>
          <w:tcPr>
            <w:tcW w:w="787" w:type="dxa"/>
            <w:vAlign w:val="center"/>
          </w:tcPr>
          <w:p>
            <w:pPr>
              <w:spacing w:line="500" w:lineRule="exact"/>
              <w:jc w:val="center"/>
              <w:rPr>
                <w:szCs w:val="21"/>
              </w:rPr>
            </w:pPr>
          </w:p>
        </w:tc>
        <w:tc>
          <w:tcPr>
            <w:tcW w:w="787" w:type="dxa"/>
            <w:vAlign w:val="center"/>
          </w:tcPr>
          <w:p>
            <w:pPr>
              <w:spacing w:line="500" w:lineRule="exact"/>
              <w:jc w:val="center"/>
              <w:rPr>
                <w:bCs/>
                <w:kern w:val="0"/>
                <w:szCs w:val="21"/>
              </w:rPr>
            </w:pPr>
          </w:p>
        </w:tc>
        <w:tc>
          <w:tcPr>
            <w:tcW w:w="787" w:type="dxa"/>
            <w:vAlign w:val="center"/>
          </w:tcPr>
          <w:p>
            <w:pPr>
              <w:spacing w:line="500" w:lineRule="exact"/>
              <w:jc w:val="center"/>
              <w:rPr>
                <w:bCs/>
                <w:szCs w:val="21"/>
              </w:rPr>
            </w:pPr>
          </w:p>
        </w:tc>
        <w:tc>
          <w:tcPr>
            <w:tcW w:w="740" w:type="dxa"/>
            <w:vAlign w:val="center"/>
          </w:tcPr>
          <w:p>
            <w:pPr>
              <w:spacing w:line="500" w:lineRule="exact"/>
              <w:jc w:val="center"/>
              <w:rPr>
                <w:bCs/>
                <w:szCs w:val="21"/>
              </w:rPr>
            </w:pPr>
          </w:p>
        </w:tc>
        <w:tc>
          <w:tcPr>
            <w:tcW w:w="916" w:type="dxa"/>
            <w:vAlign w:val="center"/>
          </w:tcPr>
          <w:p>
            <w:pPr>
              <w:spacing w:line="500" w:lineRule="exact"/>
              <w:jc w:val="center"/>
              <w:rPr>
                <w:bCs/>
                <w:szCs w:val="21"/>
              </w:rPr>
            </w:pPr>
          </w:p>
        </w:tc>
        <w:tc>
          <w:tcPr>
            <w:tcW w:w="706" w:type="dxa"/>
            <w:vAlign w:val="center"/>
          </w:tcPr>
          <w:p>
            <w:pPr>
              <w:spacing w:line="500" w:lineRule="exact"/>
              <w:jc w:val="center"/>
              <w:rPr>
                <w:bCs/>
                <w:szCs w:val="21"/>
              </w:rPr>
            </w:pPr>
          </w:p>
        </w:tc>
        <w:tc>
          <w:tcPr>
            <w:tcW w:w="674" w:type="dxa"/>
            <w:vAlign w:val="center"/>
          </w:tcPr>
          <w:p>
            <w:pPr>
              <w:spacing w:line="500" w:lineRule="exact"/>
              <w:jc w:val="center"/>
              <w:rPr>
                <w:bCs/>
                <w:szCs w:val="21"/>
              </w:rPr>
            </w:pPr>
          </w:p>
        </w:tc>
        <w:tc>
          <w:tcPr>
            <w:tcW w:w="674" w:type="dxa"/>
            <w:vAlign w:val="center"/>
          </w:tcPr>
          <w:p>
            <w:pPr>
              <w:spacing w:line="500" w:lineRule="exact"/>
              <w:jc w:val="center"/>
              <w:rPr>
                <w:bCs/>
                <w:szCs w:val="21"/>
              </w:rPr>
            </w:pPr>
          </w:p>
        </w:tc>
        <w:tc>
          <w:tcPr>
            <w:tcW w:w="674" w:type="dxa"/>
            <w:vAlign w:val="center"/>
          </w:tcPr>
          <w:p>
            <w:pPr>
              <w:spacing w:line="500" w:lineRule="exact"/>
              <w:jc w:val="center"/>
              <w:rPr>
                <w:bCs/>
                <w:szCs w:val="21"/>
              </w:rPr>
            </w:pPr>
          </w:p>
        </w:tc>
        <w:tc>
          <w:tcPr>
            <w:tcW w:w="674" w:type="dxa"/>
            <w:vAlign w:val="center"/>
          </w:tcPr>
          <w:p>
            <w:pPr>
              <w:spacing w:line="500" w:lineRule="exact"/>
              <w:jc w:val="center"/>
              <w:rPr>
                <w:bCs/>
                <w:szCs w:val="21"/>
              </w:rPr>
            </w:pPr>
          </w:p>
        </w:tc>
        <w:tc>
          <w:tcPr>
            <w:tcW w:w="999" w:type="dxa"/>
            <w:vAlign w:val="center"/>
          </w:tcPr>
          <w:p>
            <w:pPr>
              <w:spacing w:line="500" w:lineRule="exact"/>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787" w:type="dxa"/>
            <w:vAlign w:val="center"/>
          </w:tcPr>
          <w:p>
            <w:pPr>
              <w:spacing w:line="500" w:lineRule="exact"/>
              <w:jc w:val="center"/>
              <w:rPr>
                <w:bCs/>
                <w:szCs w:val="21"/>
              </w:rPr>
            </w:pPr>
          </w:p>
        </w:tc>
        <w:tc>
          <w:tcPr>
            <w:tcW w:w="787" w:type="dxa"/>
            <w:vAlign w:val="center"/>
          </w:tcPr>
          <w:p>
            <w:pPr>
              <w:spacing w:line="500" w:lineRule="exact"/>
              <w:jc w:val="center"/>
              <w:rPr>
                <w:szCs w:val="21"/>
              </w:rPr>
            </w:pPr>
          </w:p>
        </w:tc>
        <w:tc>
          <w:tcPr>
            <w:tcW w:w="787" w:type="dxa"/>
            <w:vAlign w:val="center"/>
          </w:tcPr>
          <w:p>
            <w:pPr>
              <w:spacing w:line="500" w:lineRule="exact"/>
              <w:jc w:val="center"/>
              <w:rPr>
                <w:bCs/>
                <w:kern w:val="0"/>
                <w:szCs w:val="21"/>
              </w:rPr>
            </w:pPr>
          </w:p>
        </w:tc>
        <w:tc>
          <w:tcPr>
            <w:tcW w:w="787" w:type="dxa"/>
            <w:vAlign w:val="center"/>
          </w:tcPr>
          <w:p>
            <w:pPr>
              <w:spacing w:line="500" w:lineRule="exact"/>
              <w:jc w:val="center"/>
              <w:rPr>
                <w:bCs/>
                <w:szCs w:val="21"/>
              </w:rPr>
            </w:pPr>
          </w:p>
        </w:tc>
        <w:tc>
          <w:tcPr>
            <w:tcW w:w="740" w:type="dxa"/>
            <w:vAlign w:val="center"/>
          </w:tcPr>
          <w:p>
            <w:pPr>
              <w:spacing w:line="500" w:lineRule="exact"/>
              <w:jc w:val="center"/>
              <w:rPr>
                <w:bCs/>
                <w:szCs w:val="21"/>
              </w:rPr>
            </w:pPr>
          </w:p>
        </w:tc>
        <w:tc>
          <w:tcPr>
            <w:tcW w:w="916" w:type="dxa"/>
            <w:vAlign w:val="center"/>
          </w:tcPr>
          <w:p>
            <w:pPr>
              <w:spacing w:line="500" w:lineRule="exact"/>
              <w:jc w:val="center"/>
              <w:rPr>
                <w:bCs/>
                <w:szCs w:val="21"/>
              </w:rPr>
            </w:pPr>
          </w:p>
        </w:tc>
        <w:tc>
          <w:tcPr>
            <w:tcW w:w="706" w:type="dxa"/>
            <w:vAlign w:val="center"/>
          </w:tcPr>
          <w:p>
            <w:pPr>
              <w:spacing w:line="500" w:lineRule="exact"/>
              <w:jc w:val="center"/>
              <w:rPr>
                <w:bCs/>
                <w:szCs w:val="21"/>
              </w:rPr>
            </w:pPr>
          </w:p>
        </w:tc>
        <w:tc>
          <w:tcPr>
            <w:tcW w:w="674" w:type="dxa"/>
            <w:vAlign w:val="center"/>
          </w:tcPr>
          <w:p>
            <w:pPr>
              <w:spacing w:line="500" w:lineRule="exact"/>
              <w:jc w:val="center"/>
              <w:rPr>
                <w:bCs/>
                <w:szCs w:val="21"/>
              </w:rPr>
            </w:pPr>
          </w:p>
        </w:tc>
        <w:tc>
          <w:tcPr>
            <w:tcW w:w="674" w:type="dxa"/>
            <w:vAlign w:val="center"/>
          </w:tcPr>
          <w:p>
            <w:pPr>
              <w:spacing w:line="500" w:lineRule="exact"/>
              <w:jc w:val="center"/>
              <w:rPr>
                <w:bCs/>
                <w:szCs w:val="21"/>
              </w:rPr>
            </w:pPr>
          </w:p>
        </w:tc>
        <w:tc>
          <w:tcPr>
            <w:tcW w:w="674" w:type="dxa"/>
            <w:vAlign w:val="center"/>
          </w:tcPr>
          <w:p>
            <w:pPr>
              <w:spacing w:line="500" w:lineRule="exact"/>
              <w:jc w:val="center"/>
              <w:rPr>
                <w:bCs/>
                <w:szCs w:val="21"/>
              </w:rPr>
            </w:pPr>
          </w:p>
        </w:tc>
        <w:tc>
          <w:tcPr>
            <w:tcW w:w="674" w:type="dxa"/>
            <w:vAlign w:val="center"/>
          </w:tcPr>
          <w:p>
            <w:pPr>
              <w:spacing w:line="500" w:lineRule="exact"/>
              <w:jc w:val="center"/>
              <w:rPr>
                <w:bCs/>
                <w:szCs w:val="21"/>
              </w:rPr>
            </w:pPr>
          </w:p>
        </w:tc>
        <w:tc>
          <w:tcPr>
            <w:tcW w:w="999" w:type="dxa"/>
            <w:vAlign w:val="center"/>
          </w:tcPr>
          <w:p>
            <w:pPr>
              <w:spacing w:line="500" w:lineRule="exact"/>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787" w:type="dxa"/>
            <w:vAlign w:val="center"/>
          </w:tcPr>
          <w:p>
            <w:pPr>
              <w:spacing w:line="500" w:lineRule="exact"/>
              <w:jc w:val="center"/>
              <w:rPr>
                <w:bCs/>
                <w:szCs w:val="21"/>
              </w:rPr>
            </w:pPr>
          </w:p>
        </w:tc>
        <w:tc>
          <w:tcPr>
            <w:tcW w:w="787" w:type="dxa"/>
            <w:vAlign w:val="center"/>
          </w:tcPr>
          <w:p>
            <w:pPr>
              <w:spacing w:line="500" w:lineRule="exact"/>
              <w:jc w:val="center"/>
              <w:rPr>
                <w:bCs/>
                <w:kern w:val="0"/>
                <w:szCs w:val="21"/>
              </w:rPr>
            </w:pPr>
          </w:p>
        </w:tc>
        <w:tc>
          <w:tcPr>
            <w:tcW w:w="787" w:type="dxa"/>
            <w:vAlign w:val="center"/>
          </w:tcPr>
          <w:p>
            <w:pPr>
              <w:spacing w:line="500" w:lineRule="exact"/>
              <w:jc w:val="center"/>
              <w:rPr>
                <w:bCs/>
                <w:szCs w:val="21"/>
              </w:rPr>
            </w:pPr>
          </w:p>
        </w:tc>
        <w:tc>
          <w:tcPr>
            <w:tcW w:w="787" w:type="dxa"/>
            <w:vAlign w:val="center"/>
          </w:tcPr>
          <w:p>
            <w:pPr>
              <w:spacing w:line="500" w:lineRule="exact"/>
              <w:jc w:val="center"/>
              <w:rPr>
                <w:bCs/>
                <w:szCs w:val="21"/>
              </w:rPr>
            </w:pPr>
          </w:p>
        </w:tc>
        <w:tc>
          <w:tcPr>
            <w:tcW w:w="740" w:type="dxa"/>
            <w:vAlign w:val="center"/>
          </w:tcPr>
          <w:p>
            <w:pPr>
              <w:spacing w:line="500" w:lineRule="exact"/>
              <w:jc w:val="center"/>
              <w:rPr>
                <w:bCs/>
                <w:szCs w:val="21"/>
              </w:rPr>
            </w:pPr>
          </w:p>
        </w:tc>
        <w:tc>
          <w:tcPr>
            <w:tcW w:w="916" w:type="dxa"/>
            <w:vAlign w:val="center"/>
          </w:tcPr>
          <w:p>
            <w:pPr>
              <w:spacing w:line="500" w:lineRule="exact"/>
              <w:jc w:val="center"/>
              <w:rPr>
                <w:bCs/>
                <w:szCs w:val="21"/>
              </w:rPr>
            </w:pPr>
          </w:p>
        </w:tc>
        <w:tc>
          <w:tcPr>
            <w:tcW w:w="706" w:type="dxa"/>
            <w:vAlign w:val="center"/>
          </w:tcPr>
          <w:p>
            <w:pPr>
              <w:spacing w:line="500" w:lineRule="exact"/>
              <w:jc w:val="center"/>
              <w:rPr>
                <w:bCs/>
                <w:szCs w:val="21"/>
              </w:rPr>
            </w:pPr>
          </w:p>
        </w:tc>
        <w:tc>
          <w:tcPr>
            <w:tcW w:w="674" w:type="dxa"/>
            <w:vAlign w:val="center"/>
          </w:tcPr>
          <w:p>
            <w:pPr>
              <w:spacing w:line="500" w:lineRule="exact"/>
              <w:jc w:val="center"/>
              <w:rPr>
                <w:bCs/>
                <w:szCs w:val="21"/>
              </w:rPr>
            </w:pPr>
          </w:p>
        </w:tc>
        <w:tc>
          <w:tcPr>
            <w:tcW w:w="674" w:type="dxa"/>
            <w:vAlign w:val="center"/>
          </w:tcPr>
          <w:p>
            <w:pPr>
              <w:spacing w:line="500" w:lineRule="exact"/>
              <w:jc w:val="center"/>
              <w:rPr>
                <w:bCs/>
                <w:szCs w:val="21"/>
              </w:rPr>
            </w:pPr>
          </w:p>
        </w:tc>
        <w:tc>
          <w:tcPr>
            <w:tcW w:w="674" w:type="dxa"/>
            <w:vAlign w:val="center"/>
          </w:tcPr>
          <w:p>
            <w:pPr>
              <w:spacing w:line="500" w:lineRule="exact"/>
              <w:jc w:val="center"/>
              <w:rPr>
                <w:bCs/>
                <w:szCs w:val="21"/>
              </w:rPr>
            </w:pPr>
          </w:p>
        </w:tc>
        <w:tc>
          <w:tcPr>
            <w:tcW w:w="674" w:type="dxa"/>
            <w:vAlign w:val="center"/>
          </w:tcPr>
          <w:p>
            <w:pPr>
              <w:spacing w:line="500" w:lineRule="exact"/>
              <w:jc w:val="center"/>
              <w:rPr>
                <w:bCs/>
                <w:szCs w:val="21"/>
              </w:rPr>
            </w:pPr>
          </w:p>
        </w:tc>
        <w:tc>
          <w:tcPr>
            <w:tcW w:w="999" w:type="dxa"/>
            <w:vAlign w:val="center"/>
          </w:tcPr>
          <w:p>
            <w:pPr>
              <w:spacing w:line="500" w:lineRule="exact"/>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787" w:type="dxa"/>
            <w:vAlign w:val="center"/>
          </w:tcPr>
          <w:p>
            <w:pPr>
              <w:spacing w:line="500" w:lineRule="exact"/>
              <w:jc w:val="center"/>
              <w:rPr>
                <w:bCs/>
                <w:szCs w:val="21"/>
              </w:rPr>
            </w:pPr>
          </w:p>
        </w:tc>
        <w:tc>
          <w:tcPr>
            <w:tcW w:w="787" w:type="dxa"/>
            <w:vAlign w:val="center"/>
          </w:tcPr>
          <w:p>
            <w:pPr>
              <w:spacing w:line="500" w:lineRule="exact"/>
              <w:jc w:val="center"/>
              <w:rPr>
                <w:bCs/>
                <w:kern w:val="0"/>
                <w:szCs w:val="21"/>
              </w:rPr>
            </w:pPr>
          </w:p>
        </w:tc>
        <w:tc>
          <w:tcPr>
            <w:tcW w:w="787" w:type="dxa"/>
            <w:vAlign w:val="center"/>
          </w:tcPr>
          <w:p>
            <w:pPr>
              <w:spacing w:line="500" w:lineRule="exact"/>
              <w:jc w:val="center"/>
              <w:rPr>
                <w:bCs/>
                <w:szCs w:val="21"/>
              </w:rPr>
            </w:pPr>
          </w:p>
        </w:tc>
        <w:tc>
          <w:tcPr>
            <w:tcW w:w="787" w:type="dxa"/>
            <w:vAlign w:val="center"/>
          </w:tcPr>
          <w:p>
            <w:pPr>
              <w:spacing w:line="500" w:lineRule="exact"/>
              <w:jc w:val="center"/>
              <w:rPr>
                <w:bCs/>
                <w:szCs w:val="21"/>
              </w:rPr>
            </w:pPr>
          </w:p>
        </w:tc>
        <w:tc>
          <w:tcPr>
            <w:tcW w:w="740" w:type="dxa"/>
            <w:vAlign w:val="center"/>
          </w:tcPr>
          <w:p>
            <w:pPr>
              <w:spacing w:line="500" w:lineRule="exact"/>
              <w:jc w:val="center"/>
              <w:rPr>
                <w:bCs/>
                <w:szCs w:val="21"/>
              </w:rPr>
            </w:pPr>
          </w:p>
        </w:tc>
        <w:tc>
          <w:tcPr>
            <w:tcW w:w="916" w:type="dxa"/>
            <w:vAlign w:val="center"/>
          </w:tcPr>
          <w:p>
            <w:pPr>
              <w:spacing w:line="500" w:lineRule="exact"/>
              <w:jc w:val="center"/>
              <w:rPr>
                <w:bCs/>
                <w:szCs w:val="21"/>
              </w:rPr>
            </w:pPr>
          </w:p>
        </w:tc>
        <w:tc>
          <w:tcPr>
            <w:tcW w:w="706" w:type="dxa"/>
            <w:vAlign w:val="center"/>
          </w:tcPr>
          <w:p>
            <w:pPr>
              <w:spacing w:line="500" w:lineRule="exact"/>
              <w:jc w:val="center"/>
              <w:rPr>
                <w:bCs/>
                <w:szCs w:val="21"/>
              </w:rPr>
            </w:pPr>
          </w:p>
        </w:tc>
        <w:tc>
          <w:tcPr>
            <w:tcW w:w="674" w:type="dxa"/>
            <w:vAlign w:val="center"/>
          </w:tcPr>
          <w:p>
            <w:pPr>
              <w:spacing w:line="500" w:lineRule="exact"/>
              <w:jc w:val="center"/>
              <w:rPr>
                <w:bCs/>
                <w:szCs w:val="21"/>
              </w:rPr>
            </w:pPr>
          </w:p>
        </w:tc>
        <w:tc>
          <w:tcPr>
            <w:tcW w:w="674" w:type="dxa"/>
            <w:vAlign w:val="center"/>
          </w:tcPr>
          <w:p>
            <w:pPr>
              <w:spacing w:line="500" w:lineRule="exact"/>
              <w:jc w:val="center"/>
              <w:rPr>
                <w:bCs/>
                <w:szCs w:val="21"/>
              </w:rPr>
            </w:pPr>
          </w:p>
        </w:tc>
        <w:tc>
          <w:tcPr>
            <w:tcW w:w="674" w:type="dxa"/>
            <w:vAlign w:val="center"/>
          </w:tcPr>
          <w:p>
            <w:pPr>
              <w:spacing w:line="500" w:lineRule="exact"/>
              <w:jc w:val="center"/>
              <w:rPr>
                <w:bCs/>
                <w:szCs w:val="21"/>
              </w:rPr>
            </w:pPr>
          </w:p>
        </w:tc>
        <w:tc>
          <w:tcPr>
            <w:tcW w:w="674" w:type="dxa"/>
            <w:vAlign w:val="center"/>
          </w:tcPr>
          <w:p>
            <w:pPr>
              <w:spacing w:line="500" w:lineRule="exact"/>
              <w:jc w:val="center"/>
              <w:rPr>
                <w:bCs/>
                <w:szCs w:val="21"/>
              </w:rPr>
            </w:pPr>
          </w:p>
        </w:tc>
        <w:tc>
          <w:tcPr>
            <w:tcW w:w="999" w:type="dxa"/>
            <w:vAlign w:val="center"/>
          </w:tcPr>
          <w:p>
            <w:pPr>
              <w:spacing w:line="500" w:lineRule="exact"/>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787" w:type="dxa"/>
            <w:vAlign w:val="center"/>
          </w:tcPr>
          <w:p>
            <w:pPr>
              <w:spacing w:line="500" w:lineRule="exact"/>
              <w:jc w:val="center"/>
              <w:rPr>
                <w:bCs/>
                <w:szCs w:val="21"/>
              </w:rPr>
            </w:pPr>
          </w:p>
        </w:tc>
        <w:tc>
          <w:tcPr>
            <w:tcW w:w="787" w:type="dxa"/>
            <w:vAlign w:val="center"/>
          </w:tcPr>
          <w:p>
            <w:pPr>
              <w:spacing w:line="500" w:lineRule="exact"/>
              <w:jc w:val="center"/>
              <w:rPr>
                <w:bCs/>
                <w:kern w:val="0"/>
                <w:szCs w:val="21"/>
              </w:rPr>
            </w:pPr>
          </w:p>
        </w:tc>
        <w:tc>
          <w:tcPr>
            <w:tcW w:w="787" w:type="dxa"/>
            <w:vAlign w:val="center"/>
          </w:tcPr>
          <w:p>
            <w:pPr>
              <w:spacing w:line="500" w:lineRule="exact"/>
              <w:jc w:val="center"/>
              <w:rPr>
                <w:bCs/>
                <w:szCs w:val="21"/>
              </w:rPr>
            </w:pPr>
          </w:p>
        </w:tc>
        <w:tc>
          <w:tcPr>
            <w:tcW w:w="787" w:type="dxa"/>
            <w:vAlign w:val="center"/>
          </w:tcPr>
          <w:p>
            <w:pPr>
              <w:spacing w:line="500" w:lineRule="exact"/>
              <w:jc w:val="center"/>
              <w:rPr>
                <w:bCs/>
                <w:szCs w:val="21"/>
              </w:rPr>
            </w:pPr>
          </w:p>
        </w:tc>
        <w:tc>
          <w:tcPr>
            <w:tcW w:w="740" w:type="dxa"/>
            <w:vAlign w:val="center"/>
          </w:tcPr>
          <w:p>
            <w:pPr>
              <w:spacing w:line="500" w:lineRule="exact"/>
              <w:jc w:val="center"/>
              <w:rPr>
                <w:bCs/>
                <w:szCs w:val="21"/>
              </w:rPr>
            </w:pPr>
          </w:p>
        </w:tc>
        <w:tc>
          <w:tcPr>
            <w:tcW w:w="916" w:type="dxa"/>
            <w:vAlign w:val="center"/>
          </w:tcPr>
          <w:p>
            <w:pPr>
              <w:spacing w:line="500" w:lineRule="exact"/>
              <w:jc w:val="center"/>
              <w:rPr>
                <w:bCs/>
                <w:szCs w:val="21"/>
              </w:rPr>
            </w:pPr>
          </w:p>
        </w:tc>
        <w:tc>
          <w:tcPr>
            <w:tcW w:w="706" w:type="dxa"/>
            <w:vAlign w:val="center"/>
          </w:tcPr>
          <w:p>
            <w:pPr>
              <w:spacing w:line="500" w:lineRule="exact"/>
              <w:jc w:val="center"/>
              <w:rPr>
                <w:bCs/>
                <w:szCs w:val="21"/>
              </w:rPr>
            </w:pPr>
          </w:p>
        </w:tc>
        <w:tc>
          <w:tcPr>
            <w:tcW w:w="674" w:type="dxa"/>
            <w:vAlign w:val="center"/>
          </w:tcPr>
          <w:p>
            <w:pPr>
              <w:spacing w:line="500" w:lineRule="exact"/>
              <w:jc w:val="center"/>
              <w:rPr>
                <w:bCs/>
                <w:szCs w:val="21"/>
              </w:rPr>
            </w:pPr>
          </w:p>
        </w:tc>
        <w:tc>
          <w:tcPr>
            <w:tcW w:w="674" w:type="dxa"/>
            <w:vAlign w:val="center"/>
          </w:tcPr>
          <w:p>
            <w:pPr>
              <w:spacing w:line="500" w:lineRule="exact"/>
              <w:jc w:val="center"/>
              <w:rPr>
                <w:bCs/>
                <w:szCs w:val="21"/>
              </w:rPr>
            </w:pPr>
          </w:p>
        </w:tc>
        <w:tc>
          <w:tcPr>
            <w:tcW w:w="674" w:type="dxa"/>
            <w:vAlign w:val="center"/>
          </w:tcPr>
          <w:p>
            <w:pPr>
              <w:spacing w:line="500" w:lineRule="exact"/>
              <w:jc w:val="center"/>
              <w:rPr>
                <w:bCs/>
                <w:szCs w:val="21"/>
              </w:rPr>
            </w:pPr>
          </w:p>
        </w:tc>
        <w:tc>
          <w:tcPr>
            <w:tcW w:w="674" w:type="dxa"/>
            <w:vAlign w:val="center"/>
          </w:tcPr>
          <w:p>
            <w:pPr>
              <w:spacing w:line="500" w:lineRule="exact"/>
              <w:jc w:val="center"/>
              <w:rPr>
                <w:bCs/>
                <w:szCs w:val="21"/>
              </w:rPr>
            </w:pPr>
          </w:p>
        </w:tc>
        <w:tc>
          <w:tcPr>
            <w:tcW w:w="999" w:type="dxa"/>
            <w:vAlign w:val="center"/>
          </w:tcPr>
          <w:p>
            <w:pPr>
              <w:spacing w:line="500" w:lineRule="exact"/>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787" w:type="dxa"/>
            <w:vAlign w:val="center"/>
          </w:tcPr>
          <w:p>
            <w:pPr>
              <w:spacing w:line="500" w:lineRule="exact"/>
              <w:jc w:val="center"/>
              <w:rPr>
                <w:bCs/>
                <w:szCs w:val="21"/>
              </w:rPr>
            </w:pPr>
          </w:p>
        </w:tc>
        <w:tc>
          <w:tcPr>
            <w:tcW w:w="787" w:type="dxa"/>
            <w:vAlign w:val="center"/>
          </w:tcPr>
          <w:p>
            <w:pPr>
              <w:spacing w:line="500" w:lineRule="exact"/>
              <w:jc w:val="center"/>
              <w:rPr>
                <w:szCs w:val="21"/>
              </w:rPr>
            </w:pPr>
          </w:p>
        </w:tc>
        <w:tc>
          <w:tcPr>
            <w:tcW w:w="787" w:type="dxa"/>
            <w:vAlign w:val="center"/>
          </w:tcPr>
          <w:p>
            <w:pPr>
              <w:spacing w:line="500" w:lineRule="exact"/>
              <w:jc w:val="center"/>
              <w:rPr>
                <w:bCs/>
                <w:szCs w:val="21"/>
              </w:rPr>
            </w:pPr>
          </w:p>
        </w:tc>
        <w:tc>
          <w:tcPr>
            <w:tcW w:w="787" w:type="dxa"/>
            <w:vAlign w:val="center"/>
          </w:tcPr>
          <w:p>
            <w:pPr>
              <w:spacing w:line="500" w:lineRule="exact"/>
              <w:jc w:val="center"/>
              <w:rPr>
                <w:bCs/>
                <w:szCs w:val="21"/>
              </w:rPr>
            </w:pPr>
          </w:p>
        </w:tc>
        <w:tc>
          <w:tcPr>
            <w:tcW w:w="740" w:type="dxa"/>
            <w:vAlign w:val="center"/>
          </w:tcPr>
          <w:p>
            <w:pPr>
              <w:spacing w:line="500" w:lineRule="exact"/>
              <w:jc w:val="center"/>
              <w:rPr>
                <w:bCs/>
                <w:szCs w:val="21"/>
              </w:rPr>
            </w:pPr>
          </w:p>
        </w:tc>
        <w:tc>
          <w:tcPr>
            <w:tcW w:w="916" w:type="dxa"/>
            <w:vAlign w:val="center"/>
          </w:tcPr>
          <w:p>
            <w:pPr>
              <w:spacing w:line="500" w:lineRule="exact"/>
              <w:jc w:val="center"/>
              <w:rPr>
                <w:bCs/>
                <w:szCs w:val="21"/>
              </w:rPr>
            </w:pPr>
          </w:p>
        </w:tc>
        <w:tc>
          <w:tcPr>
            <w:tcW w:w="706" w:type="dxa"/>
            <w:vAlign w:val="center"/>
          </w:tcPr>
          <w:p>
            <w:pPr>
              <w:spacing w:line="500" w:lineRule="exact"/>
              <w:jc w:val="center"/>
              <w:rPr>
                <w:bCs/>
                <w:szCs w:val="21"/>
              </w:rPr>
            </w:pPr>
          </w:p>
        </w:tc>
        <w:tc>
          <w:tcPr>
            <w:tcW w:w="674" w:type="dxa"/>
            <w:vAlign w:val="center"/>
          </w:tcPr>
          <w:p>
            <w:pPr>
              <w:spacing w:line="500" w:lineRule="exact"/>
              <w:jc w:val="center"/>
              <w:rPr>
                <w:bCs/>
                <w:szCs w:val="21"/>
              </w:rPr>
            </w:pPr>
          </w:p>
        </w:tc>
        <w:tc>
          <w:tcPr>
            <w:tcW w:w="674" w:type="dxa"/>
            <w:vAlign w:val="center"/>
          </w:tcPr>
          <w:p>
            <w:pPr>
              <w:spacing w:line="500" w:lineRule="exact"/>
              <w:jc w:val="center"/>
              <w:rPr>
                <w:bCs/>
                <w:szCs w:val="21"/>
              </w:rPr>
            </w:pPr>
          </w:p>
        </w:tc>
        <w:tc>
          <w:tcPr>
            <w:tcW w:w="674" w:type="dxa"/>
            <w:vAlign w:val="center"/>
          </w:tcPr>
          <w:p>
            <w:pPr>
              <w:spacing w:line="500" w:lineRule="exact"/>
              <w:jc w:val="center"/>
              <w:rPr>
                <w:bCs/>
                <w:szCs w:val="21"/>
              </w:rPr>
            </w:pPr>
          </w:p>
        </w:tc>
        <w:tc>
          <w:tcPr>
            <w:tcW w:w="674" w:type="dxa"/>
            <w:vAlign w:val="center"/>
          </w:tcPr>
          <w:p>
            <w:pPr>
              <w:spacing w:line="500" w:lineRule="exact"/>
              <w:jc w:val="center"/>
              <w:rPr>
                <w:bCs/>
                <w:szCs w:val="21"/>
              </w:rPr>
            </w:pPr>
          </w:p>
        </w:tc>
        <w:tc>
          <w:tcPr>
            <w:tcW w:w="999" w:type="dxa"/>
            <w:vAlign w:val="center"/>
          </w:tcPr>
          <w:p>
            <w:pPr>
              <w:spacing w:line="500" w:lineRule="exact"/>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787" w:type="dxa"/>
            <w:vAlign w:val="center"/>
          </w:tcPr>
          <w:p>
            <w:pPr>
              <w:spacing w:line="500" w:lineRule="exact"/>
              <w:jc w:val="center"/>
              <w:rPr>
                <w:bCs/>
                <w:szCs w:val="21"/>
              </w:rPr>
            </w:pPr>
          </w:p>
        </w:tc>
        <w:tc>
          <w:tcPr>
            <w:tcW w:w="787" w:type="dxa"/>
            <w:vAlign w:val="center"/>
          </w:tcPr>
          <w:p>
            <w:pPr>
              <w:spacing w:line="500" w:lineRule="exact"/>
              <w:jc w:val="center"/>
              <w:rPr>
                <w:szCs w:val="21"/>
              </w:rPr>
            </w:pPr>
          </w:p>
        </w:tc>
        <w:tc>
          <w:tcPr>
            <w:tcW w:w="787" w:type="dxa"/>
            <w:vAlign w:val="center"/>
          </w:tcPr>
          <w:p>
            <w:pPr>
              <w:spacing w:line="500" w:lineRule="exact"/>
              <w:jc w:val="center"/>
              <w:rPr>
                <w:bCs/>
                <w:szCs w:val="21"/>
              </w:rPr>
            </w:pPr>
          </w:p>
        </w:tc>
        <w:tc>
          <w:tcPr>
            <w:tcW w:w="787" w:type="dxa"/>
            <w:vAlign w:val="center"/>
          </w:tcPr>
          <w:p>
            <w:pPr>
              <w:spacing w:line="500" w:lineRule="exact"/>
              <w:jc w:val="center"/>
              <w:rPr>
                <w:bCs/>
                <w:szCs w:val="21"/>
              </w:rPr>
            </w:pPr>
          </w:p>
        </w:tc>
        <w:tc>
          <w:tcPr>
            <w:tcW w:w="740" w:type="dxa"/>
            <w:vAlign w:val="center"/>
          </w:tcPr>
          <w:p>
            <w:pPr>
              <w:spacing w:line="500" w:lineRule="exact"/>
              <w:jc w:val="center"/>
              <w:rPr>
                <w:bCs/>
                <w:szCs w:val="21"/>
              </w:rPr>
            </w:pPr>
          </w:p>
        </w:tc>
        <w:tc>
          <w:tcPr>
            <w:tcW w:w="916" w:type="dxa"/>
            <w:vAlign w:val="center"/>
          </w:tcPr>
          <w:p>
            <w:pPr>
              <w:spacing w:line="500" w:lineRule="exact"/>
              <w:jc w:val="center"/>
              <w:rPr>
                <w:bCs/>
                <w:szCs w:val="21"/>
              </w:rPr>
            </w:pPr>
          </w:p>
        </w:tc>
        <w:tc>
          <w:tcPr>
            <w:tcW w:w="706" w:type="dxa"/>
            <w:vAlign w:val="center"/>
          </w:tcPr>
          <w:p>
            <w:pPr>
              <w:spacing w:line="500" w:lineRule="exact"/>
              <w:jc w:val="center"/>
              <w:rPr>
                <w:bCs/>
                <w:szCs w:val="21"/>
              </w:rPr>
            </w:pPr>
          </w:p>
        </w:tc>
        <w:tc>
          <w:tcPr>
            <w:tcW w:w="674" w:type="dxa"/>
            <w:vAlign w:val="center"/>
          </w:tcPr>
          <w:p>
            <w:pPr>
              <w:spacing w:line="500" w:lineRule="exact"/>
              <w:jc w:val="center"/>
              <w:rPr>
                <w:bCs/>
                <w:szCs w:val="21"/>
              </w:rPr>
            </w:pPr>
          </w:p>
        </w:tc>
        <w:tc>
          <w:tcPr>
            <w:tcW w:w="674" w:type="dxa"/>
            <w:vAlign w:val="center"/>
          </w:tcPr>
          <w:p>
            <w:pPr>
              <w:spacing w:line="500" w:lineRule="exact"/>
              <w:jc w:val="center"/>
              <w:rPr>
                <w:bCs/>
                <w:szCs w:val="21"/>
              </w:rPr>
            </w:pPr>
          </w:p>
        </w:tc>
        <w:tc>
          <w:tcPr>
            <w:tcW w:w="674" w:type="dxa"/>
            <w:vAlign w:val="center"/>
          </w:tcPr>
          <w:p>
            <w:pPr>
              <w:spacing w:line="500" w:lineRule="exact"/>
              <w:jc w:val="center"/>
              <w:rPr>
                <w:bCs/>
                <w:szCs w:val="21"/>
              </w:rPr>
            </w:pPr>
          </w:p>
        </w:tc>
        <w:tc>
          <w:tcPr>
            <w:tcW w:w="674" w:type="dxa"/>
            <w:vAlign w:val="center"/>
          </w:tcPr>
          <w:p>
            <w:pPr>
              <w:spacing w:line="500" w:lineRule="exact"/>
              <w:jc w:val="center"/>
              <w:rPr>
                <w:bCs/>
                <w:szCs w:val="21"/>
              </w:rPr>
            </w:pPr>
          </w:p>
        </w:tc>
        <w:tc>
          <w:tcPr>
            <w:tcW w:w="999" w:type="dxa"/>
            <w:vAlign w:val="center"/>
          </w:tcPr>
          <w:p>
            <w:pPr>
              <w:spacing w:line="500" w:lineRule="exact"/>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787" w:type="dxa"/>
            <w:vAlign w:val="center"/>
          </w:tcPr>
          <w:p>
            <w:pPr>
              <w:spacing w:line="500" w:lineRule="exact"/>
              <w:jc w:val="center"/>
              <w:rPr>
                <w:bCs/>
                <w:szCs w:val="21"/>
              </w:rPr>
            </w:pPr>
          </w:p>
        </w:tc>
        <w:tc>
          <w:tcPr>
            <w:tcW w:w="787" w:type="dxa"/>
            <w:vAlign w:val="center"/>
          </w:tcPr>
          <w:p>
            <w:pPr>
              <w:spacing w:line="500" w:lineRule="exact"/>
              <w:jc w:val="center"/>
              <w:rPr>
                <w:bCs/>
                <w:szCs w:val="21"/>
              </w:rPr>
            </w:pPr>
          </w:p>
        </w:tc>
        <w:tc>
          <w:tcPr>
            <w:tcW w:w="787" w:type="dxa"/>
            <w:vAlign w:val="center"/>
          </w:tcPr>
          <w:p>
            <w:pPr>
              <w:spacing w:line="500" w:lineRule="exact"/>
              <w:jc w:val="center"/>
              <w:rPr>
                <w:bCs/>
                <w:szCs w:val="21"/>
              </w:rPr>
            </w:pPr>
          </w:p>
        </w:tc>
        <w:tc>
          <w:tcPr>
            <w:tcW w:w="787" w:type="dxa"/>
            <w:vAlign w:val="center"/>
          </w:tcPr>
          <w:p>
            <w:pPr>
              <w:spacing w:line="500" w:lineRule="exact"/>
              <w:jc w:val="center"/>
              <w:rPr>
                <w:bCs/>
                <w:szCs w:val="21"/>
              </w:rPr>
            </w:pPr>
          </w:p>
        </w:tc>
        <w:tc>
          <w:tcPr>
            <w:tcW w:w="740" w:type="dxa"/>
            <w:vAlign w:val="center"/>
          </w:tcPr>
          <w:p>
            <w:pPr>
              <w:spacing w:line="500" w:lineRule="exact"/>
              <w:jc w:val="center"/>
              <w:rPr>
                <w:bCs/>
                <w:szCs w:val="21"/>
              </w:rPr>
            </w:pPr>
          </w:p>
        </w:tc>
        <w:tc>
          <w:tcPr>
            <w:tcW w:w="916" w:type="dxa"/>
            <w:vAlign w:val="center"/>
          </w:tcPr>
          <w:p>
            <w:pPr>
              <w:spacing w:line="500" w:lineRule="exact"/>
              <w:jc w:val="center"/>
              <w:rPr>
                <w:bCs/>
                <w:szCs w:val="21"/>
              </w:rPr>
            </w:pPr>
          </w:p>
        </w:tc>
        <w:tc>
          <w:tcPr>
            <w:tcW w:w="706" w:type="dxa"/>
            <w:vAlign w:val="center"/>
          </w:tcPr>
          <w:p>
            <w:pPr>
              <w:spacing w:line="500" w:lineRule="exact"/>
              <w:jc w:val="center"/>
              <w:rPr>
                <w:bCs/>
                <w:szCs w:val="21"/>
              </w:rPr>
            </w:pPr>
          </w:p>
        </w:tc>
        <w:tc>
          <w:tcPr>
            <w:tcW w:w="674" w:type="dxa"/>
            <w:vAlign w:val="center"/>
          </w:tcPr>
          <w:p>
            <w:pPr>
              <w:spacing w:line="500" w:lineRule="exact"/>
              <w:jc w:val="center"/>
              <w:rPr>
                <w:bCs/>
                <w:szCs w:val="21"/>
              </w:rPr>
            </w:pPr>
          </w:p>
        </w:tc>
        <w:tc>
          <w:tcPr>
            <w:tcW w:w="674" w:type="dxa"/>
            <w:vAlign w:val="center"/>
          </w:tcPr>
          <w:p>
            <w:pPr>
              <w:spacing w:line="500" w:lineRule="exact"/>
              <w:jc w:val="center"/>
              <w:rPr>
                <w:bCs/>
                <w:szCs w:val="21"/>
              </w:rPr>
            </w:pPr>
          </w:p>
        </w:tc>
        <w:tc>
          <w:tcPr>
            <w:tcW w:w="674" w:type="dxa"/>
            <w:vAlign w:val="center"/>
          </w:tcPr>
          <w:p>
            <w:pPr>
              <w:spacing w:line="500" w:lineRule="exact"/>
              <w:jc w:val="center"/>
              <w:rPr>
                <w:bCs/>
                <w:szCs w:val="21"/>
              </w:rPr>
            </w:pPr>
          </w:p>
        </w:tc>
        <w:tc>
          <w:tcPr>
            <w:tcW w:w="674" w:type="dxa"/>
            <w:vAlign w:val="center"/>
          </w:tcPr>
          <w:p>
            <w:pPr>
              <w:spacing w:line="500" w:lineRule="exact"/>
              <w:jc w:val="center"/>
              <w:rPr>
                <w:bCs/>
                <w:szCs w:val="21"/>
              </w:rPr>
            </w:pPr>
          </w:p>
        </w:tc>
        <w:tc>
          <w:tcPr>
            <w:tcW w:w="999" w:type="dxa"/>
            <w:vAlign w:val="center"/>
          </w:tcPr>
          <w:p>
            <w:pPr>
              <w:spacing w:line="500" w:lineRule="exact"/>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787" w:type="dxa"/>
            <w:vAlign w:val="center"/>
          </w:tcPr>
          <w:p>
            <w:pPr>
              <w:spacing w:line="500" w:lineRule="exact"/>
              <w:jc w:val="center"/>
              <w:rPr>
                <w:bCs/>
                <w:szCs w:val="21"/>
              </w:rPr>
            </w:pPr>
          </w:p>
        </w:tc>
        <w:tc>
          <w:tcPr>
            <w:tcW w:w="787" w:type="dxa"/>
            <w:vAlign w:val="center"/>
          </w:tcPr>
          <w:p>
            <w:pPr>
              <w:spacing w:line="500" w:lineRule="exact"/>
              <w:jc w:val="center"/>
              <w:rPr>
                <w:bCs/>
                <w:szCs w:val="21"/>
              </w:rPr>
            </w:pPr>
          </w:p>
        </w:tc>
        <w:tc>
          <w:tcPr>
            <w:tcW w:w="787" w:type="dxa"/>
            <w:vAlign w:val="center"/>
          </w:tcPr>
          <w:p>
            <w:pPr>
              <w:spacing w:line="500" w:lineRule="exact"/>
              <w:jc w:val="center"/>
              <w:rPr>
                <w:bCs/>
                <w:szCs w:val="21"/>
              </w:rPr>
            </w:pPr>
          </w:p>
        </w:tc>
        <w:tc>
          <w:tcPr>
            <w:tcW w:w="787" w:type="dxa"/>
            <w:vAlign w:val="center"/>
          </w:tcPr>
          <w:p>
            <w:pPr>
              <w:spacing w:line="500" w:lineRule="exact"/>
              <w:jc w:val="center"/>
              <w:rPr>
                <w:bCs/>
                <w:szCs w:val="21"/>
              </w:rPr>
            </w:pPr>
          </w:p>
        </w:tc>
        <w:tc>
          <w:tcPr>
            <w:tcW w:w="740" w:type="dxa"/>
            <w:vAlign w:val="center"/>
          </w:tcPr>
          <w:p>
            <w:pPr>
              <w:spacing w:line="500" w:lineRule="exact"/>
              <w:jc w:val="center"/>
              <w:rPr>
                <w:bCs/>
                <w:szCs w:val="21"/>
              </w:rPr>
            </w:pPr>
          </w:p>
        </w:tc>
        <w:tc>
          <w:tcPr>
            <w:tcW w:w="916" w:type="dxa"/>
            <w:vAlign w:val="center"/>
          </w:tcPr>
          <w:p>
            <w:pPr>
              <w:spacing w:line="500" w:lineRule="exact"/>
              <w:jc w:val="center"/>
              <w:rPr>
                <w:bCs/>
                <w:szCs w:val="21"/>
              </w:rPr>
            </w:pPr>
          </w:p>
        </w:tc>
        <w:tc>
          <w:tcPr>
            <w:tcW w:w="706" w:type="dxa"/>
            <w:vAlign w:val="center"/>
          </w:tcPr>
          <w:p>
            <w:pPr>
              <w:spacing w:line="500" w:lineRule="exact"/>
              <w:jc w:val="center"/>
              <w:rPr>
                <w:bCs/>
                <w:szCs w:val="21"/>
              </w:rPr>
            </w:pPr>
          </w:p>
        </w:tc>
        <w:tc>
          <w:tcPr>
            <w:tcW w:w="674" w:type="dxa"/>
            <w:vAlign w:val="center"/>
          </w:tcPr>
          <w:p>
            <w:pPr>
              <w:spacing w:line="500" w:lineRule="exact"/>
              <w:jc w:val="center"/>
              <w:rPr>
                <w:bCs/>
                <w:szCs w:val="21"/>
              </w:rPr>
            </w:pPr>
          </w:p>
        </w:tc>
        <w:tc>
          <w:tcPr>
            <w:tcW w:w="674" w:type="dxa"/>
            <w:vAlign w:val="center"/>
          </w:tcPr>
          <w:p>
            <w:pPr>
              <w:spacing w:line="500" w:lineRule="exact"/>
              <w:jc w:val="center"/>
              <w:rPr>
                <w:bCs/>
                <w:szCs w:val="21"/>
              </w:rPr>
            </w:pPr>
          </w:p>
        </w:tc>
        <w:tc>
          <w:tcPr>
            <w:tcW w:w="674" w:type="dxa"/>
            <w:vAlign w:val="center"/>
          </w:tcPr>
          <w:p>
            <w:pPr>
              <w:spacing w:line="500" w:lineRule="exact"/>
              <w:jc w:val="center"/>
              <w:rPr>
                <w:bCs/>
                <w:szCs w:val="21"/>
              </w:rPr>
            </w:pPr>
          </w:p>
        </w:tc>
        <w:tc>
          <w:tcPr>
            <w:tcW w:w="674" w:type="dxa"/>
            <w:vAlign w:val="center"/>
          </w:tcPr>
          <w:p>
            <w:pPr>
              <w:spacing w:line="500" w:lineRule="exact"/>
              <w:jc w:val="center"/>
              <w:rPr>
                <w:bCs/>
                <w:szCs w:val="21"/>
              </w:rPr>
            </w:pPr>
          </w:p>
        </w:tc>
        <w:tc>
          <w:tcPr>
            <w:tcW w:w="999" w:type="dxa"/>
            <w:vAlign w:val="center"/>
          </w:tcPr>
          <w:p>
            <w:pPr>
              <w:spacing w:line="500" w:lineRule="exact"/>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787" w:type="dxa"/>
            <w:vAlign w:val="center"/>
          </w:tcPr>
          <w:p>
            <w:pPr>
              <w:spacing w:line="500" w:lineRule="exact"/>
              <w:jc w:val="center"/>
              <w:rPr>
                <w:bCs/>
                <w:szCs w:val="21"/>
              </w:rPr>
            </w:pPr>
          </w:p>
        </w:tc>
        <w:tc>
          <w:tcPr>
            <w:tcW w:w="787" w:type="dxa"/>
            <w:vAlign w:val="center"/>
          </w:tcPr>
          <w:p>
            <w:pPr>
              <w:spacing w:line="500" w:lineRule="exact"/>
              <w:jc w:val="center"/>
              <w:rPr>
                <w:bCs/>
                <w:szCs w:val="21"/>
              </w:rPr>
            </w:pPr>
          </w:p>
        </w:tc>
        <w:tc>
          <w:tcPr>
            <w:tcW w:w="787" w:type="dxa"/>
            <w:vAlign w:val="center"/>
          </w:tcPr>
          <w:p>
            <w:pPr>
              <w:spacing w:line="500" w:lineRule="exact"/>
              <w:jc w:val="center"/>
              <w:rPr>
                <w:bCs/>
                <w:szCs w:val="21"/>
              </w:rPr>
            </w:pPr>
          </w:p>
        </w:tc>
        <w:tc>
          <w:tcPr>
            <w:tcW w:w="787" w:type="dxa"/>
            <w:vAlign w:val="center"/>
          </w:tcPr>
          <w:p>
            <w:pPr>
              <w:spacing w:line="500" w:lineRule="exact"/>
              <w:jc w:val="center"/>
              <w:rPr>
                <w:bCs/>
                <w:szCs w:val="21"/>
              </w:rPr>
            </w:pPr>
          </w:p>
        </w:tc>
        <w:tc>
          <w:tcPr>
            <w:tcW w:w="740" w:type="dxa"/>
            <w:vAlign w:val="center"/>
          </w:tcPr>
          <w:p>
            <w:pPr>
              <w:spacing w:line="500" w:lineRule="exact"/>
              <w:jc w:val="center"/>
              <w:rPr>
                <w:bCs/>
                <w:szCs w:val="21"/>
              </w:rPr>
            </w:pPr>
          </w:p>
        </w:tc>
        <w:tc>
          <w:tcPr>
            <w:tcW w:w="916" w:type="dxa"/>
            <w:vAlign w:val="center"/>
          </w:tcPr>
          <w:p>
            <w:pPr>
              <w:spacing w:line="500" w:lineRule="exact"/>
              <w:jc w:val="center"/>
              <w:rPr>
                <w:bCs/>
                <w:szCs w:val="21"/>
              </w:rPr>
            </w:pPr>
          </w:p>
        </w:tc>
        <w:tc>
          <w:tcPr>
            <w:tcW w:w="706" w:type="dxa"/>
            <w:vAlign w:val="center"/>
          </w:tcPr>
          <w:p>
            <w:pPr>
              <w:spacing w:line="500" w:lineRule="exact"/>
              <w:jc w:val="center"/>
              <w:rPr>
                <w:bCs/>
                <w:szCs w:val="21"/>
              </w:rPr>
            </w:pPr>
          </w:p>
        </w:tc>
        <w:tc>
          <w:tcPr>
            <w:tcW w:w="674" w:type="dxa"/>
            <w:vAlign w:val="center"/>
          </w:tcPr>
          <w:p>
            <w:pPr>
              <w:spacing w:line="500" w:lineRule="exact"/>
              <w:jc w:val="center"/>
              <w:rPr>
                <w:bCs/>
                <w:szCs w:val="21"/>
              </w:rPr>
            </w:pPr>
          </w:p>
        </w:tc>
        <w:tc>
          <w:tcPr>
            <w:tcW w:w="674" w:type="dxa"/>
            <w:vAlign w:val="center"/>
          </w:tcPr>
          <w:p>
            <w:pPr>
              <w:spacing w:line="500" w:lineRule="exact"/>
              <w:jc w:val="center"/>
              <w:rPr>
                <w:bCs/>
                <w:szCs w:val="21"/>
              </w:rPr>
            </w:pPr>
          </w:p>
        </w:tc>
        <w:tc>
          <w:tcPr>
            <w:tcW w:w="674" w:type="dxa"/>
            <w:vAlign w:val="center"/>
          </w:tcPr>
          <w:p>
            <w:pPr>
              <w:spacing w:line="500" w:lineRule="exact"/>
              <w:jc w:val="center"/>
              <w:rPr>
                <w:bCs/>
                <w:szCs w:val="21"/>
              </w:rPr>
            </w:pPr>
          </w:p>
        </w:tc>
        <w:tc>
          <w:tcPr>
            <w:tcW w:w="674" w:type="dxa"/>
            <w:vAlign w:val="center"/>
          </w:tcPr>
          <w:p>
            <w:pPr>
              <w:spacing w:line="500" w:lineRule="exact"/>
              <w:jc w:val="center"/>
              <w:rPr>
                <w:bCs/>
                <w:szCs w:val="21"/>
              </w:rPr>
            </w:pPr>
          </w:p>
        </w:tc>
        <w:tc>
          <w:tcPr>
            <w:tcW w:w="999" w:type="dxa"/>
            <w:vAlign w:val="center"/>
          </w:tcPr>
          <w:p>
            <w:pPr>
              <w:spacing w:line="500" w:lineRule="exact"/>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787" w:type="dxa"/>
            <w:vAlign w:val="center"/>
          </w:tcPr>
          <w:p>
            <w:pPr>
              <w:spacing w:line="500" w:lineRule="exact"/>
              <w:jc w:val="center"/>
              <w:rPr>
                <w:bCs/>
                <w:szCs w:val="21"/>
              </w:rPr>
            </w:pPr>
          </w:p>
        </w:tc>
        <w:tc>
          <w:tcPr>
            <w:tcW w:w="787" w:type="dxa"/>
            <w:vAlign w:val="center"/>
          </w:tcPr>
          <w:p>
            <w:pPr>
              <w:spacing w:line="500" w:lineRule="exact"/>
              <w:jc w:val="center"/>
              <w:rPr>
                <w:bCs/>
                <w:szCs w:val="21"/>
              </w:rPr>
            </w:pPr>
          </w:p>
        </w:tc>
        <w:tc>
          <w:tcPr>
            <w:tcW w:w="787" w:type="dxa"/>
            <w:vAlign w:val="center"/>
          </w:tcPr>
          <w:p>
            <w:pPr>
              <w:spacing w:line="500" w:lineRule="exact"/>
              <w:jc w:val="center"/>
              <w:rPr>
                <w:bCs/>
                <w:szCs w:val="21"/>
              </w:rPr>
            </w:pPr>
          </w:p>
        </w:tc>
        <w:tc>
          <w:tcPr>
            <w:tcW w:w="787" w:type="dxa"/>
            <w:vAlign w:val="center"/>
          </w:tcPr>
          <w:p>
            <w:pPr>
              <w:spacing w:line="500" w:lineRule="exact"/>
              <w:jc w:val="center"/>
              <w:rPr>
                <w:bCs/>
                <w:szCs w:val="21"/>
              </w:rPr>
            </w:pPr>
          </w:p>
        </w:tc>
        <w:tc>
          <w:tcPr>
            <w:tcW w:w="740" w:type="dxa"/>
            <w:vAlign w:val="center"/>
          </w:tcPr>
          <w:p>
            <w:pPr>
              <w:spacing w:line="500" w:lineRule="exact"/>
              <w:jc w:val="center"/>
              <w:rPr>
                <w:bCs/>
                <w:szCs w:val="21"/>
              </w:rPr>
            </w:pPr>
          </w:p>
        </w:tc>
        <w:tc>
          <w:tcPr>
            <w:tcW w:w="916" w:type="dxa"/>
            <w:vAlign w:val="center"/>
          </w:tcPr>
          <w:p>
            <w:pPr>
              <w:spacing w:line="500" w:lineRule="exact"/>
              <w:jc w:val="center"/>
              <w:rPr>
                <w:bCs/>
                <w:szCs w:val="21"/>
              </w:rPr>
            </w:pPr>
          </w:p>
        </w:tc>
        <w:tc>
          <w:tcPr>
            <w:tcW w:w="706" w:type="dxa"/>
            <w:vAlign w:val="center"/>
          </w:tcPr>
          <w:p>
            <w:pPr>
              <w:spacing w:line="500" w:lineRule="exact"/>
              <w:jc w:val="center"/>
              <w:rPr>
                <w:bCs/>
                <w:szCs w:val="21"/>
              </w:rPr>
            </w:pPr>
          </w:p>
        </w:tc>
        <w:tc>
          <w:tcPr>
            <w:tcW w:w="674" w:type="dxa"/>
            <w:vAlign w:val="center"/>
          </w:tcPr>
          <w:p>
            <w:pPr>
              <w:spacing w:line="500" w:lineRule="exact"/>
              <w:jc w:val="center"/>
              <w:rPr>
                <w:bCs/>
                <w:szCs w:val="21"/>
              </w:rPr>
            </w:pPr>
          </w:p>
        </w:tc>
        <w:tc>
          <w:tcPr>
            <w:tcW w:w="674" w:type="dxa"/>
            <w:vAlign w:val="center"/>
          </w:tcPr>
          <w:p>
            <w:pPr>
              <w:spacing w:line="500" w:lineRule="exact"/>
              <w:jc w:val="center"/>
              <w:rPr>
                <w:bCs/>
                <w:szCs w:val="21"/>
              </w:rPr>
            </w:pPr>
          </w:p>
        </w:tc>
        <w:tc>
          <w:tcPr>
            <w:tcW w:w="674" w:type="dxa"/>
            <w:vAlign w:val="center"/>
          </w:tcPr>
          <w:p>
            <w:pPr>
              <w:spacing w:line="500" w:lineRule="exact"/>
              <w:jc w:val="center"/>
              <w:rPr>
                <w:bCs/>
                <w:szCs w:val="21"/>
              </w:rPr>
            </w:pPr>
          </w:p>
        </w:tc>
        <w:tc>
          <w:tcPr>
            <w:tcW w:w="674" w:type="dxa"/>
            <w:vAlign w:val="center"/>
          </w:tcPr>
          <w:p>
            <w:pPr>
              <w:spacing w:line="500" w:lineRule="exact"/>
              <w:jc w:val="center"/>
              <w:rPr>
                <w:bCs/>
                <w:szCs w:val="21"/>
              </w:rPr>
            </w:pPr>
          </w:p>
        </w:tc>
        <w:tc>
          <w:tcPr>
            <w:tcW w:w="999" w:type="dxa"/>
            <w:vAlign w:val="center"/>
          </w:tcPr>
          <w:p>
            <w:pPr>
              <w:spacing w:line="500" w:lineRule="exact"/>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787" w:type="dxa"/>
            <w:vAlign w:val="center"/>
          </w:tcPr>
          <w:p>
            <w:pPr>
              <w:spacing w:line="500" w:lineRule="exact"/>
              <w:jc w:val="center"/>
              <w:rPr>
                <w:bCs/>
                <w:szCs w:val="21"/>
              </w:rPr>
            </w:pPr>
          </w:p>
        </w:tc>
        <w:tc>
          <w:tcPr>
            <w:tcW w:w="787" w:type="dxa"/>
            <w:vAlign w:val="center"/>
          </w:tcPr>
          <w:p>
            <w:pPr>
              <w:spacing w:line="500" w:lineRule="exact"/>
              <w:jc w:val="center"/>
              <w:rPr>
                <w:bCs/>
                <w:szCs w:val="21"/>
              </w:rPr>
            </w:pPr>
          </w:p>
        </w:tc>
        <w:tc>
          <w:tcPr>
            <w:tcW w:w="787" w:type="dxa"/>
            <w:vAlign w:val="center"/>
          </w:tcPr>
          <w:p>
            <w:pPr>
              <w:spacing w:line="500" w:lineRule="exact"/>
              <w:jc w:val="center"/>
              <w:rPr>
                <w:bCs/>
                <w:szCs w:val="21"/>
              </w:rPr>
            </w:pPr>
          </w:p>
        </w:tc>
        <w:tc>
          <w:tcPr>
            <w:tcW w:w="787" w:type="dxa"/>
            <w:vAlign w:val="center"/>
          </w:tcPr>
          <w:p>
            <w:pPr>
              <w:spacing w:line="500" w:lineRule="exact"/>
              <w:jc w:val="center"/>
              <w:rPr>
                <w:bCs/>
                <w:szCs w:val="21"/>
              </w:rPr>
            </w:pPr>
          </w:p>
        </w:tc>
        <w:tc>
          <w:tcPr>
            <w:tcW w:w="740" w:type="dxa"/>
            <w:vAlign w:val="center"/>
          </w:tcPr>
          <w:p>
            <w:pPr>
              <w:spacing w:line="500" w:lineRule="exact"/>
              <w:jc w:val="center"/>
              <w:rPr>
                <w:bCs/>
                <w:szCs w:val="21"/>
              </w:rPr>
            </w:pPr>
          </w:p>
        </w:tc>
        <w:tc>
          <w:tcPr>
            <w:tcW w:w="916" w:type="dxa"/>
            <w:vAlign w:val="center"/>
          </w:tcPr>
          <w:p>
            <w:pPr>
              <w:spacing w:line="500" w:lineRule="exact"/>
              <w:jc w:val="center"/>
              <w:rPr>
                <w:bCs/>
                <w:szCs w:val="21"/>
              </w:rPr>
            </w:pPr>
          </w:p>
        </w:tc>
        <w:tc>
          <w:tcPr>
            <w:tcW w:w="706" w:type="dxa"/>
            <w:vAlign w:val="center"/>
          </w:tcPr>
          <w:p>
            <w:pPr>
              <w:spacing w:line="500" w:lineRule="exact"/>
              <w:jc w:val="center"/>
              <w:rPr>
                <w:bCs/>
                <w:szCs w:val="21"/>
              </w:rPr>
            </w:pPr>
          </w:p>
        </w:tc>
        <w:tc>
          <w:tcPr>
            <w:tcW w:w="674" w:type="dxa"/>
            <w:vAlign w:val="center"/>
          </w:tcPr>
          <w:p>
            <w:pPr>
              <w:spacing w:line="500" w:lineRule="exact"/>
              <w:jc w:val="center"/>
              <w:rPr>
                <w:bCs/>
                <w:szCs w:val="21"/>
              </w:rPr>
            </w:pPr>
          </w:p>
        </w:tc>
        <w:tc>
          <w:tcPr>
            <w:tcW w:w="674" w:type="dxa"/>
            <w:vAlign w:val="center"/>
          </w:tcPr>
          <w:p>
            <w:pPr>
              <w:spacing w:line="500" w:lineRule="exact"/>
              <w:jc w:val="center"/>
              <w:rPr>
                <w:bCs/>
                <w:szCs w:val="21"/>
              </w:rPr>
            </w:pPr>
          </w:p>
        </w:tc>
        <w:tc>
          <w:tcPr>
            <w:tcW w:w="674" w:type="dxa"/>
            <w:vAlign w:val="center"/>
          </w:tcPr>
          <w:p>
            <w:pPr>
              <w:spacing w:line="500" w:lineRule="exact"/>
              <w:jc w:val="center"/>
              <w:rPr>
                <w:bCs/>
                <w:szCs w:val="21"/>
              </w:rPr>
            </w:pPr>
          </w:p>
        </w:tc>
        <w:tc>
          <w:tcPr>
            <w:tcW w:w="674" w:type="dxa"/>
            <w:vAlign w:val="center"/>
          </w:tcPr>
          <w:p>
            <w:pPr>
              <w:spacing w:line="500" w:lineRule="exact"/>
              <w:jc w:val="center"/>
              <w:rPr>
                <w:bCs/>
                <w:szCs w:val="21"/>
              </w:rPr>
            </w:pPr>
          </w:p>
        </w:tc>
        <w:tc>
          <w:tcPr>
            <w:tcW w:w="999" w:type="dxa"/>
            <w:vAlign w:val="center"/>
          </w:tcPr>
          <w:p>
            <w:pPr>
              <w:spacing w:line="500" w:lineRule="exact"/>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787" w:type="dxa"/>
            <w:vAlign w:val="center"/>
          </w:tcPr>
          <w:p>
            <w:pPr>
              <w:spacing w:line="500" w:lineRule="exact"/>
              <w:jc w:val="center"/>
              <w:rPr>
                <w:bCs/>
                <w:szCs w:val="21"/>
              </w:rPr>
            </w:pPr>
          </w:p>
        </w:tc>
        <w:tc>
          <w:tcPr>
            <w:tcW w:w="787" w:type="dxa"/>
            <w:vAlign w:val="center"/>
          </w:tcPr>
          <w:p>
            <w:pPr>
              <w:spacing w:line="500" w:lineRule="exact"/>
              <w:jc w:val="center"/>
              <w:rPr>
                <w:bCs/>
                <w:szCs w:val="21"/>
              </w:rPr>
            </w:pPr>
          </w:p>
        </w:tc>
        <w:tc>
          <w:tcPr>
            <w:tcW w:w="787" w:type="dxa"/>
            <w:vAlign w:val="center"/>
          </w:tcPr>
          <w:p>
            <w:pPr>
              <w:spacing w:line="500" w:lineRule="exact"/>
              <w:jc w:val="center"/>
              <w:rPr>
                <w:bCs/>
                <w:szCs w:val="21"/>
              </w:rPr>
            </w:pPr>
          </w:p>
        </w:tc>
        <w:tc>
          <w:tcPr>
            <w:tcW w:w="787" w:type="dxa"/>
            <w:vAlign w:val="center"/>
          </w:tcPr>
          <w:p>
            <w:pPr>
              <w:spacing w:line="500" w:lineRule="exact"/>
              <w:jc w:val="center"/>
              <w:rPr>
                <w:bCs/>
                <w:szCs w:val="21"/>
              </w:rPr>
            </w:pPr>
          </w:p>
        </w:tc>
        <w:tc>
          <w:tcPr>
            <w:tcW w:w="740" w:type="dxa"/>
            <w:vAlign w:val="center"/>
          </w:tcPr>
          <w:p>
            <w:pPr>
              <w:spacing w:line="500" w:lineRule="exact"/>
              <w:jc w:val="center"/>
              <w:rPr>
                <w:bCs/>
                <w:szCs w:val="21"/>
              </w:rPr>
            </w:pPr>
          </w:p>
        </w:tc>
        <w:tc>
          <w:tcPr>
            <w:tcW w:w="916" w:type="dxa"/>
            <w:vAlign w:val="center"/>
          </w:tcPr>
          <w:p>
            <w:pPr>
              <w:spacing w:line="500" w:lineRule="exact"/>
              <w:jc w:val="center"/>
              <w:rPr>
                <w:bCs/>
                <w:szCs w:val="21"/>
              </w:rPr>
            </w:pPr>
          </w:p>
        </w:tc>
        <w:tc>
          <w:tcPr>
            <w:tcW w:w="706" w:type="dxa"/>
            <w:vAlign w:val="center"/>
          </w:tcPr>
          <w:p>
            <w:pPr>
              <w:spacing w:line="500" w:lineRule="exact"/>
              <w:jc w:val="center"/>
              <w:rPr>
                <w:bCs/>
                <w:szCs w:val="21"/>
              </w:rPr>
            </w:pPr>
          </w:p>
        </w:tc>
        <w:tc>
          <w:tcPr>
            <w:tcW w:w="674" w:type="dxa"/>
            <w:vAlign w:val="center"/>
          </w:tcPr>
          <w:p>
            <w:pPr>
              <w:spacing w:line="500" w:lineRule="exact"/>
              <w:jc w:val="center"/>
              <w:rPr>
                <w:bCs/>
                <w:szCs w:val="21"/>
              </w:rPr>
            </w:pPr>
          </w:p>
        </w:tc>
        <w:tc>
          <w:tcPr>
            <w:tcW w:w="674" w:type="dxa"/>
            <w:vAlign w:val="center"/>
          </w:tcPr>
          <w:p>
            <w:pPr>
              <w:spacing w:line="500" w:lineRule="exact"/>
              <w:jc w:val="center"/>
              <w:rPr>
                <w:bCs/>
                <w:szCs w:val="21"/>
              </w:rPr>
            </w:pPr>
          </w:p>
        </w:tc>
        <w:tc>
          <w:tcPr>
            <w:tcW w:w="674" w:type="dxa"/>
            <w:vAlign w:val="center"/>
          </w:tcPr>
          <w:p>
            <w:pPr>
              <w:spacing w:line="500" w:lineRule="exact"/>
              <w:jc w:val="center"/>
              <w:rPr>
                <w:bCs/>
                <w:szCs w:val="21"/>
              </w:rPr>
            </w:pPr>
          </w:p>
        </w:tc>
        <w:tc>
          <w:tcPr>
            <w:tcW w:w="674" w:type="dxa"/>
            <w:vAlign w:val="center"/>
          </w:tcPr>
          <w:p>
            <w:pPr>
              <w:spacing w:line="500" w:lineRule="exact"/>
              <w:jc w:val="center"/>
              <w:rPr>
                <w:bCs/>
                <w:szCs w:val="21"/>
              </w:rPr>
            </w:pPr>
          </w:p>
        </w:tc>
        <w:tc>
          <w:tcPr>
            <w:tcW w:w="999" w:type="dxa"/>
            <w:vAlign w:val="center"/>
          </w:tcPr>
          <w:p>
            <w:pPr>
              <w:spacing w:line="500" w:lineRule="exact"/>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787" w:type="dxa"/>
            <w:vAlign w:val="center"/>
          </w:tcPr>
          <w:p>
            <w:pPr>
              <w:spacing w:line="500" w:lineRule="exact"/>
              <w:jc w:val="center"/>
              <w:rPr>
                <w:bCs/>
                <w:szCs w:val="21"/>
              </w:rPr>
            </w:pPr>
          </w:p>
        </w:tc>
        <w:tc>
          <w:tcPr>
            <w:tcW w:w="787" w:type="dxa"/>
            <w:vAlign w:val="center"/>
          </w:tcPr>
          <w:p>
            <w:pPr>
              <w:spacing w:line="500" w:lineRule="exact"/>
              <w:jc w:val="center"/>
              <w:rPr>
                <w:bCs/>
                <w:szCs w:val="21"/>
              </w:rPr>
            </w:pPr>
          </w:p>
        </w:tc>
        <w:tc>
          <w:tcPr>
            <w:tcW w:w="787" w:type="dxa"/>
            <w:vAlign w:val="center"/>
          </w:tcPr>
          <w:p>
            <w:pPr>
              <w:spacing w:line="500" w:lineRule="exact"/>
              <w:jc w:val="center"/>
              <w:rPr>
                <w:bCs/>
                <w:szCs w:val="21"/>
              </w:rPr>
            </w:pPr>
          </w:p>
        </w:tc>
        <w:tc>
          <w:tcPr>
            <w:tcW w:w="787" w:type="dxa"/>
            <w:vAlign w:val="center"/>
          </w:tcPr>
          <w:p>
            <w:pPr>
              <w:spacing w:line="500" w:lineRule="exact"/>
              <w:jc w:val="center"/>
              <w:rPr>
                <w:bCs/>
                <w:szCs w:val="21"/>
              </w:rPr>
            </w:pPr>
          </w:p>
        </w:tc>
        <w:tc>
          <w:tcPr>
            <w:tcW w:w="740" w:type="dxa"/>
            <w:vAlign w:val="center"/>
          </w:tcPr>
          <w:p>
            <w:pPr>
              <w:spacing w:line="500" w:lineRule="exact"/>
              <w:jc w:val="center"/>
              <w:rPr>
                <w:bCs/>
                <w:szCs w:val="21"/>
              </w:rPr>
            </w:pPr>
          </w:p>
        </w:tc>
        <w:tc>
          <w:tcPr>
            <w:tcW w:w="916" w:type="dxa"/>
            <w:vAlign w:val="center"/>
          </w:tcPr>
          <w:p>
            <w:pPr>
              <w:spacing w:line="500" w:lineRule="exact"/>
              <w:jc w:val="center"/>
              <w:rPr>
                <w:bCs/>
                <w:szCs w:val="21"/>
              </w:rPr>
            </w:pPr>
          </w:p>
        </w:tc>
        <w:tc>
          <w:tcPr>
            <w:tcW w:w="706" w:type="dxa"/>
            <w:vAlign w:val="center"/>
          </w:tcPr>
          <w:p>
            <w:pPr>
              <w:spacing w:line="500" w:lineRule="exact"/>
              <w:jc w:val="center"/>
              <w:rPr>
                <w:bCs/>
                <w:szCs w:val="21"/>
              </w:rPr>
            </w:pPr>
          </w:p>
        </w:tc>
        <w:tc>
          <w:tcPr>
            <w:tcW w:w="674" w:type="dxa"/>
            <w:vAlign w:val="center"/>
          </w:tcPr>
          <w:p>
            <w:pPr>
              <w:spacing w:line="500" w:lineRule="exact"/>
              <w:jc w:val="center"/>
              <w:rPr>
                <w:bCs/>
                <w:szCs w:val="21"/>
              </w:rPr>
            </w:pPr>
          </w:p>
        </w:tc>
        <w:tc>
          <w:tcPr>
            <w:tcW w:w="674" w:type="dxa"/>
            <w:vAlign w:val="center"/>
          </w:tcPr>
          <w:p>
            <w:pPr>
              <w:spacing w:line="500" w:lineRule="exact"/>
              <w:jc w:val="center"/>
              <w:rPr>
                <w:bCs/>
                <w:szCs w:val="21"/>
              </w:rPr>
            </w:pPr>
          </w:p>
        </w:tc>
        <w:tc>
          <w:tcPr>
            <w:tcW w:w="674" w:type="dxa"/>
            <w:vAlign w:val="center"/>
          </w:tcPr>
          <w:p>
            <w:pPr>
              <w:spacing w:line="500" w:lineRule="exact"/>
              <w:jc w:val="center"/>
              <w:rPr>
                <w:bCs/>
                <w:szCs w:val="21"/>
              </w:rPr>
            </w:pPr>
          </w:p>
        </w:tc>
        <w:tc>
          <w:tcPr>
            <w:tcW w:w="674" w:type="dxa"/>
            <w:vAlign w:val="center"/>
          </w:tcPr>
          <w:p>
            <w:pPr>
              <w:spacing w:line="500" w:lineRule="exact"/>
              <w:jc w:val="center"/>
              <w:rPr>
                <w:bCs/>
                <w:szCs w:val="21"/>
              </w:rPr>
            </w:pPr>
          </w:p>
        </w:tc>
        <w:tc>
          <w:tcPr>
            <w:tcW w:w="999" w:type="dxa"/>
            <w:vAlign w:val="center"/>
          </w:tcPr>
          <w:p>
            <w:pPr>
              <w:spacing w:line="500" w:lineRule="exact"/>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787" w:type="dxa"/>
            <w:vAlign w:val="center"/>
          </w:tcPr>
          <w:p>
            <w:pPr>
              <w:spacing w:line="500" w:lineRule="exact"/>
              <w:jc w:val="center"/>
              <w:rPr>
                <w:bCs/>
                <w:szCs w:val="21"/>
              </w:rPr>
            </w:pPr>
          </w:p>
        </w:tc>
        <w:tc>
          <w:tcPr>
            <w:tcW w:w="787" w:type="dxa"/>
            <w:vAlign w:val="center"/>
          </w:tcPr>
          <w:p>
            <w:pPr>
              <w:spacing w:line="500" w:lineRule="exact"/>
              <w:jc w:val="center"/>
              <w:rPr>
                <w:bCs/>
                <w:szCs w:val="21"/>
              </w:rPr>
            </w:pPr>
          </w:p>
        </w:tc>
        <w:tc>
          <w:tcPr>
            <w:tcW w:w="787" w:type="dxa"/>
            <w:vAlign w:val="center"/>
          </w:tcPr>
          <w:p>
            <w:pPr>
              <w:spacing w:line="500" w:lineRule="exact"/>
              <w:jc w:val="center"/>
              <w:rPr>
                <w:bCs/>
                <w:szCs w:val="21"/>
              </w:rPr>
            </w:pPr>
          </w:p>
        </w:tc>
        <w:tc>
          <w:tcPr>
            <w:tcW w:w="787" w:type="dxa"/>
            <w:vAlign w:val="center"/>
          </w:tcPr>
          <w:p>
            <w:pPr>
              <w:spacing w:line="500" w:lineRule="exact"/>
              <w:jc w:val="center"/>
              <w:rPr>
                <w:bCs/>
                <w:szCs w:val="21"/>
              </w:rPr>
            </w:pPr>
          </w:p>
        </w:tc>
        <w:tc>
          <w:tcPr>
            <w:tcW w:w="740" w:type="dxa"/>
            <w:vAlign w:val="center"/>
          </w:tcPr>
          <w:p>
            <w:pPr>
              <w:spacing w:line="500" w:lineRule="exact"/>
              <w:jc w:val="center"/>
              <w:rPr>
                <w:bCs/>
                <w:szCs w:val="21"/>
              </w:rPr>
            </w:pPr>
          </w:p>
        </w:tc>
        <w:tc>
          <w:tcPr>
            <w:tcW w:w="916" w:type="dxa"/>
            <w:vAlign w:val="center"/>
          </w:tcPr>
          <w:p>
            <w:pPr>
              <w:spacing w:line="500" w:lineRule="exact"/>
              <w:jc w:val="center"/>
              <w:rPr>
                <w:bCs/>
                <w:szCs w:val="21"/>
              </w:rPr>
            </w:pPr>
          </w:p>
        </w:tc>
        <w:tc>
          <w:tcPr>
            <w:tcW w:w="706" w:type="dxa"/>
            <w:vAlign w:val="center"/>
          </w:tcPr>
          <w:p>
            <w:pPr>
              <w:spacing w:line="500" w:lineRule="exact"/>
              <w:jc w:val="center"/>
              <w:rPr>
                <w:bCs/>
                <w:szCs w:val="21"/>
              </w:rPr>
            </w:pPr>
          </w:p>
        </w:tc>
        <w:tc>
          <w:tcPr>
            <w:tcW w:w="674" w:type="dxa"/>
            <w:vAlign w:val="center"/>
          </w:tcPr>
          <w:p>
            <w:pPr>
              <w:spacing w:line="500" w:lineRule="exact"/>
              <w:jc w:val="center"/>
              <w:rPr>
                <w:bCs/>
                <w:szCs w:val="21"/>
              </w:rPr>
            </w:pPr>
          </w:p>
        </w:tc>
        <w:tc>
          <w:tcPr>
            <w:tcW w:w="674" w:type="dxa"/>
            <w:vAlign w:val="center"/>
          </w:tcPr>
          <w:p>
            <w:pPr>
              <w:spacing w:line="500" w:lineRule="exact"/>
              <w:jc w:val="center"/>
              <w:rPr>
                <w:bCs/>
                <w:szCs w:val="21"/>
              </w:rPr>
            </w:pPr>
          </w:p>
        </w:tc>
        <w:tc>
          <w:tcPr>
            <w:tcW w:w="674" w:type="dxa"/>
            <w:vAlign w:val="center"/>
          </w:tcPr>
          <w:p>
            <w:pPr>
              <w:spacing w:line="500" w:lineRule="exact"/>
              <w:jc w:val="center"/>
              <w:rPr>
                <w:bCs/>
                <w:szCs w:val="21"/>
              </w:rPr>
            </w:pPr>
          </w:p>
        </w:tc>
        <w:tc>
          <w:tcPr>
            <w:tcW w:w="674" w:type="dxa"/>
            <w:vAlign w:val="center"/>
          </w:tcPr>
          <w:p>
            <w:pPr>
              <w:spacing w:line="500" w:lineRule="exact"/>
              <w:jc w:val="center"/>
              <w:rPr>
                <w:bCs/>
                <w:szCs w:val="21"/>
              </w:rPr>
            </w:pPr>
          </w:p>
        </w:tc>
        <w:tc>
          <w:tcPr>
            <w:tcW w:w="999" w:type="dxa"/>
            <w:vAlign w:val="center"/>
          </w:tcPr>
          <w:p>
            <w:pPr>
              <w:spacing w:line="500" w:lineRule="exact"/>
              <w:jc w:val="center"/>
              <w:rPr>
                <w:bCs/>
                <w:szCs w:val="21"/>
              </w:rPr>
            </w:pPr>
          </w:p>
        </w:tc>
      </w:tr>
    </w:tbl>
    <w:p>
      <w:pPr>
        <w:spacing w:line="700" w:lineRule="exact"/>
        <w:jc w:val="center"/>
        <w:rPr>
          <w:rFonts w:ascii="宋体" w:hAnsi="宋体"/>
          <w:b/>
          <w:sz w:val="28"/>
        </w:rPr>
      </w:pPr>
      <w:r>
        <w:rPr>
          <w:rFonts w:hint="eastAsia" w:ascii="宋体" w:hAnsi="宋体"/>
          <w:b/>
          <w:sz w:val="28"/>
        </w:rPr>
        <w:t>（五）拟投入本标段的主要施工机械表</w:t>
      </w:r>
    </w:p>
    <w:p>
      <w:pPr>
        <w:spacing w:line="300" w:lineRule="exact"/>
        <w:ind w:firstLine="420"/>
        <w:jc w:val="center"/>
        <w:rPr>
          <w:rFonts w:ascii="宋体" w:hAnsi="宋体"/>
        </w:rPr>
      </w:pPr>
    </w:p>
    <w:p>
      <w:pPr>
        <w:spacing w:line="700" w:lineRule="exact"/>
        <w:jc w:val="center"/>
        <w:rPr>
          <w:rFonts w:ascii="宋体" w:hAnsi="宋体"/>
          <w:b/>
          <w:sz w:val="28"/>
        </w:rPr>
      </w:pPr>
      <w:r>
        <w:rPr>
          <w:rFonts w:ascii="宋体" w:hAnsi="宋体"/>
          <w:b/>
          <w:sz w:val="28"/>
        </w:rPr>
        <w:br w:type="page"/>
      </w:r>
      <w:r>
        <w:rPr>
          <w:rFonts w:hint="eastAsia" w:ascii="宋体" w:hAnsi="宋体"/>
          <w:b/>
          <w:sz w:val="28"/>
        </w:rPr>
        <w:t>（六）拟配备本标段的主要材料试验、测量、质检仪器设备表</w:t>
      </w:r>
    </w:p>
    <w:p>
      <w:pPr>
        <w:spacing w:line="700" w:lineRule="exact"/>
        <w:jc w:val="center"/>
        <w:rPr>
          <w:rFonts w:ascii="宋体" w:hAnsi="宋体"/>
          <w:b/>
          <w:sz w:val="28"/>
        </w:rPr>
      </w:pPr>
    </w:p>
    <w:tbl>
      <w:tblPr>
        <w:tblStyle w:val="20"/>
        <w:tblW w:w="91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843"/>
        <w:gridCol w:w="1417"/>
        <w:gridCol w:w="709"/>
        <w:gridCol w:w="1276"/>
        <w:gridCol w:w="1134"/>
        <w:gridCol w:w="980"/>
        <w:gridCol w:w="1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exact"/>
          <w:jc w:val="center"/>
        </w:trPr>
        <w:tc>
          <w:tcPr>
            <w:tcW w:w="759" w:type="dxa"/>
            <w:vAlign w:val="center"/>
          </w:tcPr>
          <w:p>
            <w:pPr>
              <w:jc w:val="center"/>
              <w:rPr>
                <w:sz w:val="24"/>
              </w:rPr>
            </w:pPr>
            <w:r>
              <w:rPr>
                <w:rFonts w:hint="eastAsia"/>
                <w:sz w:val="24"/>
              </w:rPr>
              <w:t>序号</w:t>
            </w:r>
          </w:p>
        </w:tc>
        <w:tc>
          <w:tcPr>
            <w:tcW w:w="1843" w:type="dxa"/>
            <w:vAlign w:val="center"/>
          </w:tcPr>
          <w:p>
            <w:pPr>
              <w:jc w:val="center"/>
              <w:rPr>
                <w:sz w:val="24"/>
              </w:rPr>
            </w:pPr>
            <w:r>
              <w:rPr>
                <w:rFonts w:hint="eastAsia"/>
                <w:sz w:val="24"/>
              </w:rPr>
              <w:t>仪器设备名称</w:t>
            </w:r>
          </w:p>
        </w:tc>
        <w:tc>
          <w:tcPr>
            <w:tcW w:w="1417" w:type="dxa"/>
            <w:vAlign w:val="center"/>
          </w:tcPr>
          <w:p>
            <w:pPr>
              <w:jc w:val="center"/>
              <w:rPr>
                <w:sz w:val="24"/>
              </w:rPr>
            </w:pPr>
            <w:r>
              <w:rPr>
                <w:rFonts w:hint="eastAsia"/>
                <w:sz w:val="24"/>
              </w:rPr>
              <w:t>型号规格</w:t>
            </w:r>
          </w:p>
        </w:tc>
        <w:tc>
          <w:tcPr>
            <w:tcW w:w="709" w:type="dxa"/>
            <w:vAlign w:val="center"/>
          </w:tcPr>
          <w:p>
            <w:pPr>
              <w:jc w:val="center"/>
              <w:rPr>
                <w:sz w:val="24"/>
              </w:rPr>
            </w:pPr>
            <w:r>
              <w:rPr>
                <w:rFonts w:hint="eastAsia"/>
                <w:sz w:val="24"/>
              </w:rPr>
              <w:t>数量</w:t>
            </w:r>
          </w:p>
        </w:tc>
        <w:tc>
          <w:tcPr>
            <w:tcW w:w="1276" w:type="dxa"/>
            <w:vAlign w:val="center"/>
          </w:tcPr>
          <w:p>
            <w:pPr>
              <w:jc w:val="center"/>
              <w:rPr>
                <w:sz w:val="24"/>
              </w:rPr>
            </w:pPr>
            <w:r>
              <w:rPr>
                <w:rFonts w:hint="eastAsia"/>
                <w:sz w:val="24"/>
              </w:rPr>
              <w:t>国别产地</w:t>
            </w:r>
          </w:p>
        </w:tc>
        <w:tc>
          <w:tcPr>
            <w:tcW w:w="1134" w:type="dxa"/>
            <w:tcBorders>
              <w:top w:val="single" w:color="auto" w:sz="2" w:space="0"/>
              <w:right w:val="single" w:color="auto" w:sz="2" w:space="0"/>
            </w:tcBorders>
            <w:vAlign w:val="center"/>
          </w:tcPr>
          <w:p>
            <w:pPr>
              <w:jc w:val="center"/>
              <w:rPr>
                <w:sz w:val="24"/>
              </w:rPr>
            </w:pPr>
            <w:r>
              <w:rPr>
                <w:rFonts w:hint="eastAsia"/>
                <w:sz w:val="24"/>
              </w:rPr>
              <w:t>制造年份</w:t>
            </w:r>
          </w:p>
        </w:tc>
        <w:tc>
          <w:tcPr>
            <w:tcW w:w="980" w:type="dxa"/>
            <w:tcBorders>
              <w:top w:val="single" w:color="auto" w:sz="2" w:space="0"/>
              <w:left w:val="single" w:color="auto" w:sz="2" w:space="0"/>
              <w:right w:val="single" w:color="auto" w:sz="2" w:space="0"/>
            </w:tcBorders>
            <w:vAlign w:val="center"/>
          </w:tcPr>
          <w:p>
            <w:pPr>
              <w:jc w:val="center"/>
              <w:rPr>
                <w:sz w:val="24"/>
              </w:rPr>
            </w:pPr>
            <w:r>
              <w:rPr>
                <w:rFonts w:hint="eastAsia"/>
                <w:sz w:val="24"/>
              </w:rPr>
              <w:t>用途</w:t>
            </w:r>
          </w:p>
        </w:tc>
        <w:tc>
          <w:tcPr>
            <w:tcW w:w="1052" w:type="dxa"/>
            <w:tcBorders>
              <w:top w:val="single" w:color="auto" w:sz="2" w:space="0"/>
              <w:left w:val="single" w:color="auto" w:sz="2" w:space="0"/>
            </w:tcBorders>
            <w:vAlign w:val="center"/>
          </w:tcPr>
          <w:p>
            <w:pPr>
              <w:jc w:val="center"/>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jc w:val="center"/>
        </w:trPr>
        <w:tc>
          <w:tcPr>
            <w:tcW w:w="759" w:type="dxa"/>
            <w:vAlign w:val="center"/>
          </w:tcPr>
          <w:p>
            <w:pPr>
              <w:spacing w:line="360" w:lineRule="auto"/>
              <w:jc w:val="center"/>
              <w:rPr>
                <w:szCs w:val="21"/>
              </w:rPr>
            </w:pPr>
          </w:p>
        </w:tc>
        <w:tc>
          <w:tcPr>
            <w:tcW w:w="1843" w:type="dxa"/>
            <w:vAlign w:val="center"/>
          </w:tcPr>
          <w:p>
            <w:pPr>
              <w:spacing w:line="360" w:lineRule="auto"/>
              <w:jc w:val="center"/>
              <w:rPr>
                <w:szCs w:val="21"/>
              </w:rPr>
            </w:pPr>
          </w:p>
        </w:tc>
        <w:tc>
          <w:tcPr>
            <w:tcW w:w="1417" w:type="dxa"/>
            <w:vAlign w:val="center"/>
          </w:tcPr>
          <w:p>
            <w:pPr>
              <w:pStyle w:val="13"/>
              <w:spacing w:line="360" w:lineRule="auto"/>
              <w:jc w:val="center"/>
            </w:pPr>
          </w:p>
        </w:tc>
        <w:tc>
          <w:tcPr>
            <w:tcW w:w="709" w:type="dxa"/>
            <w:vAlign w:val="center"/>
          </w:tcPr>
          <w:p>
            <w:pPr>
              <w:jc w:val="center"/>
              <w:rPr>
                <w:sz w:val="24"/>
              </w:rPr>
            </w:pPr>
          </w:p>
        </w:tc>
        <w:tc>
          <w:tcPr>
            <w:tcW w:w="1276" w:type="dxa"/>
            <w:vAlign w:val="center"/>
          </w:tcPr>
          <w:p>
            <w:pPr>
              <w:jc w:val="center"/>
              <w:rPr>
                <w:sz w:val="24"/>
              </w:rPr>
            </w:pPr>
          </w:p>
        </w:tc>
        <w:tc>
          <w:tcPr>
            <w:tcW w:w="1134" w:type="dxa"/>
            <w:tcBorders>
              <w:right w:val="single" w:color="auto" w:sz="2" w:space="0"/>
            </w:tcBorders>
            <w:vAlign w:val="center"/>
          </w:tcPr>
          <w:p>
            <w:pPr>
              <w:jc w:val="center"/>
              <w:rPr>
                <w:sz w:val="24"/>
              </w:rPr>
            </w:pPr>
          </w:p>
        </w:tc>
        <w:tc>
          <w:tcPr>
            <w:tcW w:w="980" w:type="dxa"/>
            <w:tcBorders>
              <w:left w:val="single" w:color="auto" w:sz="2" w:space="0"/>
              <w:right w:val="single" w:color="auto" w:sz="2" w:space="0"/>
            </w:tcBorders>
            <w:vAlign w:val="center"/>
          </w:tcPr>
          <w:p>
            <w:pPr>
              <w:jc w:val="center"/>
              <w:rPr>
                <w:sz w:val="24"/>
              </w:rPr>
            </w:pPr>
          </w:p>
        </w:tc>
        <w:tc>
          <w:tcPr>
            <w:tcW w:w="1052" w:type="dxa"/>
            <w:tcBorders>
              <w:left w:val="single" w:color="auto" w:sz="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jc w:val="center"/>
        </w:trPr>
        <w:tc>
          <w:tcPr>
            <w:tcW w:w="759" w:type="dxa"/>
            <w:vAlign w:val="center"/>
          </w:tcPr>
          <w:p>
            <w:pPr>
              <w:spacing w:line="360" w:lineRule="auto"/>
              <w:jc w:val="center"/>
              <w:rPr>
                <w:szCs w:val="21"/>
              </w:rPr>
            </w:pPr>
          </w:p>
        </w:tc>
        <w:tc>
          <w:tcPr>
            <w:tcW w:w="1843" w:type="dxa"/>
            <w:vAlign w:val="center"/>
          </w:tcPr>
          <w:p>
            <w:pPr>
              <w:spacing w:line="360" w:lineRule="auto"/>
              <w:jc w:val="center"/>
              <w:rPr>
                <w:szCs w:val="21"/>
              </w:rPr>
            </w:pPr>
          </w:p>
        </w:tc>
        <w:tc>
          <w:tcPr>
            <w:tcW w:w="1417" w:type="dxa"/>
            <w:vAlign w:val="center"/>
          </w:tcPr>
          <w:p>
            <w:pPr>
              <w:pStyle w:val="13"/>
              <w:spacing w:line="360" w:lineRule="auto"/>
              <w:jc w:val="center"/>
            </w:pPr>
          </w:p>
        </w:tc>
        <w:tc>
          <w:tcPr>
            <w:tcW w:w="709" w:type="dxa"/>
            <w:vAlign w:val="center"/>
          </w:tcPr>
          <w:p>
            <w:pPr>
              <w:spacing w:line="360" w:lineRule="auto"/>
              <w:jc w:val="center"/>
              <w:rPr>
                <w:szCs w:val="21"/>
              </w:rPr>
            </w:pPr>
          </w:p>
        </w:tc>
        <w:tc>
          <w:tcPr>
            <w:tcW w:w="1276" w:type="dxa"/>
            <w:vAlign w:val="center"/>
          </w:tcPr>
          <w:p>
            <w:pPr>
              <w:ind w:firstLine="240" w:firstLineChars="100"/>
              <w:rPr>
                <w:sz w:val="24"/>
              </w:rPr>
            </w:pPr>
          </w:p>
        </w:tc>
        <w:tc>
          <w:tcPr>
            <w:tcW w:w="1134" w:type="dxa"/>
            <w:tcBorders>
              <w:right w:val="single" w:color="auto" w:sz="2" w:space="0"/>
            </w:tcBorders>
            <w:vAlign w:val="center"/>
          </w:tcPr>
          <w:p>
            <w:pPr>
              <w:jc w:val="center"/>
              <w:rPr>
                <w:sz w:val="24"/>
              </w:rPr>
            </w:pPr>
          </w:p>
        </w:tc>
        <w:tc>
          <w:tcPr>
            <w:tcW w:w="980" w:type="dxa"/>
            <w:tcBorders>
              <w:left w:val="single" w:color="auto" w:sz="2" w:space="0"/>
              <w:right w:val="single" w:color="auto" w:sz="2" w:space="0"/>
            </w:tcBorders>
            <w:vAlign w:val="center"/>
          </w:tcPr>
          <w:p>
            <w:pPr>
              <w:jc w:val="center"/>
              <w:rPr>
                <w:sz w:val="24"/>
              </w:rPr>
            </w:pPr>
          </w:p>
        </w:tc>
        <w:tc>
          <w:tcPr>
            <w:tcW w:w="1052" w:type="dxa"/>
            <w:tcBorders>
              <w:left w:val="single" w:color="auto" w:sz="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jc w:val="center"/>
        </w:trPr>
        <w:tc>
          <w:tcPr>
            <w:tcW w:w="759" w:type="dxa"/>
            <w:vAlign w:val="center"/>
          </w:tcPr>
          <w:p>
            <w:pPr>
              <w:spacing w:line="360" w:lineRule="auto"/>
              <w:jc w:val="center"/>
              <w:rPr>
                <w:szCs w:val="21"/>
              </w:rPr>
            </w:pPr>
          </w:p>
        </w:tc>
        <w:tc>
          <w:tcPr>
            <w:tcW w:w="1843" w:type="dxa"/>
            <w:vAlign w:val="center"/>
          </w:tcPr>
          <w:p>
            <w:pPr>
              <w:spacing w:line="360" w:lineRule="auto"/>
              <w:jc w:val="center"/>
              <w:rPr>
                <w:szCs w:val="21"/>
              </w:rPr>
            </w:pPr>
          </w:p>
        </w:tc>
        <w:tc>
          <w:tcPr>
            <w:tcW w:w="1417" w:type="dxa"/>
            <w:vAlign w:val="center"/>
          </w:tcPr>
          <w:p>
            <w:pPr>
              <w:pStyle w:val="13"/>
              <w:spacing w:line="360" w:lineRule="auto"/>
              <w:jc w:val="center"/>
              <w:rPr>
                <w:kern w:val="0"/>
                <w:szCs w:val="21"/>
              </w:rPr>
            </w:pPr>
          </w:p>
        </w:tc>
        <w:tc>
          <w:tcPr>
            <w:tcW w:w="709" w:type="dxa"/>
            <w:vAlign w:val="center"/>
          </w:tcPr>
          <w:p>
            <w:pPr>
              <w:spacing w:line="360" w:lineRule="auto"/>
              <w:jc w:val="center"/>
              <w:rPr>
                <w:szCs w:val="21"/>
              </w:rPr>
            </w:pPr>
          </w:p>
        </w:tc>
        <w:tc>
          <w:tcPr>
            <w:tcW w:w="1276" w:type="dxa"/>
            <w:vAlign w:val="center"/>
          </w:tcPr>
          <w:p>
            <w:pPr>
              <w:jc w:val="center"/>
              <w:rPr>
                <w:sz w:val="24"/>
              </w:rPr>
            </w:pPr>
          </w:p>
        </w:tc>
        <w:tc>
          <w:tcPr>
            <w:tcW w:w="1134" w:type="dxa"/>
            <w:tcBorders>
              <w:right w:val="single" w:color="auto" w:sz="2" w:space="0"/>
            </w:tcBorders>
            <w:vAlign w:val="center"/>
          </w:tcPr>
          <w:p>
            <w:pPr>
              <w:jc w:val="center"/>
              <w:rPr>
                <w:sz w:val="24"/>
              </w:rPr>
            </w:pPr>
          </w:p>
        </w:tc>
        <w:tc>
          <w:tcPr>
            <w:tcW w:w="980" w:type="dxa"/>
            <w:tcBorders>
              <w:left w:val="single" w:color="auto" w:sz="2" w:space="0"/>
              <w:right w:val="single" w:color="auto" w:sz="2" w:space="0"/>
            </w:tcBorders>
            <w:vAlign w:val="center"/>
          </w:tcPr>
          <w:p>
            <w:pPr>
              <w:jc w:val="center"/>
              <w:rPr>
                <w:sz w:val="24"/>
              </w:rPr>
            </w:pPr>
          </w:p>
        </w:tc>
        <w:tc>
          <w:tcPr>
            <w:tcW w:w="1052" w:type="dxa"/>
            <w:tcBorders>
              <w:left w:val="single" w:color="auto" w:sz="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jc w:val="center"/>
        </w:trPr>
        <w:tc>
          <w:tcPr>
            <w:tcW w:w="759" w:type="dxa"/>
            <w:vAlign w:val="center"/>
          </w:tcPr>
          <w:p>
            <w:pPr>
              <w:spacing w:line="360" w:lineRule="auto"/>
              <w:jc w:val="center"/>
              <w:rPr>
                <w:szCs w:val="21"/>
              </w:rPr>
            </w:pPr>
          </w:p>
        </w:tc>
        <w:tc>
          <w:tcPr>
            <w:tcW w:w="1843" w:type="dxa"/>
            <w:vAlign w:val="center"/>
          </w:tcPr>
          <w:p>
            <w:pPr>
              <w:spacing w:line="360" w:lineRule="auto"/>
              <w:jc w:val="center"/>
              <w:rPr>
                <w:kern w:val="0"/>
                <w:szCs w:val="21"/>
              </w:rPr>
            </w:pPr>
          </w:p>
        </w:tc>
        <w:tc>
          <w:tcPr>
            <w:tcW w:w="1417" w:type="dxa"/>
            <w:vAlign w:val="center"/>
          </w:tcPr>
          <w:p>
            <w:pPr>
              <w:spacing w:line="360" w:lineRule="auto"/>
              <w:jc w:val="center"/>
              <w:rPr>
                <w:kern w:val="0"/>
                <w:szCs w:val="21"/>
              </w:rPr>
            </w:pPr>
          </w:p>
        </w:tc>
        <w:tc>
          <w:tcPr>
            <w:tcW w:w="709" w:type="dxa"/>
            <w:vAlign w:val="center"/>
          </w:tcPr>
          <w:p>
            <w:pPr>
              <w:spacing w:line="360" w:lineRule="auto"/>
              <w:jc w:val="center"/>
              <w:rPr>
                <w:szCs w:val="21"/>
              </w:rPr>
            </w:pPr>
          </w:p>
        </w:tc>
        <w:tc>
          <w:tcPr>
            <w:tcW w:w="1276" w:type="dxa"/>
            <w:vAlign w:val="center"/>
          </w:tcPr>
          <w:p>
            <w:pPr>
              <w:jc w:val="center"/>
              <w:rPr>
                <w:sz w:val="24"/>
              </w:rPr>
            </w:pPr>
          </w:p>
        </w:tc>
        <w:tc>
          <w:tcPr>
            <w:tcW w:w="1134" w:type="dxa"/>
            <w:tcBorders>
              <w:right w:val="single" w:color="auto" w:sz="2" w:space="0"/>
            </w:tcBorders>
            <w:vAlign w:val="center"/>
          </w:tcPr>
          <w:p>
            <w:pPr>
              <w:jc w:val="center"/>
              <w:rPr>
                <w:sz w:val="24"/>
              </w:rPr>
            </w:pPr>
          </w:p>
        </w:tc>
        <w:tc>
          <w:tcPr>
            <w:tcW w:w="980" w:type="dxa"/>
            <w:tcBorders>
              <w:left w:val="single" w:color="auto" w:sz="2" w:space="0"/>
              <w:right w:val="single" w:color="auto" w:sz="2" w:space="0"/>
            </w:tcBorders>
            <w:vAlign w:val="center"/>
          </w:tcPr>
          <w:p>
            <w:pPr>
              <w:jc w:val="center"/>
              <w:rPr>
                <w:sz w:val="24"/>
              </w:rPr>
            </w:pPr>
          </w:p>
        </w:tc>
        <w:tc>
          <w:tcPr>
            <w:tcW w:w="1052" w:type="dxa"/>
            <w:tcBorders>
              <w:left w:val="single" w:color="auto" w:sz="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jc w:val="center"/>
        </w:trPr>
        <w:tc>
          <w:tcPr>
            <w:tcW w:w="759" w:type="dxa"/>
            <w:vAlign w:val="center"/>
          </w:tcPr>
          <w:p>
            <w:pPr>
              <w:spacing w:line="360" w:lineRule="auto"/>
              <w:jc w:val="center"/>
              <w:rPr>
                <w:szCs w:val="21"/>
              </w:rPr>
            </w:pPr>
          </w:p>
        </w:tc>
        <w:tc>
          <w:tcPr>
            <w:tcW w:w="1843" w:type="dxa"/>
            <w:vAlign w:val="center"/>
          </w:tcPr>
          <w:p>
            <w:pPr>
              <w:spacing w:line="360" w:lineRule="auto"/>
              <w:jc w:val="center"/>
              <w:rPr>
                <w:kern w:val="0"/>
                <w:szCs w:val="21"/>
              </w:rPr>
            </w:pPr>
          </w:p>
        </w:tc>
        <w:tc>
          <w:tcPr>
            <w:tcW w:w="1417" w:type="dxa"/>
            <w:vAlign w:val="center"/>
          </w:tcPr>
          <w:p>
            <w:pPr>
              <w:spacing w:line="360" w:lineRule="auto"/>
              <w:ind w:right="-330" w:rightChars="-157"/>
              <w:jc w:val="center"/>
              <w:rPr>
                <w:kern w:val="0"/>
                <w:szCs w:val="21"/>
              </w:rPr>
            </w:pPr>
          </w:p>
        </w:tc>
        <w:tc>
          <w:tcPr>
            <w:tcW w:w="709" w:type="dxa"/>
            <w:vAlign w:val="center"/>
          </w:tcPr>
          <w:p>
            <w:pPr>
              <w:spacing w:line="360" w:lineRule="auto"/>
              <w:jc w:val="center"/>
              <w:rPr>
                <w:szCs w:val="21"/>
              </w:rPr>
            </w:pPr>
          </w:p>
        </w:tc>
        <w:tc>
          <w:tcPr>
            <w:tcW w:w="1276" w:type="dxa"/>
            <w:vAlign w:val="center"/>
          </w:tcPr>
          <w:p>
            <w:pPr>
              <w:jc w:val="center"/>
              <w:rPr>
                <w:sz w:val="24"/>
              </w:rPr>
            </w:pPr>
          </w:p>
        </w:tc>
        <w:tc>
          <w:tcPr>
            <w:tcW w:w="1134" w:type="dxa"/>
            <w:tcBorders>
              <w:right w:val="single" w:color="auto" w:sz="2" w:space="0"/>
            </w:tcBorders>
            <w:vAlign w:val="center"/>
          </w:tcPr>
          <w:p>
            <w:pPr>
              <w:jc w:val="center"/>
              <w:rPr>
                <w:sz w:val="24"/>
              </w:rPr>
            </w:pPr>
          </w:p>
        </w:tc>
        <w:tc>
          <w:tcPr>
            <w:tcW w:w="980" w:type="dxa"/>
            <w:tcBorders>
              <w:left w:val="single" w:color="auto" w:sz="2" w:space="0"/>
              <w:right w:val="single" w:color="auto" w:sz="2" w:space="0"/>
            </w:tcBorders>
            <w:vAlign w:val="center"/>
          </w:tcPr>
          <w:p>
            <w:pPr>
              <w:jc w:val="center"/>
              <w:rPr>
                <w:sz w:val="24"/>
              </w:rPr>
            </w:pPr>
          </w:p>
        </w:tc>
        <w:tc>
          <w:tcPr>
            <w:tcW w:w="1052" w:type="dxa"/>
            <w:tcBorders>
              <w:left w:val="single" w:color="auto" w:sz="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jc w:val="center"/>
        </w:trPr>
        <w:tc>
          <w:tcPr>
            <w:tcW w:w="759" w:type="dxa"/>
            <w:vAlign w:val="center"/>
          </w:tcPr>
          <w:p>
            <w:pPr>
              <w:spacing w:line="360" w:lineRule="auto"/>
              <w:jc w:val="center"/>
              <w:rPr>
                <w:szCs w:val="21"/>
              </w:rPr>
            </w:pPr>
          </w:p>
        </w:tc>
        <w:tc>
          <w:tcPr>
            <w:tcW w:w="1843" w:type="dxa"/>
            <w:vAlign w:val="center"/>
          </w:tcPr>
          <w:p>
            <w:pPr>
              <w:spacing w:line="360" w:lineRule="auto"/>
              <w:jc w:val="center"/>
              <w:rPr>
                <w:kern w:val="0"/>
                <w:szCs w:val="21"/>
              </w:rPr>
            </w:pPr>
          </w:p>
        </w:tc>
        <w:tc>
          <w:tcPr>
            <w:tcW w:w="1417" w:type="dxa"/>
            <w:vAlign w:val="center"/>
          </w:tcPr>
          <w:p>
            <w:pPr>
              <w:spacing w:line="360" w:lineRule="auto"/>
              <w:jc w:val="center"/>
              <w:rPr>
                <w:kern w:val="0"/>
                <w:szCs w:val="21"/>
              </w:rPr>
            </w:pPr>
          </w:p>
        </w:tc>
        <w:tc>
          <w:tcPr>
            <w:tcW w:w="709" w:type="dxa"/>
            <w:vAlign w:val="center"/>
          </w:tcPr>
          <w:p>
            <w:pPr>
              <w:spacing w:line="360" w:lineRule="auto"/>
              <w:jc w:val="center"/>
              <w:rPr>
                <w:szCs w:val="21"/>
              </w:rPr>
            </w:pPr>
          </w:p>
        </w:tc>
        <w:tc>
          <w:tcPr>
            <w:tcW w:w="1276" w:type="dxa"/>
            <w:vAlign w:val="center"/>
          </w:tcPr>
          <w:p>
            <w:pPr>
              <w:jc w:val="center"/>
              <w:rPr>
                <w:sz w:val="24"/>
              </w:rPr>
            </w:pPr>
          </w:p>
        </w:tc>
        <w:tc>
          <w:tcPr>
            <w:tcW w:w="1134" w:type="dxa"/>
            <w:tcBorders>
              <w:right w:val="single" w:color="auto" w:sz="2" w:space="0"/>
            </w:tcBorders>
            <w:vAlign w:val="center"/>
          </w:tcPr>
          <w:p>
            <w:pPr>
              <w:jc w:val="center"/>
              <w:rPr>
                <w:sz w:val="24"/>
              </w:rPr>
            </w:pPr>
          </w:p>
        </w:tc>
        <w:tc>
          <w:tcPr>
            <w:tcW w:w="980" w:type="dxa"/>
            <w:tcBorders>
              <w:left w:val="single" w:color="auto" w:sz="2" w:space="0"/>
              <w:right w:val="single" w:color="auto" w:sz="2" w:space="0"/>
            </w:tcBorders>
            <w:vAlign w:val="center"/>
          </w:tcPr>
          <w:p>
            <w:pPr>
              <w:jc w:val="center"/>
              <w:rPr>
                <w:sz w:val="24"/>
              </w:rPr>
            </w:pPr>
          </w:p>
        </w:tc>
        <w:tc>
          <w:tcPr>
            <w:tcW w:w="1052" w:type="dxa"/>
            <w:tcBorders>
              <w:left w:val="single" w:color="auto" w:sz="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jc w:val="center"/>
        </w:trPr>
        <w:tc>
          <w:tcPr>
            <w:tcW w:w="759" w:type="dxa"/>
            <w:vAlign w:val="center"/>
          </w:tcPr>
          <w:p>
            <w:pPr>
              <w:spacing w:line="360" w:lineRule="auto"/>
              <w:jc w:val="center"/>
              <w:rPr>
                <w:szCs w:val="21"/>
              </w:rPr>
            </w:pPr>
          </w:p>
        </w:tc>
        <w:tc>
          <w:tcPr>
            <w:tcW w:w="1843" w:type="dxa"/>
            <w:vAlign w:val="center"/>
          </w:tcPr>
          <w:p>
            <w:pPr>
              <w:spacing w:line="360" w:lineRule="auto"/>
              <w:jc w:val="center"/>
              <w:rPr>
                <w:kern w:val="0"/>
                <w:szCs w:val="21"/>
              </w:rPr>
            </w:pPr>
          </w:p>
        </w:tc>
        <w:tc>
          <w:tcPr>
            <w:tcW w:w="1417" w:type="dxa"/>
            <w:vAlign w:val="center"/>
          </w:tcPr>
          <w:p>
            <w:pPr>
              <w:spacing w:line="360" w:lineRule="auto"/>
              <w:jc w:val="center"/>
              <w:rPr>
                <w:kern w:val="0"/>
                <w:szCs w:val="21"/>
              </w:rPr>
            </w:pPr>
          </w:p>
        </w:tc>
        <w:tc>
          <w:tcPr>
            <w:tcW w:w="709" w:type="dxa"/>
            <w:vAlign w:val="center"/>
          </w:tcPr>
          <w:p>
            <w:pPr>
              <w:spacing w:line="360" w:lineRule="auto"/>
              <w:jc w:val="center"/>
              <w:rPr>
                <w:szCs w:val="21"/>
              </w:rPr>
            </w:pPr>
          </w:p>
        </w:tc>
        <w:tc>
          <w:tcPr>
            <w:tcW w:w="1276" w:type="dxa"/>
            <w:vAlign w:val="center"/>
          </w:tcPr>
          <w:p>
            <w:pPr>
              <w:jc w:val="center"/>
              <w:rPr>
                <w:sz w:val="24"/>
              </w:rPr>
            </w:pPr>
          </w:p>
        </w:tc>
        <w:tc>
          <w:tcPr>
            <w:tcW w:w="1134" w:type="dxa"/>
            <w:tcBorders>
              <w:right w:val="single" w:color="auto" w:sz="2" w:space="0"/>
            </w:tcBorders>
            <w:vAlign w:val="center"/>
          </w:tcPr>
          <w:p>
            <w:pPr>
              <w:jc w:val="center"/>
              <w:rPr>
                <w:sz w:val="24"/>
              </w:rPr>
            </w:pPr>
          </w:p>
        </w:tc>
        <w:tc>
          <w:tcPr>
            <w:tcW w:w="980" w:type="dxa"/>
            <w:tcBorders>
              <w:left w:val="single" w:color="auto" w:sz="2" w:space="0"/>
              <w:right w:val="single" w:color="auto" w:sz="2" w:space="0"/>
            </w:tcBorders>
            <w:vAlign w:val="center"/>
          </w:tcPr>
          <w:p>
            <w:pPr>
              <w:jc w:val="center"/>
              <w:rPr>
                <w:sz w:val="24"/>
              </w:rPr>
            </w:pPr>
          </w:p>
        </w:tc>
        <w:tc>
          <w:tcPr>
            <w:tcW w:w="1052" w:type="dxa"/>
            <w:tcBorders>
              <w:left w:val="single" w:color="auto" w:sz="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jc w:val="center"/>
        </w:trPr>
        <w:tc>
          <w:tcPr>
            <w:tcW w:w="759" w:type="dxa"/>
            <w:vAlign w:val="center"/>
          </w:tcPr>
          <w:p>
            <w:pPr>
              <w:spacing w:line="360" w:lineRule="auto"/>
              <w:jc w:val="center"/>
              <w:rPr>
                <w:szCs w:val="21"/>
              </w:rPr>
            </w:pPr>
          </w:p>
        </w:tc>
        <w:tc>
          <w:tcPr>
            <w:tcW w:w="1843" w:type="dxa"/>
            <w:vAlign w:val="center"/>
          </w:tcPr>
          <w:p>
            <w:pPr>
              <w:spacing w:line="360" w:lineRule="auto"/>
              <w:jc w:val="center"/>
              <w:rPr>
                <w:kern w:val="0"/>
                <w:szCs w:val="21"/>
              </w:rPr>
            </w:pPr>
          </w:p>
        </w:tc>
        <w:tc>
          <w:tcPr>
            <w:tcW w:w="1417" w:type="dxa"/>
            <w:vAlign w:val="center"/>
          </w:tcPr>
          <w:p>
            <w:pPr>
              <w:spacing w:line="360" w:lineRule="auto"/>
              <w:jc w:val="center"/>
              <w:rPr>
                <w:kern w:val="0"/>
                <w:szCs w:val="21"/>
              </w:rPr>
            </w:pPr>
          </w:p>
        </w:tc>
        <w:tc>
          <w:tcPr>
            <w:tcW w:w="709" w:type="dxa"/>
            <w:vAlign w:val="center"/>
          </w:tcPr>
          <w:p>
            <w:pPr>
              <w:spacing w:line="360" w:lineRule="auto"/>
              <w:jc w:val="center"/>
              <w:rPr>
                <w:szCs w:val="21"/>
              </w:rPr>
            </w:pPr>
          </w:p>
        </w:tc>
        <w:tc>
          <w:tcPr>
            <w:tcW w:w="1276" w:type="dxa"/>
            <w:vAlign w:val="center"/>
          </w:tcPr>
          <w:p>
            <w:pPr>
              <w:jc w:val="center"/>
              <w:rPr>
                <w:sz w:val="24"/>
              </w:rPr>
            </w:pPr>
          </w:p>
        </w:tc>
        <w:tc>
          <w:tcPr>
            <w:tcW w:w="1134" w:type="dxa"/>
            <w:tcBorders>
              <w:right w:val="single" w:color="auto" w:sz="2" w:space="0"/>
            </w:tcBorders>
            <w:vAlign w:val="center"/>
          </w:tcPr>
          <w:p>
            <w:pPr>
              <w:jc w:val="center"/>
              <w:rPr>
                <w:sz w:val="24"/>
              </w:rPr>
            </w:pPr>
          </w:p>
        </w:tc>
        <w:tc>
          <w:tcPr>
            <w:tcW w:w="980" w:type="dxa"/>
            <w:tcBorders>
              <w:left w:val="single" w:color="auto" w:sz="2" w:space="0"/>
              <w:right w:val="single" w:color="auto" w:sz="2" w:space="0"/>
            </w:tcBorders>
            <w:vAlign w:val="center"/>
          </w:tcPr>
          <w:p>
            <w:pPr>
              <w:jc w:val="center"/>
              <w:rPr>
                <w:sz w:val="24"/>
              </w:rPr>
            </w:pPr>
          </w:p>
        </w:tc>
        <w:tc>
          <w:tcPr>
            <w:tcW w:w="1052" w:type="dxa"/>
            <w:tcBorders>
              <w:left w:val="single" w:color="auto" w:sz="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jc w:val="center"/>
        </w:trPr>
        <w:tc>
          <w:tcPr>
            <w:tcW w:w="759" w:type="dxa"/>
            <w:vAlign w:val="center"/>
          </w:tcPr>
          <w:p>
            <w:pPr>
              <w:spacing w:line="360" w:lineRule="auto"/>
              <w:jc w:val="center"/>
              <w:rPr>
                <w:szCs w:val="21"/>
              </w:rPr>
            </w:pPr>
          </w:p>
        </w:tc>
        <w:tc>
          <w:tcPr>
            <w:tcW w:w="1843" w:type="dxa"/>
            <w:vAlign w:val="center"/>
          </w:tcPr>
          <w:p>
            <w:pPr>
              <w:spacing w:line="360" w:lineRule="auto"/>
              <w:jc w:val="center"/>
              <w:rPr>
                <w:kern w:val="0"/>
                <w:szCs w:val="21"/>
              </w:rPr>
            </w:pPr>
          </w:p>
        </w:tc>
        <w:tc>
          <w:tcPr>
            <w:tcW w:w="1417" w:type="dxa"/>
            <w:vAlign w:val="center"/>
          </w:tcPr>
          <w:p>
            <w:pPr>
              <w:spacing w:line="360" w:lineRule="auto"/>
              <w:jc w:val="center"/>
              <w:rPr>
                <w:kern w:val="0"/>
                <w:szCs w:val="21"/>
              </w:rPr>
            </w:pPr>
          </w:p>
        </w:tc>
        <w:tc>
          <w:tcPr>
            <w:tcW w:w="709" w:type="dxa"/>
            <w:vAlign w:val="center"/>
          </w:tcPr>
          <w:p>
            <w:pPr>
              <w:spacing w:line="360" w:lineRule="auto"/>
              <w:jc w:val="center"/>
              <w:rPr>
                <w:szCs w:val="21"/>
              </w:rPr>
            </w:pPr>
          </w:p>
        </w:tc>
        <w:tc>
          <w:tcPr>
            <w:tcW w:w="1276" w:type="dxa"/>
            <w:vAlign w:val="center"/>
          </w:tcPr>
          <w:p>
            <w:pPr>
              <w:jc w:val="center"/>
              <w:rPr>
                <w:sz w:val="24"/>
              </w:rPr>
            </w:pPr>
          </w:p>
        </w:tc>
        <w:tc>
          <w:tcPr>
            <w:tcW w:w="1134" w:type="dxa"/>
            <w:tcBorders>
              <w:right w:val="single" w:color="auto" w:sz="2" w:space="0"/>
            </w:tcBorders>
            <w:vAlign w:val="center"/>
          </w:tcPr>
          <w:p>
            <w:pPr>
              <w:jc w:val="center"/>
              <w:rPr>
                <w:sz w:val="24"/>
              </w:rPr>
            </w:pPr>
          </w:p>
        </w:tc>
        <w:tc>
          <w:tcPr>
            <w:tcW w:w="980" w:type="dxa"/>
            <w:tcBorders>
              <w:left w:val="single" w:color="auto" w:sz="2" w:space="0"/>
              <w:right w:val="single" w:color="auto" w:sz="2" w:space="0"/>
            </w:tcBorders>
            <w:vAlign w:val="center"/>
          </w:tcPr>
          <w:p>
            <w:pPr>
              <w:jc w:val="center"/>
              <w:rPr>
                <w:sz w:val="24"/>
              </w:rPr>
            </w:pPr>
          </w:p>
        </w:tc>
        <w:tc>
          <w:tcPr>
            <w:tcW w:w="1052" w:type="dxa"/>
            <w:tcBorders>
              <w:left w:val="single" w:color="auto" w:sz="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jc w:val="center"/>
        </w:trPr>
        <w:tc>
          <w:tcPr>
            <w:tcW w:w="759" w:type="dxa"/>
            <w:vAlign w:val="center"/>
          </w:tcPr>
          <w:p>
            <w:pPr>
              <w:spacing w:line="360" w:lineRule="auto"/>
              <w:jc w:val="center"/>
              <w:rPr>
                <w:szCs w:val="21"/>
              </w:rPr>
            </w:pPr>
          </w:p>
        </w:tc>
        <w:tc>
          <w:tcPr>
            <w:tcW w:w="1843" w:type="dxa"/>
            <w:vAlign w:val="center"/>
          </w:tcPr>
          <w:p>
            <w:pPr>
              <w:spacing w:line="360" w:lineRule="auto"/>
              <w:jc w:val="center"/>
              <w:rPr>
                <w:kern w:val="0"/>
                <w:szCs w:val="21"/>
              </w:rPr>
            </w:pPr>
          </w:p>
        </w:tc>
        <w:tc>
          <w:tcPr>
            <w:tcW w:w="1417" w:type="dxa"/>
            <w:vAlign w:val="center"/>
          </w:tcPr>
          <w:p>
            <w:pPr>
              <w:spacing w:line="360" w:lineRule="auto"/>
              <w:jc w:val="center"/>
              <w:rPr>
                <w:kern w:val="0"/>
                <w:szCs w:val="21"/>
              </w:rPr>
            </w:pPr>
          </w:p>
        </w:tc>
        <w:tc>
          <w:tcPr>
            <w:tcW w:w="709" w:type="dxa"/>
            <w:vAlign w:val="center"/>
          </w:tcPr>
          <w:p>
            <w:pPr>
              <w:spacing w:line="360" w:lineRule="auto"/>
              <w:jc w:val="center"/>
              <w:rPr>
                <w:szCs w:val="21"/>
              </w:rPr>
            </w:pPr>
          </w:p>
        </w:tc>
        <w:tc>
          <w:tcPr>
            <w:tcW w:w="1276" w:type="dxa"/>
            <w:vAlign w:val="center"/>
          </w:tcPr>
          <w:p>
            <w:pPr>
              <w:jc w:val="center"/>
              <w:rPr>
                <w:sz w:val="24"/>
              </w:rPr>
            </w:pPr>
          </w:p>
        </w:tc>
        <w:tc>
          <w:tcPr>
            <w:tcW w:w="1134" w:type="dxa"/>
            <w:tcBorders>
              <w:right w:val="single" w:color="auto" w:sz="2" w:space="0"/>
            </w:tcBorders>
            <w:vAlign w:val="center"/>
          </w:tcPr>
          <w:p>
            <w:pPr>
              <w:jc w:val="center"/>
              <w:rPr>
                <w:sz w:val="24"/>
              </w:rPr>
            </w:pPr>
          </w:p>
        </w:tc>
        <w:tc>
          <w:tcPr>
            <w:tcW w:w="980" w:type="dxa"/>
            <w:tcBorders>
              <w:left w:val="single" w:color="auto" w:sz="2" w:space="0"/>
              <w:right w:val="single" w:color="auto" w:sz="2" w:space="0"/>
            </w:tcBorders>
            <w:vAlign w:val="center"/>
          </w:tcPr>
          <w:p>
            <w:pPr>
              <w:jc w:val="center"/>
              <w:rPr>
                <w:sz w:val="24"/>
              </w:rPr>
            </w:pPr>
          </w:p>
        </w:tc>
        <w:tc>
          <w:tcPr>
            <w:tcW w:w="1052" w:type="dxa"/>
            <w:tcBorders>
              <w:left w:val="single" w:color="auto" w:sz="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jc w:val="center"/>
        </w:trPr>
        <w:tc>
          <w:tcPr>
            <w:tcW w:w="759" w:type="dxa"/>
            <w:vAlign w:val="center"/>
          </w:tcPr>
          <w:p>
            <w:pPr>
              <w:spacing w:line="360" w:lineRule="auto"/>
              <w:jc w:val="center"/>
              <w:rPr>
                <w:szCs w:val="21"/>
              </w:rPr>
            </w:pPr>
          </w:p>
        </w:tc>
        <w:tc>
          <w:tcPr>
            <w:tcW w:w="1843" w:type="dxa"/>
            <w:vAlign w:val="center"/>
          </w:tcPr>
          <w:p>
            <w:pPr>
              <w:spacing w:line="360" w:lineRule="auto"/>
              <w:jc w:val="center"/>
              <w:rPr>
                <w:kern w:val="0"/>
                <w:szCs w:val="21"/>
              </w:rPr>
            </w:pPr>
          </w:p>
        </w:tc>
        <w:tc>
          <w:tcPr>
            <w:tcW w:w="1417" w:type="dxa"/>
            <w:vAlign w:val="center"/>
          </w:tcPr>
          <w:p>
            <w:pPr>
              <w:spacing w:line="360" w:lineRule="auto"/>
              <w:jc w:val="center"/>
              <w:rPr>
                <w:kern w:val="0"/>
                <w:szCs w:val="21"/>
              </w:rPr>
            </w:pPr>
          </w:p>
        </w:tc>
        <w:tc>
          <w:tcPr>
            <w:tcW w:w="709" w:type="dxa"/>
            <w:vAlign w:val="center"/>
          </w:tcPr>
          <w:p>
            <w:pPr>
              <w:spacing w:line="360" w:lineRule="auto"/>
              <w:jc w:val="center"/>
              <w:rPr>
                <w:szCs w:val="21"/>
              </w:rPr>
            </w:pPr>
          </w:p>
        </w:tc>
        <w:tc>
          <w:tcPr>
            <w:tcW w:w="1276" w:type="dxa"/>
            <w:vAlign w:val="center"/>
          </w:tcPr>
          <w:p>
            <w:pPr>
              <w:jc w:val="center"/>
              <w:rPr>
                <w:sz w:val="24"/>
              </w:rPr>
            </w:pPr>
          </w:p>
        </w:tc>
        <w:tc>
          <w:tcPr>
            <w:tcW w:w="1134" w:type="dxa"/>
            <w:tcBorders>
              <w:right w:val="single" w:color="auto" w:sz="2" w:space="0"/>
            </w:tcBorders>
            <w:vAlign w:val="center"/>
          </w:tcPr>
          <w:p>
            <w:pPr>
              <w:jc w:val="center"/>
              <w:rPr>
                <w:sz w:val="24"/>
              </w:rPr>
            </w:pPr>
          </w:p>
        </w:tc>
        <w:tc>
          <w:tcPr>
            <w:tcW w:w="980" w:type="dxa"/>
            <w:tcBorders>
              <w:left w:val="single" w:color="auto" w:sz="2" w:space="0"/>
              <w:right w:val="single" w:color="auto" w:sz="2" w:space="0"/>
            </w:tcBorders>
            <w:vAlign w:val="center"/>
          </w:tcPr>
          <w:p>
            <w:pPr>
              <w:jc w:val="center"/>
              <w:rPr>
                <w:sz w:val="24"/>
              </w:rPr>
            </w:pPr>
          </w:p>
        </w:tc>
        <w:tc>
          <w:tcPr>
            <w:tcW w:w="1052" w:type="dxa"/>
            <w:tcBorders>
              <w:left w:val="single" w:color="auto" w:sz="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jc w:val="center"/>
        </w:trPr>
        <w:tc>
          <w:tcPr>
            <w:tcW w:w="759" w:type="dxa"/>
            <w:vAlign w:val="center"/>
          </w:tcPr>
          <w:p>
            <w:pPr>
              <w:spacing w:line="360" w:lineRule="auto"/>
              <w:jc w:val="center"/>
              <w:rPr>
                <w:szCs w:val="21"/>
              </w:rPr>
            </w:pPr>
          </w:p>
        </w:tc>
        <w:tc>
          <w:tcPr>
            <w:tcW w:w="1843" w:type="dxa"/>
            <w:vAlign w:val="center"/>
          </w:tcPr>
          <w:p>
            <w:pPr>
              <w:spacing w:line="360" w:lineRule="auto"/>
              <w:jc w:val="center"/>
              <w:rPr>
                <w:kern w:val="0"/>
                <w:szCs w:val="21"/>
              </w:rPr>
            </w:pPr>
          </w:p>
        </w:tc>
        <w:tc>
          <w:tcPr>
            <w:tcW w:w="1417" w:type="dxa"/>
            <w:vAlign w:val="center"/>
          </w:tcPr>
          <w:p>
            <w:pPr>
              <w:spacing w:line="360" w:lineRule="auto"/>
              <w:jc w:val="center"/>
              <w:rPr>
                <w:kern w:val="0"/>
                <w:szCs w:val="21"/>
              </w:rPr>
            </w:pPr>
          </w:p>
        </w:tc>
        <w:tc>
          <w:tcPr>
            <w:tcW w:w="709" w:type="dxa"/>
            <w:vAlign w:val="center"/>
          </w:tcPr>
          <w:p>
            <w:pPr>
              <w:spacing w:line="360" w:lineRule="auto"/>
              <w:jc w:val="center"/>
              <w:rPr>
                <w:szCs w:val="21"/>
              </w:rPr>
            </w:pPr>
          </w:p>
        </w:tc>
        <w:tc>
          <w:tcPr>
            <w:tcW w:w="1276" w:type="dxa"/>
            <w:vAlign w:val="center"/>
          </w:tcPr>
          <w:p>
            <w:pPr>
              <w:jc w:val="center"/>
              <w:rPr>
                <w:sz w:val="24"/>
              </w:rPr>
            </w:pPr>
          </w:p>
        </w:tc>
        <w:tc>
          <w:tcPr>
            <w:tcW w:w="1134" w:type="dxa"/>
            <w:tcBorders>
              <w:right w:val="single" w:color="auto" w:sz="2" w:space="0"/>
            </w:tcBorders>
            <w:vAlign w:val="center"/>
          </w:tcPr>
          <w:p>
            <w:pPr>
              <w:jc w:val="center"/>
              <w:rPr>
                <w:sz w:val="24"/>
              </w:rPr>
            </w:pPr>
          </w:p>
        </w:tc>
        <w:tc>
          <w:tcPr>
            <w:tcW w:w="980" w:type="dxa"/>
            <w:tcBorders>
              <w:left w:val="single" w:color="auto" w:sz="2" w:space="0"/>
              <w:right w:val="single" w:color="auto" w:sz="2" w:space="0"/>
            </w:tcBorders>
            <w:vAlign w:val="center"/>
          </w:tcPr>
          <w:p>
            <w:pPr>
              <w:jc w:val="center"/>
              <w:rPr>
                <w:sz w:val="24"/>
              </w:rPr>
            </w:pPr>
          </w:p>
        </w:tc>
        <w:tc>
          <w:tcPr>
            <w:tcW w:w="1052" w:type="dxa"/>
            <w:tcBorders>
              <w:left w:val="single" w:color="auto" w:sz="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jc w:val="center"/>
        </w:trPr>
        <w:tc>
          <w:tcPr>
            <w:tcW w:w="759" w:type="dxa"/>
            <w:vAlign w:val="center"/>
          </w:tcPr>
          <w:p>
            <w:pPr>
              <w:spacing w:line="360" w:lineRule="auto"/>
              <w:jc w:val="center"/>
              <w:rPr>
                <w:szCs w:val="21"/>
              </w:rPr>
            </w:pPr>
          </w:p>
        </w:tc>
        <w:tc>
          <w:tcPr>
            <w:tcW w:w="1843" w:type="dxa"/>
            <w:vAlign w:val="center"/>
          </w:tcPr>
          <w:p>
            <w:pPr>
              <w:spacing w:line="360" w:lineRule="auto"/>
              <w:jc w:val="center"/>
              <w:rPr>
                <w:kern w:val="0"/>
                <w:szCs w:val="21"/>
              </w:rPr>
            </w:pPr>
          </w:p>
        </w:tc>
        <w:tc>
          <w:tcPr>
            <w:tcW w:w="1417" w:type="dxa"/>
            <w:vAlign w:val="center"/>
          </w:tcPr>
          <w:p>
            <w:pPr>
              <w:spacing w:line="360" w:lineRule="auto"/>
              <w:jc w:val="center"/>
              <w:rPr>
                <w:kern w:val="0"/>
                <w:szCs w:val="21"/>
              </w:rPr>
            </w:pPr>
          </w:p>
        </w:tc>
        <w:tc>
          <w:tcPr>
            <w:tcW w:w="709" w:type="dxa"/>
            <w:vAlign w:val="center"/>
          </w:tcPr>
          <w:p>
            <w:pPr>
              <w:spacing w:line="360" w:lineRule="auto"/>
              <w:jc w:val="center"/>
              <w:rPr>
                <w:szCs w:val="21"/>
              </w:rPr>
            </w:pPr>
          </w:p>
        </w:tc>
        <w:tc>
          <w:tcPr>
            <w:tcW w:w="1276" w:type="dxa"/>
            <w:vAlign w:val="center"/>
          </w:tcPr>
          <w:p>
            <w:pPr>
              <w:jc w:val="center"/>
              <w:rPr>
                <w:sz w:val="24"/>
              </w:rPr>
            </w:pPr>
          </w:p>
        </w:tc>
        <w:tc>
          <w:tcPr>
            <w:tcW w:w="1134" w:type="dxa"/>
            <w:tcBorders>
              <w:right w:val="single" w:color="auto" w:sz="2" w:space="0"/>
            </w:tcBorders>
            <w:vAlign w:val="center"/>
          </w:tcPr>
          <w:p>
            <w:pPr>
              <w:jc w:val="center"/>
              <w:rPr>
                <w:sz w:val="24"/>
              </w:rPr>
            </w:pPr>
          </w:p>
        </w:tc>
        <w:tc>
          <w:tcPr>
            <w:tcW w:w="980" w:type="dxa"/>
            <w:tcBorders>
              <w:left w:val="single" w:color="auto" w:sz="2" w:space="0"/>
              <w:right w:val="single" w:color="auto" w:sz="2" w:space="0"/>
            </w:tcBorders>
            <w:vAlign w:val="center"/>
          </w:tcPr>
          <w:p>
            <w:pPr>
              <w:jc w:val="center"/>
              <w:rPr>
                <w:sz w:val="24"/>
              </w:rPr>
            </w:pPr>
          </w:p>
        </w:tc>
        <w:tc>
          <w:tcPr>
            <w:tcW w:w="1052" w:type="dxa"/>
            <w:tcBorders>
              <w:left w:val="single" w:color="auto" w:sz="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jc w:val="center"/>
        </w:trPr>
        <w:tc>
          <w:tcPr>
            <w:tcW w:w="759" w:type="dxa"/>
            <w:vAlign w:val="center"/>
          </w:tcPr>
          <w:p>
            <w:pPr>
              <w:spacing w:line="360" w:lineRule="auto"/>
              <w:jc w:val="center"/>
              <w:rPr>
                <w:szCs w:val="21"/>
              </w:rPr>
            </w:pPr>
          </w:p>
        </w:tc>
        <w:tc>
          <w:tcPr>
            <w:tcW w:w="1843" w:type="dxa"/>
            <w:vAlign w:val="center"/>
          </w:tcPr>
          <w:p>
            <w:pPr>
              <w:spacing w:line="360" w:lineRule="auto"/>
              <w:jc w:val="center"/>
              <w:rPr>
                <w:kern w:val="0"/>
                <w:szCs w:val="21"/>
              </w:rPr>
            </w:pPr>
          </w:p>
        </w:tc>
        <w:tc>
          <w:tcPr>
            <w:tcW w:w="1417" w:type="dxa"/>
            <w:vAlign w:val="center"/>
          </w:tcPr>
          <w:p>
            <w:pPr>
              <w:spacing w:line="360" w:lineRule="auto"/>
              <w:jc w:val="center"/>
              <w:rPr>
                <w:kern w:val="0"/>
                <w:szCs w:val="21"/>
              </w:rPr>
            </w:pPr>
          </w:p>
        </w:tc>
        <w:tc>
          <w:tcPr>
            <w:tcW w:w="709" w:type="dxa"/>
            <w:vAlign w:val="center"/>
          </w:tcPr>
          <w:p>
            <w:pPr>
              <w:spacing w:line="360" w:lineRule="auto"/>
              <w:jc w:val="center"/>
              <w:rPr>
                <w:szCs w:val="21"/>
              </w:rPr>
            </w:pPr>
          </w:p>
        </w:tc>
        <w:tc>
          <w:tcPr>
            <w:tcW w:w="1276" w:type="dxa"/>
            <w:vAlign w:val="center"/>
          </w:tcPr>
          <w:p>
            <w:pPr>
              <w:jc w:val="center"/>
              <w:rPr>
                <w:sz w:val="24"/>
              </w:rPr>
            </w:pPr>
          </w:p>
        </w:tc>
        <w:tc>
          <w:tcPr>
            <w:tcW w:w="1134" w:type="dxa"/>
            <w:tcBorders>
              <w:right w:val="single" w:color="auto" w:sz="2" w:space="0"/>
            </w:tcBorders>
            <w:vAlign w:val="center"/>
          </w:tcPr>
          <w:p>
            <w:pPr>
              <w:jc w:val="center"/>
              <w:rPr>
                <w:sz w:val="24"/>
              </w:rPr>
            </w:pPr>
          </w:p>
        </w:tc>
        <w:tc>
          <w:tcPr>
            <w:tcW w:w="980" w:type="dxa"/>
            <w:tcBorders>
              <w:left w:val="single" w:color="auto" w:sz="2" w:space="0"/>
              <w:right w:val="single" w:color="auto" w:sz="2" w:space="0"/>
            </w:tcBorders>
            <w:vAlign w:val="center"/>
          </w:tcPr>
          <w:p>
            <w:pPr>
              <w:jc w:val="center"/>
              <w:rPr>
                <w:sz w:val="24"/>
              </w:rPr>
            </w:pPr>
          </w:p>
        </w:tc>
        <w:tc>
          <w:tcPr>
            <w:tcW w:w="1052" w:type="dxa"/>
            <w:tcBorders>
              <w:left w:val="single" w:color="auto" w:sz="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jc w:val="center"/>
        </w:trPr>
        <w:tc>
          <w:tcPr>
            <w:tcW w:w="759" w:type="dxa"/>
            <w:vAlign w:val="center"/>
          </w:tcPr>
          <w:p>
            <w:pPr>
              <w:spacing w:line="360" w:lineRule="auto"/>
              <w:jc w:val="center"/>
              <w:rPr>
                <w:szCs w:val="21"/>
              </w:rPr>
            </w:pPr>
          </w:p>
        </w:tc>
        <w:tc>
          <w:tcPr>
            <w:tcW w:w="1843" w:type="dxa"/>
            <w:vAlign w:val="center"/>
          </w:tcPr>
          <w:p>
            <w:pPr>
              <w:spacing w:line="360" w:lineRule="auto"/>
              <w:jc w:val="center"/>
              <w:rPr>
                <w:kern w:val="0"/>
                <w:szCs w:val="21"/>
              </w:rPr>
            </w:pPr>
          </w:p>
        </w:tc>
        <w:tc>
          <w:tcPr>
            <w:tcW w:w="1417" w:type="dxa"/>
            <w:vAlign w:val="center"/>
          </w:tcPr>
          <w:p>
            <w:pPr>
              <w:spacing w:line="360" w:lineRule="auto"/>
              <w:jc w:val="center"/>
              <w:rPr>
                <w:kern w:val="0"/>
                <w:szCs w:val="21"/>
              </w:rPr>
            </w:pPr>
          </w:p>
        </w:tc>
        <w:tc>
          <w:tcPr>
            <w:tcW w:w="709" w:type="dxa"/>
            <w:vAlign w:val="center"/>
          </w:tcPr>
          <w:p>
            <w:pPr>
              <w:spacing w:line="360" w:lineRule="auto"/>
              <w:jc w:val="center"/>
              <w:rPr>
                <w:szCs w:val="21"/>
              </w:rPr>
            </w:pPr>
          </w:p>
        </w:tc>
        <w:tc>
          <w:tcPr>
            <w:tcW w:w="1276" w:type="dxa"/>
            <w:vAlign w:val="center"/>
          </w:tcPr>
          <w:p>
            <w:pPr>
              <w:jc w:val="center"/>
              <w:rPr>
                <w:sz w:val="24"/>
              </w:rPr>
            </w:pPr>
          </w:p>
        </w:tc>
        <w:tc>
          <w:tcPr>
            <w:tcW w:w="1134" w:type="dxa"/>
            <w:tcBorders>
              <w:right w:val="single" w:color="auto" w:sz="2" w:space="0"/>
            </w:tcBorders>
            <w:vAlign w:val="center"/>
          </w:tcPr>
          <w:p>
            <w:pPr>
              <w:jc w:val="center"/>
              <w:rPr>
                <w:sz w:val="24"/>
              </w:rPr>
            </w:pPr>
          </w:p>
        </w:tc>
        <w:tc>
          <w:tcPr>
            <w:tcW w:w="980" w:type="dxa"/>
            <w:tcBorders>
              <w:left w:val="single" w:color="auto" w:sz="2" w:space="0"/>
              <w:right w:val="single" w:color="auto" w:sz="2" w:space="0"/>
            </w:tcBorders>
            <w:vAlign w:val="center"/>
          </w:tcPr>
          <w:p>
            <w:pPr>
              <w:jc w:val="center"/>
              <w:rPr>
                <w:sz w:val="24"/>
              </w:rPr>
            </w:pPr>
          </w:p>
        </w:tc>
        <w:tc>
          <w:tcPr>
            <w:tcW w:w="1052" w:type="dxa"/>
            <w:tcBorders>
              <w:left w:val="single" w:color="auto" w:sz="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jc w:val="center"/>
        </w:trPr>
        <w:tc>
          <w:tcPr>
            <w:tcW w:w="759" w:type="dxa"/>
            <w:vAlign w:val="center"/>
          </w:tcPr>
          <w:p>
            <w:pPr>
              <w:spacing w:line="360" w:lineRule="auto"/>
              <w:jc w:val="center"/>
              <w:rPr>
                <w:szCs w:val="21"/>
              </w:rPr>
            </w:pPr>
          </w:p>
        </w:tc>
        <w:tc>
          <w:tcPr>
            <w:tcW w:w="1843" w:type="dxa"/>
            <w:vAlign w:val="center"/>
          </w:tcPr>
          <w:p>
            <w:pPr>
              <w:spacing w:line="360" w:lineRule="auto"/>
              <w:jc w:val="center"/>
              <w:rPr>
                <w:kern w:val="0"/>
                <w:szCs w:val="21"/>
              </w:rPr>
            </w:pPr>
          </w:p>
        </w:tc>
        <w:tc>
          <w:tcPr>
            <w:tcW w:w="1417" w:type="dxa"/>
            <w:vAlign w:val="center"/>
          </w:tcPr>
          <w:p>
            <w:pPr>
              <w:spacing w:line="360" w:lineRule="auto"/>
              <w:jc w:val="center"/>
              <w:rPr>
                <w:szCs w:val="21"/>
              </w:rPr>
            </w:pPr>
          </w:p>
        </w:tc>
        <w:tc>
          <w:tcPr>
            <w:tcW w:w="709" w:type="dxa"/>
            <w:vAlign w:val="center"/>
          </w:tcPr>
          <w:p>
            <w:pPr>
              <w:spacing w:line="360" w:lineRule="auto"/>
              <w:jc w:val="center"/>
              <w:rPr>
                <w:szCs w:val="21"/>
              </w:rPr>
            </w:pPr>
          </w:p>
        </w:tc>
        <w:tc>
          <w:tcPr>
            <w:tcW w:w="1276" w:type="dxa"/>
            <w:vAlign w:val="center"/>
          </w:tcPr>
          <w:p>
            <w:pPr>
              <w:jc w:val="center"/>
              <w:rPr>
                <w:sz w:val="24"/>
              </w:rPr>
            </w:pPr>
          </w:p>
        </w:tc>
        <w:tc>
          <w:tcPr>
            <w:tcW w:w="1134" w:type="dxa"/>
            <w:tcBorders>
              <w:right w:val="single" w:color="auto" w:sz="2" w:space="0"/>
            </w:tcBorders>
            <w:vAlign w:val="center"/>
          </w:tcPr>
          <w:p>
            <w:pPr>
              <w:jc w:val="center"/>
              <w:rPr>
                <w:sz w:val="24"/>
              </w:rPr>
            </w:pPr>
          </w:p>
        </w:tc>
        <w:tc>
          <w:tcPr>
            <w:tcW w:w="980" w:type="dxa"/>
            <w:tcBorders>
              <w:left w:val="single" w:color="auto" w:sz="2" w:space="0"/>
              <w:right w:val="single" w:color="auto" w:sz="2" w:space="0"/>
            </w:tcBorders>
            <w:vAlign w:val="center"/>
          </w:tcPr>
          <w:p>
            <w:pPr>
              <w:jc w:val="center"/>
              <w:rPr>
                <w:sz w:val="24"/>
              </w:rPr>
            </w:pPr>
          </w:p>
        </w:tc>
        <w:tc>
          <w:tcPr>
            <w:tcW w:w="1052" w:type="dxa"/>
            <w:tcBorders>
              <w:left w:val="single" w:color="auto" w:sz="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jc w:val="center"/>
        </w:trPr>
        <w:tc>
          <w:tcPr>
            <w:tcW w:w="759" w:type="dxa"/>
            <w:vAlign w:val="center"/>
          </w:tcPr>
          <w:p>
            <w:pPr>
              <w:spacing w:line="360" w:lineRule="auto"/>
              <w:jc w:val="center"/>
              <w:rPr>
                <w:szCs w:val="21"/>
              </w:rPr>
            </w:pPr>
          </w:p>
        </w:tc>
        <w:tc>
          <w:tcPr>
            <w:tcW w:w="1843" w:type="dxa"/>
            <w:vAlign w:val="center"/>
          </w:tcPr>
          <w:p>
            <w:pPr>
              <w:spacing w:line="360" w:lineRule="auto"/>
              <w:jc w:val="center"/>
              <w:rPr>
                <w:szCs w:val="21"/>
              </w:rPr>
            </w:pPr>
          </w:p>
        </w:tc>
        <w:tc>
          <w:tcPr>
            <w:tcW w:w="1417" w:type="dxa"/>
            <w:vAlign w:val="center"/>
          </w:tcPr>
          <w:p>
            <w:pPr>
              <w:pStyle w:val="13"/>
              <w:spacing w:line="360" w:lineRule="auto"/>
              <w:jc w:val="center"/>
            </w:pPr>
          </w:p>
        </w:tc>
        <w:tc>
          <w:tcPr>
            <w:tcW w:w="709" w:type="dxa"/>
            <w:vAlign w:val="center"/>
          </w:tcPr>
          <w:p>
            <w:pPr>
              <w:jc w:val="center"/>
              <w:rPr>
                <w:sz w:val="24"/>
              </w:rPr>
            </w:pPr>
          </w:p>
        </w:tc>
        <w:tc>
          <w:tcPr>
            <w:tcW w:w="1276" w:type="dxa"/>
            <w:vAlign w:val="center"/>
          </w:tcPr>
          <w:p>
            <w:pPr>
              <w:jc w:val="center"/>
              <w:rPr>
                <w:sz w:val="24"/>
              </w:rPr>
            </w:pPr>
          </w:p>
        </w:tc>
        <w:tc>
          <w:tcPr>
            <w:tcW w:w="1134" w:type="dxa"/>
            <w:tcBorders>
              <w:right w:val="single" w:color="auto" w:sz="2" w:space="0"/>
            </w:tcBorders>
            <w:vAlign w:val="center"/>
          </w:tcPr>
          <w:p>
            <w:pPr>
              <w:jc w:val="center"/>
              <w:rPr>
                <w:sz w:val="24"/>
              </w:rPr>
            </w:pPr>
          </w:p>
        </w:tc>
        <w:tc>
          <w:tcPr>
            <w:tcW w:w="980" w:type="dxa"/>
            <w:tcBorders>
              <w:left w:val="single" w:color="auto" w:sz="2" w:space="0"/>
              <w:right w:val="single" w:color="auto" w:sz="2" w:space="0"/>
            </w:tcBorders>
            <w:vAlign w:val="center"/>
          </w:tcPr>
          <w:p>
            <w:pPr>
              <w:jc w:val="center"/>
              <w:rPr>
                <w:sz w:val="24"/>
              </w:rPr>
            </w:pPr>
          </w:p>
        </w:tc>
        <w:tc>
          <w:tcPr>
            <w:tcW w:w="1052" w:type="dxa"/>
            <w:tcBorders>
              <w:left w:val="single" w:color="auto" w:sz="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jc w:val="center"/>
        </w:trPr>
        <w:tc>
          <w:tcPr>
            <w:tcW w:w="759" w:type="dxa"/>
            <w:vAlign w:val="center"/>
          </w:tcPr>
          <w:p>
            <w:pPr>
              <w:spacing w:line="360" w:lineRule="auto"/>
              <w:jc w:val="center"/>
              <w:rPr>
                <w:szCs w:val="21"/>
              </w:rPr>
            </w:pPr>
          </w:p>
        </w:tc>
        <w:tc>
          <w:tcPr>
            <w:tcW w:w="1843" w:type="dxa"/>
            <w:vAlign w:val="center"/>
          </w:tcPr>
          <w:p>
            <w:pPr>
              <w:spacing w:line="360" w:lineRule="auto"/>
              <w:jc w:val="center"/>
              <w:rPr>
                <w:szCs w:val="21"/>
              </w:rPr>
            </w:pPr>
          </w:p>
        </w:tc>
        <w:tc>
          <w:tcPr>
            <w:tcW w:w="1417" w:type="dxa"/>
            <w:vAlign w:val="center"/>
          </w:tcPr>
          <w:p>
            <w:pPr>
              <w:spacing w:line="360" w:lineRule="auto"/>
              <w:jc w:val="center"/>
              <w:rPr>
                <w:rFonts w:ascii="宋体" w:hAnsi="宋体"/>
              </w:rPr>
            </w:pPr>
          </w:p>
        </w:tc>
        <w:tc>
          <w:tcPr>
            <w:tcW w:w="709" w:type="dxa"/>
            <w:vAlign w:val="center"/>
          </w:tcPr>
          <w:p>
            <w:pPr>
              <w:jc w:val="center"/>
              <w:rPr>
                <w:sz w:val="24"/>
              </w:rPr>
            </w:pPr>
          </w:p>
        </w:tc>
        <w:tc>
          <w:tcPr>
            <w:tcW w:w="1276" w:type="dxa"/>
            <w:vAlign w:val="center"/>
          </w:tcPr>
          <w:p>
            <w:pPr>
              <w:jc w:val="center"/>
              <w:rPr>
                <w:sz w:val="24"/>
              </w:rPr>
            </w:pPr>
          </w:p>
        </w:tc>
        <w:tc>
          <w:tcPr>
            <w:tcW w:w="1134" w:type="dxa"/>
            <w:tcBorders>
              <w:right w:val="single" w:color="auto" w:sz="2" w:space="0"/>
            </w:tcBorders>
            <w:vAlign w:val="center"/>
          </w:tcPr>
          <w:p>
            <w:pPr>
              <w:jc w:val="center"/>
              <w:rPr>
                <w:sz w:val="24"/>
              </w:rPr>
            </w:pPr>
          </w:p>
        </w:tc>
        <w:tc>
          <w:tcPr>
            <w:tcW w:w="980" w:type="dxa"/>
            <w:tcBorders>
              <w:left w:val="single" w:color="auto" w:sz="2" w:space="0"/>
              <w:right w:val="single" w:color="auto" w:sz="2" w:space="0"/>
            </w:tcBorders>
            <w:vAlign w:val="center"/>
          </w:tcPr>
          <w:p>
            <w:pPr>
              <w:jc w:val="center"/>
              <w:rPr>
                <w:sz w:val="24"/>
              </w:rPr>
            </w:pPr>
          </w:p>
        </w:tc>
        <w:tc>
          <w:tcPr>
            <w:tcW w:w="1052" w:type="dxa"/>
            <w:tcBorders>
              <w:left w:val="single" w:color="auto" w:sz="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jc w:val="center"/>
        </w:trPr>
        <w:tc>
          <w:tcPr>
            <w:tcW w:w="759" w:type="dxa"/>
            <w:vAlign w:val="center"/>
          </w:tcPr>
          <w:p>
            <w:pPr>
              <w:spacing w:line="360" w:lineRule="auto"/>
              <w:jc w:val="center"/>
              <w:rPr>
                <w:szCs w:val="21"/>
              </w:rPr>
            </w:pPr>
          </w:p>
        </w:tc>
        <w:tc>
          <w:tcPr>
            <w:tcW w:w="1843" w:type="dxa"/>
            <w:vAlign w:val="center"/>
          </w:tcPr>
          <w:p>
            <w:pPr>
              <w:spacing w:line="360" w:lineRule="auto"/>
              <w:jc w:val="center"/>
              <w:rPr>
                <w:kern w:val="0"/>
                <w:szCs w:val="21"/>
              </w:rPr>
            </w:pPr>
          </w:p>
        </w:tc>
        <w:tc>
          <w:tcPr>
            <w:tcW w:w="1417" w:type="dxa"/>
            <w:vAlign w:val="center"/>
          </w:tcPr>
          <w:p>
            <w:pPr>
              <w:spacing w:line="360" w:lineRule="auto"/>
              <w:jc w:val="center"/>
              <w:rPr>
                <w:kern w:val="0"/>
                <w:szCs w:val="21"/>
              </w:rPr>
            </w:pPr>
          </w:p>
        </w:tc>
        <w:tc>
          <w:tcPr>
            <w:tcW w:w="709" w:type="dxa"/>
            <w:vAlign w:val="center"/>
          </w:tcPr>
          <w:p>
            <w:pPr>
              <w:jc w:val="center"/>
              <w:rPr>
                <w:sz w:val="24"/>
              </w:rPr>
            </w:pPr>
          </w:p>
        </w:tc>
        <w:tc>
          <w:tcPr>
            <w:tcW w:w="1276" w:type="dxa"/>
            <w:vAlign w:val="center"/>
          </w:tcPr>
          <w:p>
            <w:pPr>
              <w:jc w:val="center"/>
              <w:rPr>
                <w:sz w:val="24"/>
              </w:rPr>
            </w:pPr>
          </w:p>
        </w:tc>
        <w:tc>
          <w:tcPr>
            <w:tcW w:w="1134" w:type="dxa"/>
            <w:tcBorders>
              <w:right w:val="single" w:color="auto" w:sz="2" w:space="0"/>
            </w:tcBorders>
            <w:vAlign w:val="center"/>
          </w:tcPr>
          <w:p>
            <w:pPr>
              <w:jc w:val="center"/>
              <w:rPr>
                <w:sz w:val="24"/>
              </w:rPr>
            </w:pPr>
          </w:p>
        </w:tc>
        <w:tc>
          <w:tcPr>
            <w:tcW w:w="980" w:type="dxa"/>
            <w:tcBorders>
              <w:left w:val="single" w:color="auto" w:sz="2" w:space="0"/>
              <w:right w:val="single" w:color="auto" w:sz="2" w:space="0"/>
            </w:tcBorders>
            <w:vAlign w:val="center"/>
          </w:tcPr>
          <w:p>
            <w:pPr>
              <w:jc w:val="center"/>
              <w:rPr>
                <w:sz w:val="24"/>
              </w:rPr>
            </w:pPr>
          </w:p>
        </w:tc>
        <w:tc>
          <w:tcPr>
            <w:tcW w:w="1052" w:type="dxa"/>
            <w:tcBorders>
              <w:left w:val="single" w:color="auto" w:sz="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jc w:val="center"/>
        </w:trPr>
        <w:tc>
          <w:tcPr>
            <w:tcW w:w="759" w:type="dxa"/>
            <w:vAlign w:val="center"/>
          </w:tcPr>
          <w:p>
            <w:pPr>
              <w:spacing w:line="360" w:lineRule="auto"/>
              <w:jc w:val="center"/>
              <w:rPr>
                <w:szCs w:val="21"/>
              </w:rPr>
            </w:pPr>
          </w:p>
        </w:tc>
        <w:tc>
          <w:tcPr>
            <w:tcW w:w="1843" w:type="dxa"/>
            <w:vAlign w:val="center"/>
          </w:tcPr>
          <w:p>
            <w:pPr>
              <w:spacing w:line="360" w:lineRule="auto"/>
              <w:jc w:val="center"/>
              <w:rPr>
                <w:szCs w:val="21"/>
              </w:rPr>
            </w:pPr>
          </w:p>
        </w:tc>
        <w:tc>
          <w:tcPr>
            <w:tcW w:w="1417" w:type="dxa"/>
            <w:vAlign w:val="center"/>
          </w:tcPr>
          <w:p>
            <w:pPr>
              <w:spacing w:line="360" w:lineRule="auto"/>
              <w:jc w:val="center"/>
              <w:rPr>
                <w:rFonts w:ascii="宋体" w:hAnsi="宋体"/>
              </w:rPr>
            </w:pPr>
          </w:p>
        </w:tc>
        <w:tc>
          <w:tcPr>
            <w:tcW w:w="709" w:type="dxa"/>
            <w:vAlign w:val="center"/>
          </w:tcPr>
          <w:p>
            <w:pPr>
              <w:jc w:val="center"/>
              <w:rPr>
                <w:sz w:val="24"/>
              </w:rPr>
            </w:pPr>
          </w:p>
        </w:tc>
        <w:tc>
          <w:tcPr>
            <w:tcW w:w="1276" w:type="dxa"/>
            <w:vAlign w:val="center"/>
          </w:tcPr>
          <w:p>
            <w:pPr>
              <w:jc w:val="center"/>
              <w:rPr>
                <w:sz w:val="24"/>
              </w:rPr>
            </w:pPr>
          </w:p>
        </w:tc>
        <w:tc>
          <w:tcPr>
            <w:tcW w:w="1134" w:type="dxa"/>
            <w:tcBorders>
              <w:right w:val="single" w:color="auto" w:sz="2" w:space="0"/>
            </w:tcBorders>
            <w:vAlign w:val="center"/>
          </w:tcPr>
          <w:p>
            <w:pPr>
              <w:jc w:val="center"/>
              <w:rPr>
                <w:sz w:val="24"/>
              </w:rPr>
            </w:pPr>
          </w:p>
        </w:tc>
        <w:tc>
          <w:tcPr>
            <w:tcW w:w="980" w:type="dxa"/>
            <w:tcBorders>
              <w:left w:val="single" w:color="auto" w:sz="2" w:space="0"/>
              <w:right w:val="single" w:color="auto" w:sz="2" w:space="0"/>
            </w:tcBorders>
            <w:vAlign w:val="center"/>
          </w:tcPr>
          <w:p>
            <w:pPr>
              <w:jc w:val="center"/>
              <w:rPr>
                <w:sz w:val="24"/>
              </w:rPr>
            </w:pPr>
          </w:p>
        </w:tc>
        <w:tc>
          <w:tcPr>
            <w:tcW w:w="1052" w:type="dxa"/>
            <w:tcBorders>
              <w:left w:val="single" w:color="auto" w:sz="2" w:space="0"/>
            </w:tcBorders>
            <w:vAlign w:val="center"/>
          </w:tcPr>
          <w:p>
            <w:pPr>
              <w:jc w:val="center"/>
              <w:rPr>
                <w:sz w:val="24"/>
              </w:rPr>
            </w:pPr>
          </w:p>
        </w:tc>
      </w:tr>
    </w:tbl>
    <w:p>
      <w:pPr>
        <w:spacing w:line="360" w:lineRule="auto"/>
        <w:jc w:val="center"/>
        <w:rPr>
          <w:rFonts w:ascii="黑体" w:eastAsia="黑体"/>
          <w:sz w:val="28"/>
        </w:rPr>
      </w:pPr>
    </w:p>
    <w:p>
      <w:pPr>
        <w:pStyle w:val="6"/>
        <w:keepNext w:val="0"/>
        <w:keepLines w:val="0"/>
        <w:widowControl/>
        <w:spacing w:before="0" w:after="0" w:line="240" w:lineRule="auto"/>
        <w:rPr>
          <w:rFonts w:ascii="黑体" w:eastAsia="黑体"/>
          <w:b w:val="0"/>
        </w:rPr>
      </w:pPr>
    </w:p>
    <w:p>
      <w:pPr>
        <w:pStyle w:val="6"/>
        <w:keepNext w:val="0"/>
        <w:keepLines w:val="0"/>
        <w:widowControl/>
        <w:spacing w:before="0" w:after="0" w:line="240" w:lineRule="auto"/>
        <w:rPr>
          <w:rFonts w:ascii="黑体" w:eastAsia="黑体"/>
          <w:b w:val="0"/>
        </w:rPr>
      </w:pPr>
    </w:p>
    <w:p>
      <w:pPr>
        <w:pStyle w:val="6"/>
        <w:keepNext w:val="0"/>
        <w:keepLines w:val="0"/>
        <w:widowControl/>
        <w:spacing w:before="0" w:after="0" w:line="240" w:lineRule="auto"/>
        <w:jc w:val="center"/>
        <w:rPr>
          <w:rFonts w:ascii="黑体" w:eastAsia="黑体"/>
          <w:b w:val="0"/>
        </w:rPr>
      </w:pPr>
      <w:bookmarkStart w:id="7536" w:name="_Toc15971"/>
      <w:bookmarkStart w:id="7537" w:name="_Toc11559"/>
      <w:bookmarkStart w:id="7538" w:name="_Toc31318"/>
      <w:bookmarkStart w:id="7539" w:name="_Toc13880"/>
      <w:bookmarkStart w:id="7540" w:name="_Toc31038"/>
      <w:bookmarkStart w:id="7541" w:name="_Toc21486"/>
      <w:bookmarkStart w:id="7542" w:name="_Toc3730"/>
      <w:bookmarkStart w:id="7543" w:name="_Toc7094"/>
      <w:bookmarkStart w:id="7544" w:name="_Toc32196"/>
      <w:bookmarkStart w:id="7545" w:name="_Toc32569"/>
      <w:bookmarkStart w:id="7546" w:name="_Toc9392"/>
      <w:bookmarkStart w:id="7547" w:name="_Toc26384"/>
      <w:r>
        <w:rPr>
          <w:rFonts w:hint="eastAsia" w:ascii="黑体" w:eastAsia="黑体"/>
          <w:b w:val="0"/>
        </w:rPr>
        <w:t>（七）财务能力承诺书</w:t>
      </w:r>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p>
    <w:p>
      <w:pPr>
        <w:spacing w:line="360" w:lineRule="exact"/>
        <w:rPr>
          <w:rFonts w:ascii="宋体" w:hAnsi="宋体"/>
          <w:szCs w:val="21"/>
        </w:rPr>
      </w:pPr>
    </w:p>
    <w:p>
      <w:pPr>
        <w:pStyle w:val="6"/>
        <w:keepNext w:val="0"/>
        <w:keepLines w:val="0"/>
        <w:widowControl/>
        <w:spacing w:before="0" w:after="0" w:line="240" w:lineRule="auto"/>
        <w:jc w:val="center"/>
        <w:rPr>
          <w:rFonts w:ascii="黑体" w:eastAsia="黑体"/>
          <w:b w:val="0"/>
        </w:rPr>
      </w:pPr>
      <w:bookmarkStart w:id="7548" w:name="_Toc6159"/>
      <w:bookmarkStart w:id="7549" w:name="_Toc10030"/>
      <w:bookmarkStart w:id="7550" w:name="_Toc1281"/>
      <w:bookmarkStart w:id="7551" w:name="_Toc14136"/>
      <w:r>
        <w:rPr>
          <w:rFonts w:hint="eastAsia" w:ascii="黑体" w:eastAsia="黑体"/>
          <w:b w:val="0"/>
        </w:rPr>
        <w:t>A.承诺书格式</w:t>
      </w:r>
      <w:bookmarkEnd w:id="7548"/>
      <w:bookmarkEnd w:id="7549"/>
      <w:bookmarkEnd w:id="7550"/>
      <w:bookmarkEnd w:id="7551"/>
    </w:p>
    <w:p>
      <w:pPr>
        <w:spacing w:line="420" w:lineRule="exact"/>
        <w:rPr>
          <w:rFonts w:hAnsi="宋体"/>
          <w:sz w:val="24"/>
        </w:rPr>
      </w:pPr>
    </w:p>
    <w:p>
      <w:pPr>
        <w:spacing w:line="420" w:lineRule="exact"/>
        <w:rPr>
          <w:sz w:val="24"/>
        </w:rPr>
      </w:pPr>
      <w:r>
        <w:rPr>
          <w:rFonts w:hAnsi="宋体"/>
          <w:sz w:val="24"/>
        </w:rPr>
        <w:t>致：</w:t>
      </w:r>
      <w:r>
        <w:rPr>
          <w:rFonts w:hAnsi="宋体"/>
          <w:sz w:val="24"/>
          <w:u w:val="single"/>
        </w:rPr>
        <w:t>（招标人全称）</w:t>
      </w:r>
    </w:p>
    <w:p>
      <w:pPr>
        <w:spacing w:line="420" w:lineRule="exact"/>
        <w:rPr>
          <w:sz w:val="24"/>
        </w:rPr>
      </w:pPr>
    </w:p>
    <w:p>
      <w:pPr>
        <w:spacing w:line="420" w:lineRule="exact"/>
        <w:ind w:firstLine="480" w:firstLineChars="200"/>
        <w:rPr>
          <w:sz w:val="24"/>
        </w:rPr>
      </w:pPr>
      <w:r>
        <w:rPr>
          <w:rFonts w:hAnsi="宋体"/>
          <w:sz w:val="24"/>
        </w:rPr>
        <w:t>我谨代表</w:t>
      </w:r>
      <w:r>
        <w:rPr>
          <w:rFonts w:hAnsi="宋体"/>
          <w:sz w:val="24"/>
          <w:u w:val="single"/>
        </w:rPr>
        <w:t>（投标人全称）</w:t>
      </w:r>
      <w:r>
        <w:rPr>
          <w:rFonts w:hAnsi="宋体"/>
          <w:sz w:val="24"/>
        </w:rPr>
        <w:t>郑重承诺：若我单位有幸在</w:t>
      </w:r>
      <w:r>
        <w:rPr>
          <w:rFonts w:hAnsi="宋体"/>
          <w:sz w:val="24"/>
          <w:u w:val="single"/>
        </w:rPr>
        <w:t>（</w:t>
      </w:r>
      <w:r>
        <w:rPr>
          <w:rFonts w:hint="eastAsia" w:hAnsi="宋体"/>
          <w:sz w:val="24"/>
          <w:u w:val="single"/>
        </w:rPr>
        <w:t>养护</w:t>
      </w:r>
      <w:r>
        <w:rPr>
          <w:rFonts w:hAnsi="宋体"/>
          <w:sz w:val="24"/>
          <w:u w:val="single"/>
        </w:rPr>
        <w:t>项目名称）</w:t>
      </w:r>
      <w:r>
        <w:rPr>
          <w:rFonts w:hAnsi="宋体"/>
          <w:sz w:val="24"/>
        </w:rPr>
        <w:t>工程通过资格审查，参与投标活动中中标，将提供人民币（大写）元（</w:t>
      </w:r>
      <w:r>
        <w:rPr>
          <w:sz w:val="24"/>
        </w:rPr>
        <w:t>¥</w:t>
      </w:r>
      <w:r>
        <w:rPr>
          <w:rFonts w:hAnsi="宋体"/>
          <w:sz w:val="24"/>
        </w:rPr>
        <w:t>）的流动资金，供本项目在养护工程需要时使用。</w:t>
      </w:r>
    </w:p>
    <w:p>
      <w:pPr>
        <w:spacing w:line="420" w:lineRule="exact"/>
        <w:ind w:firstLine="480" w:firstLineChars="200"/>
        <w:rPr>
          <w:sz w:val="24"/>
        </w:rPr>
      </w:pPr>
    </w:p>
    <w:p>
      <w:pPr>
        <w:spacing w:line="420" w:lineRule="exact"/>
        <w:rPr>
          <w:sz w:val="24"/>
        </w:rPr>
      </w:pPr>
      <w:r>
        <w:rPr>
          <w:rFonts w:hAnsi="宋体"/>
          <w:sz w:val="24"/>
        </w:rPr>
        <w:t>特此承诺</w:t>
      </w:r>
    </w:p>
    <w:p>
      <w:pPr>
        <w:spacing w:line="360" w:lineRule="exact"/>
        <w:ind w:firstLine="480" w:firstLineChars="200"/>
        <w:rPr>
          <w:sz w:val="24"/>
        </w:rPr>
      </w:pPr>
    </w:p>
    <w:p>
      <w:pPr>
        <w:spacing w:line="360" w:lineRule="exact"/>
        <w:ind w:firstLine="480" w:firstLineChars="200"/>
        <w:rPr>
          <w:sz w:val="24"/>
        </w:rPr>
      </w:pPr>
    </w:p>
    <w:p>
      <w:pPr>
        <w:spacing w:line="360" w:lineRule="exact"/>
        <w:ind w:firstLine="4800" w:firstLineChars="2000"/>
        <w:jc w:val="left"/>
        <w:rPr>
          <w:sz w:val="24"/>
        </w:rPr>
      </w:pPr>
      <w:r>
        <w:rPr>
          <w:rFonts w:hAnsi="宋体"/>
          <w:sz w:val="24"/>
        </w:rPr>
        <w:t>申请人：</w:t>
      </w:r>
    </w:p>
    <w:p>
      <w:pPr>
        <w:spacing w:line="360" w:lineRule="exact"/>
        <w:ind w:firstLine="4800" w:firstLineChars="2000"/>
        <w:jc w:val="left"/>
        <w:rPr>
          <w:sz w:val="24"/>
        </w:rPr>
      </w:pPr>
    </w:p>
    <w:p>
      <w:pPr>
        <w:spacing w:line="360" w:lineRule="exact"/>
        <w:ind w:firstLine="4800" w:firstLineChars="2000"/>
        <w:jc w:val="left"/>
        <w:rPr>
          <w:sz w:val="24"/>
        </w:rPr>
      </w:pPr>
      <w:r>
        <w:rPr>
          <w:rFonts w:hAnsi="宋体"/>
          <w:sz w:val="24"/>
        </w:rPr>
        <w:t>法定代表人</w:t>
      </w:r>
    </w:p>
    <w:p>
      <w:pPr>
        <w:spacing w:line="360" w:lineRule="exact"/>
        <w:ind w:firstLine="4800" w:firstLineChars="2000"/>
        <w:jc w:val="left"/>
        <w:rPr>
          <w:sz w:val="24"/>
          <w:u w:val="single"/>
        </w:rPr>
      </w:pPr>
      <w:r>
        <w:rPr>
          <w:rFonts w:hAnsi="宋体"/>
          <w:sz w:val="24"/>
        </w:rPr>
        <w:t>或其授权代理人：</w:t>
      </w:r>
      <w:r>
        <w:rPr>
          <w:rFonts w:hAnsi="宋体"/>
          <w:sz w:val="24"/>
          <w:u w:val="single"/>
        </w:rPr>
        <w:t>（签字）</w:t>
      </w:r>
    </w:p>
    <w:p>
      <w:pPr>
        <w:spacing w:line="360" w:lineRule="exact"/>
        <w:ind w:firstLine="4800" w:firstLineChars="2000"/>
        <w:jc w:val="left"/>
        <w:rPr>
          <w:sz w:val="24"/>
          <w:u w:val="single"/>
        </w:rPr>
      </w:pPr>
    </w:p>
    <w:p>
      <w:pPr>
        <w:spacing w:line="360" w:lineRule="exact"/>
        <w:ind w:firstLine="4800" w:firstLineChars="2000"/>
        <w:jc w:val="left"/>
        <w:rPr>
          <w:sz w:val="24"/>
        </w:rPr>
      </w:pPr>
      <w:r>
        <w:rPr>
          <w:rFonts w:hAnsi="宋体"/>
          <w:sz w:val="24"/>
        </w:rPr>
        <w:t>日期：年月日</w:t>
      </w:r>
    </w:p>
    <w:p>
      <w:pPr>
        <w:spacing w:line="360" w:lineRule="exact"/>
        <w:rPr>
          <w:szCs w:val="21"/>
        </w:rPr>
      </w:pPr>
    </w:p>
    <w:p>
      <w:pPr>
        <w:spacing w:line="360" w:lineRule="exact"/>
        <w:rPr>
          <w:rFonts w:ascii="黑体" w:hAnsi="宋体" w:eastAsia="黑体"/>
          <w:szCs w:val="21"/>
        </w:rPr>
      </w:pPr>
    </w:p>
    <w:p>
      <w:pPr>
        <w:spacing w:line="360" w:lineRule="exact"/>
        <w:rPr>
          <w:rFonts w:ascii="黑体" w:hAnsi="宋体" w:eastAsia="黑体"/>
          <w:szCs w:val="21"/>
        </w:rPr>
      </w:pPr>
    </w:p>
    <w:p>
      <w:pPr>
        <w:spacing w:line="360" w:lineRule="exact"/>
        <w:rPr>
          <w:rFonts w:ascii="黑体" w:hAnsi="宋体" w:eastAsia="黑体"/>
          <w:szCs w:val="21"/>
        </w:rPr>
      </w:pPr>
    </w:p>
    <w:p>
      <w:pPr>
        <w:spacing w:line="360" w:lineRule="exact"/>
        <w:rPr>
          <w:rFonts w:ascii="黑体" w:hAnsi="宋体" w:eastAsia="黑体"/>
          <w:szCs w:val="21"/>
        </w:rPr>
      </w:pPr>
    </w:p>
    <w:p>
      <w:pPr>
        <w:spacing w:line="360" w:lineRule="exact"/>
        <w:rPr>
          <w:rFonts w:ascii="黑体" w:hAnsi="宋体" w:eastAsia="黑体"/>
          <w:szCs w:val="21"/>
        </w:rPr>
      </w:pPr>
    </w:p>
    <w:p>
      <w:pPr>
        <w:spacing w:line="360" w:lineRule="exact"/>
        <w:rPr>
          <w:rFonts w:ascii="黑体" w:hAnsi="宋体" w:eastAsia="黑体"/>
          <w:szCs w:val="21"/>
        </w:rPr>
      </w:pPr>
    </w:p>
    <w:p>
      <w:pPr>
        <w:spacing w:line="360" w:lineRule="exact"/>
        <w:rPr>
          <w:rFonts w:ascii="黑体" w:hAnsi="宋体" w:eastAsia="黑体"/>
          <w:szCs w:val="21"/>
        </w:rPr>
      </w:pPr>
    </w:p>
    <w:p>
      <w:pPr>
        <w:spacing w:line="360" w:lineRule="exact"/>
        <w:rPr>
          <w:rFonts w:ascii="黑体" w:hAnsi="宋体" w:eastAsia="黑体"/>
          <w:szCs w:val="21"/>
        </w:rPr>
      </w:pPr>
    </w:p>
    <w:p>
      <w:pPr>
        <w:spacing w:line="360" w:lineRule="exact"/>
        <w:rPr>
          <w:rFonts w:ascii="黑体" w:hAnsi="宋体" w:eastAsia="黑体"/>
          <w:szCs w:val="21"/>
        </w:rPr>
      </w:pPr>
    </w:p>
    <w:p>
      <w:pPr>
        <w:spacing w:line="360" w:lineRule="exact"/>
        <w:rPr>
          <w:rFonts w:ascii="黑体" w:hAnsi="宋体" w:eastAsia="黑体"/>
          <w:szCs w:val="21"/>
        </w:rPr>
      </w:pPr>
    </w:p>
    <w:p>
      <w:pPr>
        <w:spacing w:line="360" w:lineRule="exact"/>
        <w:rPr>
          <w:rFonts w:ascii="黑体" w:hAnsi="宋体" w:eastAsia="黑体"/>
          <w:szCs w:val="21"/>
        </w:rPr>
      </w:pPr>
    </w:p>
    <w:p>
      <w:pPr>
        <w:spacing w:line="360" w:lineRule="exact"/>
        <w:rPr>
          <w:rFonts w:ascii="黑体" w:hAnsi="宋体" w:eastAsia="黑体"/>
          <w:szCs w:val="21"/>
        </w:rPr>
      </w:pPr>
    </w:p>
    <w:p>
      <w:pPr>
        <w:spacing w:line="360" w:lineRule="exact"/>
        <w:rPr>
          <w:rFonts w:ascii="黑体" w:hAnsi="宋体" w:eastAsia="黑体"/>
          <w:szCs w:val="21"/>
        </w:rPr>
      </w:pPr>
      <w:r>
        <w:pict>
          <v:line id="_x0000_s1026" o:spid="_x0000_s1026" o:spt="20" style="position:absolute;left:0pt;margin-left:10.4pt;margin-top:13.4pt;height:0pt;width:278.25pt;z-index:251659264;mso-width-relative:page;mso-height-relative:page;" coordsize="21600,21600" o:gfxdata="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i9/IZ9UAAAAIAQAADwAAAAAAAAABACAAAAAiAAAAZHJzL2Rvd25yZXYueG1sUEsB&#10;AhQAFAAAAAgAh07iQIO5Maf4AQAAzQMAAA4AAAAAAAAAAQAgAAAAJAEAAGRycy9lMm9Eb2MueG1s&#10;UEsFBgAAAAAGAAYAWQEAAI4FAAAAAA==&#10;">
            <v:path arrowok="t"/>
            <v:fill focussize="0,0"/>
            <v:stroke weight="0.5pt" joinstyle="miter"/>
            <v:imagedata o:title=""/>
            <o:lock v:ext="edit"/>
          </v:line>
        </w:pict>
      </w:r>
    </w:p>
    <w:p>
      <w:pPr>
        <w:spacing w:line="360" w:lineRule="exact"/>
        <w:ind w:firstLine="360" w:firstLineChars="200"/>
        <w:rPr>
          <w:rFonts w:ascii="宋体" w:hAnsi="宋体"/>
          <w:sz w:val="18"/>
          <w:szCs w:val="18"/>
        </w:rPr>
      </w:pPr>
      <w:r>
        <w:rPr>
          <w:rFonts w:hint="eastAsia" w:ascii="黑体" w:hAnsi="宋体" w:eastAsia="黑体"/>
          <w:sz w:val="18"/>
          <w:szCs w:val="18"/>
        </w:rPr>
        <w:t>注</w:t>
      </w:r>
      <w:r>
        <w:rPr>
          <w:rFonts w:hint="eastAsia" w:ascii="宋体" w:hAnsi="宋体"/>
          <w:sz w:val="18"/>
          <w:szCs w:val="18"/>
        </w:rPr>
        <w:t>：</w:t>
      </w:r>
      <w:r>
        <w:rPr>
          <w:rFonts w:ascii="宋体" w:hAnsi="宋体"/>
          <w:sz w:val="18"/>
          <w:szCs w:val="18"/>
        </w:rPr>
        <w:t>本项目要求</w:t>
      </w:r>
      <w:r>
        <w:rPr>
          <w:rFonts w:hint="eastAsia" w:ascii="宋体" w:hAnsi="宋体"/>
          <w:sz w:val="18"/>
          <w:szCs w:val="18"/>
        </w:rPr>
        <w:t>合同申请人</w:t>
      </w:r>
      <w:r>
        <w:rPr>
          <w:rFonts w:ascii="宋体" w:hAnsi="宋体"/>
          <w:sz w:val="18"/>
          <w:szCs w:val="18"/>
        </w:rPr>
        <w:t>提供不少于人民币</w:t>
      </w:r>
      <w:r>
        <w:rPr>
          <w:rFonts w:hint="eastAsia" w:ascii="宋体" w:hAnsi="宋体"/>
          <w:b/>
          <w:bCs w:val="0"/>
          <w:iCs/>
          <w:color w:val="0000FF"/>
          <w:sz w:val="18"/>
          <w:szCs w:val="18"/>
          <w:u w:val="single"/>
          <w:lang w:val="en-US" w:eastAsia="zh-CN"/>
        </w:rPr>
        <w:t>3</w:t>
      </w:r>
      <w:r>
        <w:rPr>
          <w:rFonts w:hint="eastAsia" w:ascii="宋体" w:hAnsi="宋体"/>
          <w:b/>
          <w:bCs w:val="0"/>
          <w:iCs/>
          <w:color w:val="0000FF"/>
          <w:sz w:val="18"/>
          <w:szCs w:val="18"/>
          <w:u w:val="single"/>
        </w:rPr>
        <w:t xml:space="preserve">00 </w:t>
      </w:r>
      <w:r>
        <w:rPr>
          <w:rFonts w:ascii="宋体" w:hAnsi="宋体"/>
          <w:b/>
          <w:bCs w:val="0"/>
          <w:color w:val="0000FF"/>
          <w:sz w:val="18"/>
          <w:szCs w:val="18"/>
        </w:rPr>
        <w:t>万元</w:t>
      </w:r>
      <w:r>
        <w:rPr>
          <w:rFonts w:ascii="宋体" w:hAnsi="宋体"/>
          <w:sz w:val="18"/>
          <w:szCs w:val="18"/>
        </w:rPr>
        <w:t>流动资金</w:t>
      </w:r>
      <w:bookmarkStart w:id="7552" w:name="_Toc288547034"/>
      <w:bookmarkStart w:id="7553" w:name="_Toc233423383"/>
      <w:bookmarkStart w:id="7554" w:name="_Toc282779381"/>
      <w:bookmarkStart w:id="7555" w:name="_Toc233429900"/>
      <w:bookmarkStart w:id="7556" w:name="_Toc282779890"/>
      <w:bookmarkStart w:id="7557" w:name="_Toc233290498"/>
      <w:bookmarkStart w:id="7558" w:name="_Toc233215053"/>
      <w:bookmarkStart w:id="7559" w:name="_Toc287853731"/>
      <w:bookmarkStart w:id="7560" w:name="_Toc288491909"/>
      <w:bookmarkStart w:id="7561" w:name="_Toc233436039"/>
      <w:bookmarkStart w:id="7562" w:name="_Toc252720337"/>
      <w:bookmarkStart w:id="7563" w:name="_Toc283794578"/>
      <w:bookmarkStart w:id="7564" w:name="_Toc282787845"/>
    </w:p>
    <w:p>
      <w:pPr>
        <w:spacing w:line="360" w:lineRule="exact"/>
        <w:rPr>
          <w:rFonts w:ascii="黑体" w:eastAsia="黑体"/>
          <w:bCs/>
          <w:sz w:val="32"/>
          <w:szCs w:val="32"/>
        </w:rPr>
      </w:pPr>
    </w:p>
    <w:p>
      <w:pPr>
        <w:spacing w:line="360" w:lineRule="exact"/>
        <w:jc w:val="center"/>
        <w:rPr>
          <w:rFonts w:ascii="黑体" w:eastAsia="黑体"/>
          <w:bCs/>
          <w:sz w:val="32"/>
          <w:szCs w:val="32"/>
        </w:rPr>
      </w:pPr>
      <w:r>
        <w:rPr>
          <w:rFonts w:hint="eastAsia" w:ascii="黑体" w:eastAsia="黑体"/>
          <w:bCs/>
          <w:sz w:val="32"/>
          <w:szCs w:val="32"/>
        </w:rPr>
        <w:t xml:space="preserve">  B.银行信贷证明格式①</w:t>
      </w:r>
    </w:p>
    <w:p>
      <w:pPr>
        <w:spacing w:line="420" w:lineRule="exact"/>
        <w:rPr>
          <w:rFonts w:hAnsi="宋体"/>
          <w:sz w:val="24"/>
        </w:rPr>
      </w:pPr>
    </w:p>
    <w:p>
      <w:pPr>
        <w:spacing w:line="420" w:lineRule="exact"/>
        <w:rPr>
          <w:rFonts w:hAnsi="宋体"/>
          <w:sz w:val="24"/>
        </w:rPr>
      </w:pPr>
      <w:r>
        <w:rPr>
          <w:rFonts w:hAnsi="宋体"/>
          <w:sz w:val="24"/>
        </w:rPr>
        <w:t>银行名称：</w:t>
      </w:r>
      <w:r>
        <w:rPr>
          <w:rFonts w:hAnsi="宋体"/>
          <w:sz w:val="24"/>
        </w:rPr>
        <w:tab/>
      </w:r>
    </w:p>
    <w:p>
      <w:pPr>
        <w:spacing w:line="420" w:lineRule="exact"/>
        <w:rPr>
          <w:rFonts w:hAnsi="宋体"/>
          <w:sz w:val="24"/>
        </w:rPr>
      </w:pPr>
      <w:r>
        <w:rPr>
          <w:rFonts w:hAnsi="宋体"/>
          <w:sz w:val="24"/>
        </w:rPr>
        <w:t xml:space="preserve">地  址： </w:t>
      </w:r>
      <w:r>
        <w:rPr>
          <w:rFonts w:hAnsi="宋体"/>
          <w:sz w:val="24"/>
        </w:rPr>
        <w:tab/>
      </w:r>
    </w:p>
    <w:p>
      <w:pPr>
        <w:spacing w:line="360" w:lineRule="exact"/>
        <w:ind w:firstLine="420" w:firstLineChars="200"/>
        <w:rPr>
          <w:rFonts w:ascii="黑体" w:eastAsia="黑体"/>
        </w:rPr>
      </w:pPr>
    </w:p>
    <w:p>
      <w:pPr>
        <w:spacing w:line="420" w:lineRule="exact"/>
        <w:rPr>
          <w:sz w:val="24"/>
        </w:rPr>
      </w:pPr>
      <w:r>
        <w:rPr>
          <w:rFonts w:hAnsi="宋体"/>
          <w:sz w:val="24"/>
        </w:rPr>
        <w:t>致：</w:t>
      </w:r>
      <w:r>
        <w:rPr>
          <w:rFonts w:hAnsi="宋体"/>
          <w:sz w:val="24"/>
          <w:u w:val="single"/>
        </w:rPr>
        <w:t>（招标人全称）</w:t>
      </w:r>
    </w:p>
    <w:p>
      <w:pPr>
        <w:spacing w:line="360" w:lineRule="exact"/>
        <w:ind w:firstLine="420" w:firstLineChars="200"/>
        <w:rPr>
          <w:rFonts w:ascii="黑体" w:eastAsia="黑体"/>
        </w:rPr>
      </w:pPr>
    </w:p>
    <w:p>
      <w:pPr>
        <w:spacing w:line="360" w:lineRule="exact"/>
        <w:rPr>
          <w:rFonts w:ascii="黑体" w:eastAsia="黑体"/>
        </w:rPr>
      </w:pPr>
    </w:p>
    <w:p>
      <w:pPr>
        <w:spacing w:line="420" w:lineRule="exact"/>
        <w:jc w:val="right"/>
        <w:rPr>
          <w:rFonts w:ascii="黑体" w:eastAsia="黑体"/>
        </w:rPr>
      </w:pPr>
      <w:r>
        <w:rPr>
          <w:rFonts w:hAnsi="宋体"/>
          <w:sz w:val="24"/>
        </w:rPr>
        <w:t>日期：</w:t>
      </w:r>
      <w:r>
        <w:rPr>
          <w:rFonts w:hAnsi="宋体"/>
          <w:sz w:val="24"/>
          <w:u w:val="single"/>
        </w:rPr>
        <w:tab/>
      </w:r>
    </w:p>
    <w:p>
      <w:pPr>
        <w:spacing w:line="360" w:lineRule="exact"/>
        <w:ind w:firstLine="420" w:firstLineChars="200"/>
        <w:rPr>
          <w:rFonts w:ascii="黑体" w:eastAsia="黑体"/>
        </w:rPr>
      </w:pPr>
    </w:p>
    <w:p>
      <w:pPr>
        <w:spacing w:line="420" w:lineRule="exact"/>
        <w:ind w:firstLine="480" w:firstLineChars="200"/>
        <w:rPr>
          <w:sz w:val="24"/>
        </w:rPr>
      </w:pPr>
      <w:r>
        <w:rPr>
          <w:sz w:val="24"/>
        </w:rPr>
        <w:t>兹开具最高限额为人民币万元的银行信贷，供</w:t>
      </w:r>
      <w:r>
        <w:rPr>
          <w:sz w:val="24"/>
          <w:u w:val="single"/>
        </w:rPr>
        <w:t xml:space="preserve">   （投标人注册地点）  （投标人名称）</w:t>
      </w:r>
      <w:r>
        <w:rPr>
          <w:sz w:val="24"/>
        </w:rPr>
        <w:t>于</w:t>
      </w:r>
      <w:r>
        <w:rPr>
          <w:sz w:val="24"/>
          <w:u w:val="single"/>
        </w:rPr>
        <w:tab/>
      </w:r>
      <w:r>
        <w:rPr>
          <w:sz w:val="24"/>
        </w:rPr>
        <w:t>年月日之前 ，在</w:t>
      </w:r>
      <w:r>
        <w:rPr>
          <w:sz w:val="24"/>
          <w:u w:val="single"/>
        </w:rPr>
        <w:t xml:space="preserve"> （项目名称）</w:t>
      </w:r>
      <w:r>
        <w:rPr>
          <w:sz w:val="24"/>
        </w:rPr>
        <w:t xml:space="preserve">需要时使用。我行保证由 </w:t>
      </w:r>
      <w:r>
        <w:rPr>
          <w:sz w:val="24"/>
          <w:u w:val="single"/>
        </w:rPr>
        <w:tab/>
      </w:r>
      <w:r>
        <w:rPr>
          <w:sz w:val="24"/>
          <w:u w:val="single"/>
        </w:rPr>
        <w:tab/>
      </w:r>
      <w:r>
        <w:rPr>
          <w:sz w:val="24"/>
          <w:u w:val="single"/>
        </w:rPr>
        <w:t>（投标人名称）</w:t>
      </w:r>
      <w:r>
        <w:rPr>
          <w:sz w:val="24"/>
        </w:rPr>
        <w:t>提供的财务报表中所开列的作为流动资产的各项中无一项包含在上述提到的银行信贷中。</w:t>
      </w:r>
    </w:p>
    <w:p>
      <w:pPr>
        <w:spacing w:line="420" w:lineRule="exact"/>
        <w:rPr>
          <w:sz w:val="24"/>
        </w:rPr>
      </w:pPr>
      <w:r>
        <w:rPr>
          <w:sz w:val="24"/>
        </w:rPr>
        <w:t>此项目若未中标，该信贷证明自动失效，无需退还我行。</w:t>
      </w:r>
    </w:p>
    <w:p>
      <w:pPr>
        <w:spacing w:line="420" w:lineRule="exact"/>
        <w:rPr>
          <w:sz w:val="24"/>
        </w:rPr>
      </w:pPr>
    </w:p>
    <w:p>
      <w:pPr>
        <w:spacing w:line="420" w:lineRule="exact"/>
        <w:ind w:firstLine="4320" w:firstLineChars="1800"/>
        <w:rPr>
          <w:sz w:val="24"/>
        </w:rPr>
      </w:pPr>
      <w:r>
        <w:rPr>
          <w:sz w:val="24"/>
        </w:rPr>
        <w:t>银</w:t>
      </w:r>
      <w:r>
        <w:rPr>
          <w:sz w:val="24"/>
        </w:rPr>
        <w:tab/>
      </w:r>
      <w:r>
        <w:rPr>
          <w:sz w:val="24"/>
        </w:rPr>
        <w:tab/>
      </w:r>
      <w:r>
        <w:rPr>
          <w:sz w:val="24"/>
        </w:rPr>
        <w:t xml:space="preserve">行（盖单位章）： </w:t>
      </w:r>
      <w:r>
        <w:rPr>
          <w:sz w:val="24"/>
        </w:rPr>
        <w:tab/>
      </w:r>
    </w:p>
    <w:p>
      <w:pPr>
        <w:spacing w:line="420" w:lineRule="exact"/>
        <w:ind w:firstLine="4320" w:firstLineChars="1800"/>
        <w:rPr>
          <w:sz w:val="24"/>
        </w:rPr>
      </w:pPr>
      <w:r>
        <w:rPr>
          <w:sz w:val="24"/>
        </w:rPr>
        <w:t xml:space="preserve">银行主要负责人（签字）： </w:t>
      </w:r>
      <w:r>
        <w:rPr>
          <w:sz w:val="24"/>
        </w:rPr>
        <w:tab/>
      </w:r>
    </w:p>
    <w:p>
      <w:pPr>
        <w:spacing w:line="420" w:lineRule="exact"/>
        <w:ind w:firstLine="4320" w:firstLineChars="1800"/>
        <w:rPr>
          <w:sz w:val="24"/>
        </w:rPr>
      </w:pPr>
      <w:r>
        <w:rPr>
          <w:sz w:val="24"/>
        </w:rPr>
        <w:t>银行主要负责人的姓名、职务： （打印）</w:t>
      </w:r>
    </w:p>
    <w:p>
      <w:pPr>
        <w:spacing w:line="420" w:lineRule="exact"/>
        <w:ind w:firstLine="4320" w:firstLineChars="1800"/>
        <w:rPr>
          <w:sz w:val="24"/>
        </w:rPr>
      </w:pPr>
      <w:r>
        <w:rPr>
          <w:sz w:val="24"/>
        </w:rPr>
        <w:t>银</w:t>
      </w:r>
      <w:r>
        <w:rPr>
          <w:sz w:val="24"/>
        </w:rPr>
        <w:tab/>
      </w:r>
      <w:r>
        <w:rPr>
          <w:sz w:val="24"/>
        </w:rPr>
        <w:t>行</w:t>
      </w:r>
      <w:r>
        <w:rPr>
          <w:sz w:val="24"/>
        </w:rPr>
        <w:tab/>
      </w:r>
      <w:r>
        <w:rPr>
          <w:sz w:val="24"/>
        </w:rPr>
        <w:t>电</w:t>
      </w:r>
      <w:r>
        <w:rPr>
          <w:sz w:val="24"/>
        </w:rPr>
        <w:tab/>
      </w:r>
      <w:r>
        <w:rPr>
          <w:sz w:val="24"/>
        </w:rPr>
        <w:t xml:space="preserve">话： </w:t>
      </w:r>
      <w:r>
        <w:rPr>
          <w:sz w:val="24"/>
        </w:rPr>
        <w:tab/>
      </w:r>
    </w:p>
    <w:p>
      <w:pPr>
        <w:spacing w:line="420" w:lineRule="exact"/>
        <w:ind w:firstLine="4320" w:firstLineChars="1800"/>
        <w:rPr>
          <w:sz w:val="24"/>
        </w:rPr>
      </w:pPr>
      <w:r>
        <w:rPr>
          <w:sz w:val="24"/>
        </w:rPr>
        <w:t>银</w:t>
      </w:r>
      <w:r>
        <w:rPr>
          <w:sz w:val="24"/>
        </w:rPr>
        <w:tab/>
      </w:r>
      <w:r>
        <w:rPr>
          <w:sz w:val="24"/>
        </w:rPr>
        <w:t>行</w:t>
      </w:r>
      <w:r>
        <w:rPr>
          <w:sz w:val="24"/>
        </w:rPr>
        <w:tab/>
      </w:r>
      <w:r>
        <w:rPr>
          <w:sz w:val="24"/>
        </w:rPr>
        <w:t>传</w:t>
      </w:r>
      <w:r>
        <w:rPr>
          <w:sz w:val="24"/>
        </w:rPr>
        <w:tab/>
      </w:r>
      <w:r>
        <w:rPr>
          <w:sz w:val="24"/>
        </w:rPr>
        <w:t xml:space="preserve">真： </w:t>
      </w:r>
      <w:r>
        <w:rPr>
          <w:sz w:val="24"/>
        </w:rPr>
        <w:tab/>
      </w:r>
    </w:p>
    <w:p>
      <w:pPr>
        <w:spacing w:line="360" w:lineRule="exact"/>
        <w:ind w:firstLine="420" w:firstLineChars="200"/>
        <w:jc w:val="right"/>
        <w:rPr>
          <w:rFonts w:ascii="黑体" w:eastAsia="黑体"/>
        </w:rPr>
      </w:pPr>
    </w:p>
    <w:p>
      <w:pPr>
        <w:spacing w:line="360" w:lineRule="exact"/>
        <w:rPr>
          <w:rFonts w:ascii="黑体" w:eastAsia="黑体"/>
        </w:rPr>
      </w:pPr>
    </w:p>
    <w:p>
      <w:pPr>
        <w:spacing w:line="360" w:lineRule="exact"/>
        <w:ind w:firstLine="420" w:firstLineChars="200"/>
        <w:rPr>
          <w:rFonts w:ascii="黑体" w:eastAsia="黑体"/>
        </w:rPr>
      </w:pPr>
    </w:p>
    <w:p>
      <w:pPr>
        <w:spacing w:line="420" w:lineRule="exact"/>
        <w:ind w:firstLine="400" w:firstLineChars="200"/>
        <w:rPr>
          <w:sz w:val="20"/>
          <w:szCs w:val="20"/>
        </w:rPr>
      </w:pPr>
      <w:r>
        <w:rPr>
          <w:sz w:val="20"/>
          <w:szCs w:val="20"/>
        </w:rPr>
        <w:t>注：1．允许投标人实际开具的银行信贷证明的格式与提供的本格式有所不同，但不得更改本格式提供的银行信贷证明格式中的实质性内容。</w:t>
      </w:r>
    </w:p>
    <w:p>
      <w:pPr>
        <w:spacing w:line="420" w:lineRule="exact"/>
        <w:ind w:firstLine="400" w:firstLineChars="200"/>
        <w:rPr>
          <w:sz w:val="20"/>
          <w:szCs w:val="20"/>
        </w:rPr>
      </w:pPr>
      <w:r>
        <w:rPr>
          <w:sz w:val="20"/>
          <w:szCs w:val="20"/>
        </w:rPr>
        <w:t>2．银行主要负责人应亲笔签名，不得使用印章、签名者章或其它电子制版签名。否则，视为无效。</w:t>
      </w:r>
    </w:p>
    <w:p>
      <w:pPr>
        <w:spacing w:line="420" w:lineRule="exact"/>
        <w:ind w:firstLine="400" w:firstLineChars="200"/>
        <w:rPr>
          <w:rFonts w:ascii="宋体" w:hAnsi="宋体" w:cs="宋体"/>
          <w:spacing w:val="-16"/>
          <w:kern w:val="0"/>
          <w:sz w:val="16"/>
          <w:szCs w:val="18"/>
        </w:rPr>
      </w:pPr>
      <w:r>
        <w:rPr>
          <w:sz w:val="20"/>
          <w:szCs w:val="20"/>
        </w:rPr>
        <w:t>3．出具银行信贷证明的银行级别：国有或股份制商业银行县（市）级及以上银行。</w:t>
      </w:r>
    </w:p>
    <w:p>
      <w:pPr>
        <w:spacing w:line="360" w:lineRule="exact"/>
        <w:ind w:firstLine="420" w:firstLineChars="200"/>
        <w:rPr>
          <w:rFonts w:ascii="黑体" w:eastAsia="黑体"/>
        </w:rPr>
      </w:pPr>
    </w:p>
    <w:p>
      <w:pPr>
        <w:spacing w:line="360" w:lineRule="exact"/>
        <w:rPr>
          <w:rFonts w:ascii="黑体" w:eastAsia="黑体"/>
          <w:sz w:val="18"/>
          <w:szCs w:val="21"/>
        </w:rPr>
      </w:pPr>
    </w:p>
    <w:p>
      <w:pPr>
        <w:widowControl/>
        <w:spacing w:before="360" w:after="120" w:line="360" w:lineRule="exact"/>
        <w:jc w:val="center"/>
        <w:rPr>
          <w:rFonts w:ascii="黑体" w:eastAsia="黑体"/>
        </w:rPr>
      </w:pPr>
      <w:r>
        <w:rPr>
          <w:rFonts w:hint="eastAsia" w:ascii="黑体" w:eastAsia="黑体"/>
          <w:sz w:val="18"/>
          <w:szCs w:val="21"/>
        </w:rPr>
        <w:t>① 为避免中标人中标后有因流动资金不足而影响养护工程施工情况的发生，招标人可根据项目具体特点和实际情况选择是否要求投标人提供银行信贷证明。如采用银行信贷证明，招标人应在此规定开具银行信贷证明的银行级别。</w:t>
      </w:r>
      <w:bookmarkStart w:id="7565" w:name="_Toc8024"/>
      <w:bookmarkStart w:id="7566" w:name="_Toc31071"/>
      <w:bookmarkStart w:id="7567" w:name="_Toc2326"/>
      <w:bookmarkStart w:id="7568" w:name="_Toc3170"/>
      <w:bookmarkStart w:id="7569" w:name="_Toc22267"/>
      <w:bookmarkStart w:id="7570" w:name="_Toc17503"/>
    </w:p>
    <w:p>
      <w:pPr>
        <w:pStyle w:val="6"/>
        <w:keepNext w:val="0"/>
        <w:keepLines w:val="0"/>
        <w:widowControl/>
        <w:spacing w:before="0" w:after="0" w:line="240" w:lineRule="auto"/>
        <w:jc w:val="center"/>
        <w:rPr>
          <w:rFonts w:ascii="黑体" w:eastAsia="黑体"/>
          <w:b w:val="0"/>
        </w:rPr>
      </w:pPr>
      <w:bookmarkStart w:id="7571" w:name="_Toc32255"/>
      <w:bookmarkStart w:id="7572" w:name="_Toc16219"/>
      <w:bookmarkStart w:id="7573" w:name="_Toc4454"/>
      <w:bookmarkStart w:id="7574" w:name="_Toc5243"/>
      <w:bookmarkStart w:id="7575" w:name="_Toc17902"/>
      <w:bookmarkStart w:id="7576" w:name="_Toc12184"/>
      <w:bookmarkStart w:id="7577" w:name="_Toc29980"/>
      <w:bookmarkStart w:id="7578" w:name="_Toc25861"/>
      <w:bookmarkStart w:id="7579" w:name="_Toc5154"/>
      <w:bookmarkStart w:id="7580" w:name="_Toc21211"/>
      <w:bookmarkStart w:id="7581" w:name="_Toc11304"/>
      <w:bookmarkStart w:id="7582" w:name="_Toc21618"/>
      <w:r>
        <w:rPr>
          <w:rFonts w:hint="eastAsia" w:ascii="黑体" w:eastAsia="黑体"/>
          <w:b w:val="0"/>
        </w:rPr>
        <w:t>（八）近年完成的类似项目情况表</w:t>
      </w:r>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r>
        <w:rPr>
          <w:rFonts w:hint="eastAsia" w:ascii="黑体" w:eastAsia="黑体"/>
          <w:b w:val="0"/>
        </w:rPr>
        <w:t>（如有）</w:t>
      </w:r>
      <w:bookmarkEnd w:id="7582"/>
    </w:p>
    <w:p>
      <w:pPr>
        <w:ind w:right="-23" w:firstLine="300"/>
        <w:rPr>
          <w:sz w:val="10"/>
          <w:u w:val="single"/>
        </w:rPr>
      </w:pPr>
    </w:p>
    <w:tbl>
      <w:tblPr>
        <w:tblStyle w:val="20"/>
        <w:tblW w:w="90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2984"/>
        <w:gridCol w:w="954"/>
        <w:gridCol w:w="1684"/>
        <w:gridCol w:w="1684"/>
        <w:gridCol w:w="1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2" w:hRule="atLeast"/>
          <w:jc w:val="center"/>
        </w:trPr>
        <w:tc>
          <w:tcPr>
            <w:tcW w:w="2984" w:type="dxa"/>
            <w:tcBorders>
              <w:top w:val="single" w:color="auto" w:sz="12" w:space="0"/>
              <w:left w:val="single" w:color="auto" w:sz="12" w:space="0"/>
              <w:bottom w:val="single" w:color="auto" w:sz="6" w:space="0"/>
              <w:right w:val="single" w:color="auto" w:sz="6" w:space="0"/>
            </w:tcBorders>
            <w:vAlign w:val="center"/>
          </w:tcPr>
          <w:p>
            <w:pPr>
              <w:spacing w:line="240" w:lineRule="exact"/>
              <w:jc w:val="center"/>
            </w:pPr>
            <w:r>
              <w:rPr>
                <w:rFonts w:hAnsi="宋体"/>
              </w:rPr>
              <w:t>项目或指标</w:t>
            </w:r>
          </w:p>
        </w:tc>
        <w:tc>
          <w:tcPr>
            <w:tcW w:w="954" w:type="dxa"/>
            <w:tcBorders>
              <w:top w:val="single" w:color="auto" w:sz="12" w:space="0"/>
              <w:left w:val="single" w:color="auto" w:sz="6" w:space="0"/>
              <w:bottom w:val="single" w:color="auto" w:sz="6" w:space="0"/>
              <w:right w:val="single" w:color="auto" w:sz="6" w:space="0"/>
            </w:tcBorders>
            <w:vAlign w:val="center"/>
          </w:tcPr>
          <w:p>
            <w:pPr>
              <w:spacing w:line="240" w:lineRule="exact"/>
              <w:jc w:val="center"/>
            </w:pPr>
            <w:r>
              <w:rPr>
                <w:rFonts w:hAnsi="宋体"/>
              </w:rPr>
              <w:t>单位</w:t>
            </w:r>
          </w:p>
        </w:tc>
        <w:tc>
          <w:tcPr>
            <w:tcW w:w="1684" w:type="dxa"/>
            <w:tcBorders>
              <w:top w:val="single" w:color="auto" w:sz="12" w:space="0"/>
              <w:left w:val="single" w:color="auto" w:sz="6" w:space="0"/>
              <w:bottom w:val="single" w:color="auto" w:sz="6" w:space="0"/>
              <w:right w:val="single" w:color="auto" w:sz="6" w:space="0"/>
            </w:tcBorders>
            <w:vAlign w:val="center"/>
          </w:tcPr>
          <w:p>
            <w:pPr>
              <w:spacing w:line="240" w:lineRule="exact"/>
              <w:jc w:val="center"/>
            </w:pPr>
            <w:r>
              <w:t>1</w:t>
            </w:r>
          </w:p>
        </w:tc>
        <w:tc>
          <w:tcPr>
            <w:tcW w:w="1684" w:type="dxa"/>
            <w:tcBorders>
              <w:top w:val="single" w:color="auto" w:sz="12" w:space="0"/>
              <w:left w:val="single" w:color="auto" w:sz="6" w:space="0"/>
              <w:bottom w:val="single" w:color="auto" w:sz="6" w:space="0"/>
              <w:right w:val="single" w:color="auto" w:sz="6" w:space="0"/>
            </w:tcBorders>
            <w:vAlign w:val="center"/>
          </w:tcPr>
          <w:p>
            <w:pPr>
              <w:spacing w:line="240" w:lineRule="exact"/>
              <w:jc w:val="center"/>
            </w:pPr>
            <w:r>
              <w:t>2</w:t>
            </w:r>
          </w:p>
        </w:tc>
        <w:tc>
          <w:tcPr>
            <w:tcW w:w="1719" w:type="dxa"/>
            <w:tcBorders>
              <w:top w:val="single" w:color="auto" w:sz="12" w:space="0"/>
              <w:left w:val="single" w:color="auto" w:sz="6" w:space="0"/>
              <w:bottom w:val="single" w:color="auto" w:sz="6" w:space="0"/>
              <w:right w:val="single" w:color="auto" w:sz="12" w:space="0"/>
            </w:tcBorders>
            <w:vAlign w:val="center"/>
          </w:tcPr>
          <w:p>
            <w:pPr>
              <w:spacing w:line="240" w:lineRule="exact"/>
              <w:jc w:val="center"/>
            </w:pPr>
            <w: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3" w:hRule="atLeast"/>
          <w:jc w:val="center"/>
        </w:trPr>
        <w:tc>
          <w:tcPr>
            <w:tcW w:w="2984"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pPr>
            <w:r>
              <w:rPr>
                <w:rFonts w:hint="eastAsia" w:hAnsi="宋体"/>
              </w:rPr>
              <w:t>项目</w:t>
            </w:r>
            <w:r>
              <w:rPr>
                <w:rFonts w:hAnsi="宋体"/>
              </w:rPr>
              <w:t>名称</w:t>
            </w:r>
          </w:p>
        </w:tc>
        <w:tc>
          <w:tcPr>
            <w:tcW w:w="95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pPr>
          </w:p>
        </w:tc>
        <w:tc>
          <w:tcPr>
            <w:tcW w:w="16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pPr>
          </w:p>
        </w:tc>
        <w:tc>
          <w:tcPr>
            <w:tcW w:w="16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pPr>
          </w:p>
        </w:tc>
        <w:tc>
          <w:tcPr>
            <w:tcW w:w="1719"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3" w:hRule="atLeast"/>
          <w:jc w:val="center"/>
        </w:trPr>
        <w:tc>
          <w:tcPr>
            <w:tcW w:w="2984"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pPr>
            <w:r>
              <w:rPr>
                <w:rFonts w:hAnsi="宋体"/>
              </w:rPr>
              <w:t>起讫桩号（</w:t>
            </w:r>
            <w:r>
              <w:rPr>
                <w:rFonts w:hint="eastAsia" w:hAnsi="宋体"/>
              </w:rPr>
              <w:t>标</w:t>
            </w:r>
            <w:r>
              <w:rPr>
                <w:rFonts w:hAnsi="宋体"/>
              </w:rPr>
              <w:t>段）</w:t>
            </w:r>
          </w:p>
        </w:tc>
        <w:tc>
          <w:tcPr>
            <w:tcW w:w="95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pPr>
          </w:p>
        </w:tc>
        <w:tc>
          <w:tcPr>
            <w:tcW w:w="16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pPr>
          </w:p>
        </w:tc>
        <w:tc>
          <w:tcPr>
            <w:tcW w:w="16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pPr>
          </w:p>
        </w:tc>
        <w:tc>
          <w:tcPr>
            <w:tcW w:w="1719"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3" w:hRule="atLeast"/>
          <w:jc w:val="center"/>
        </w:trPr>
        <w:tc>
          <w:tcPr>
            <w:tcW w:w="2984"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pPr>
            <w:r>
              <w:rPr>
                <w:rFonts w:hAnsi="宋体"/>
              </w:rPr>
              <w:t>养护里程</w:t>
            </w:r>
          </w:p>
        </w:tc>
        <w:tc>
          <w:tcPr>
            <w:tcW w:w="95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pPr>
            <w:r>
              <w:t>km</w:t>
            </w:r>
          </w:p>
        </w:tc>
        <w:tc>
          <w:tcPr>
            <w:tcW w:w="16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pPr>
          </w:p>
        </w:tc>
        <w:tc>
          <w:tcPr>
            <w:tcW w:w="16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pPr>
          </w:p>
        </w:tc>
        <w:tc>
          <w:tcPr>
            <w:tcW w:w="1719"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3" w:hRule="atLeast"/>
          <w:jc w:val="center"/>
        </w:trPr>
        <w:tc>
          <w:tcPr>
            <w:tcW w:w="2984"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pPr>
            <w:r>
              <w:rPr>
                <w:rFonts w:hAnsi="宋体"/>
              </w:rPr>
              <w:t>公路等级</w:t>
            </w:r>
            <w:r>
              <w:t>/</w:t>
            </w:r>
            <w:r>
              <w:rPr>
                <w:rFonts w:hAnsi="宋体"/>
              </w:rPr>
              <w:t>行车道数</w:t>
            </w:r>
          </w:p>
        </w:tc>
        <w:tc>
          <w:tcPr>
            <w:tcW w:w="95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pPr>
          </w:p>
        </w:tc>
        <w:tc>
          <w:tcPr>
            <w:tcW w:w="16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pPr>
          </w:p>
        </w:tc>
        <w:tc>
          <w:tcPr>
            <w:tcW w:w="16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pPr>
          </w:p>
        </w:tc>
        <w:tc>
          <w:tcPr>
            <w:tcW w:w="1719"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3" w:hRule="atLeast"/>
          <w:jc w:val="center"/>
        </w:trPr>
        <w:tc>
          <w:tcPr>
            <w:tcW w:w="2984"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pPr>
            <w:r>
              <w:rPr>
                <w:rFonts w:hAnsi="宋体"/>
              </w:rPr>
              <w:t>路面类型</w:t>
            </w:r>
          </w:p>
        </w:tc>
        <w:tc>
          <w:tcPr>
            <w:tcW w:w="95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vertAlign w:val="superscript"/>
              </w:rPr>
            </w:pPr>
          </w:p>
        </w:tc>
        <w:tc>
          <w:tcPr>
            <w:tcW w:w="16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pPr>
          </w:p>
        </w:tc>
        <w:tc>
          <w:tcPr>
            <w:tcW w:w="16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pPr>
          </w:p>
        </w:tc>
        <w:tc>
          <w:tcPr>
            <w:tcW w:w="1719"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3" w:hRule="atLeast"/>
          <w:jc w:val="center"/>
        </w:trPr>
        <w:tc>
          <w:tcPr>
            <w:tcW w:w="2984"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pPr>
            <w:r>
              <w:rPr>
                <w:rFonts w:hAnsi="宋体"/>
              </w:rPr>
              <w:t>路面宽度</w:t>
            </w:r>
          </w:p>
        </w:tc>
        <w:tc>
          <w:tcPr>
            <w:tcW w:w="95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pPr>
            <w:r>
              <w:t>m</w:t>
            </w:r>
          </w:p>
        </w:tc>
        <w:tc>
          <w:tcPr>
            <w:tcW w:w="16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pPr>
          </w:p>
        </w:tc>
        <w:tc>
          <w:tcPr>
            <w:tcW w:w="16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pPr>
          </w:p>
        </w:tc>
        <w:tc>
          <w:tcPr>
            <w:tcW w:w="1719"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3" w:hRule="atLeast"/>
          <w:jc w:val="center"/>
        </w:trPr>
        <w:tc>
          <w:tcPr>
            <w:tcW w:w="2984"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pPr>
            <w:r>
              <w:rPr>
                <w:rFonts w:hAnsi="宋体"/>
              </w:rPr>
              <w:t>桥梁</w:t>
            </w:r>
          </w:p>
        </w:tc>
        <w:tc>
          <w:tcPr>
            <w:tcW w:w="95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pPr>
            <w:r>
              <w:t>m/</w:t>
            </w:r>
            <w:r>
              <w:rPr>
                <w:rFonts w:hAnsi="宋体"/>
              </w:rPr>
              <w:t>座</w:t>
            </w:r>
          </w:p>
        </w:tc>
        <w:tc>
          <w:tcPr>
            <w:tcW w:w="16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pPr>
          </w:p>
        </w:tc>
        <w:tc>
          <w:tcPr>
            <w:tcW w:w="16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pPr>
          </w:p>
        </w:tc>
        <w:tc>
          <w:tcPr>
            <w:tcW w:w="1719"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3" w:hRule="atLeast"/>
          <w:jc w:val="center"/>
        </w:trPr>
        <w:tc>
          <w:tcPr>
            <w:tcW w:w="2984"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pPr>
            <w:r>
              <w:rPr>
                <w:rFonts w:hAnsi="宋体"/>
              </w:rPr>
              <w:t>隧道</w:t>
            </w:r>
          </w:p>
        </w:tc>
        <w:tc>
          <w:tcPr>
            <w:tcW w:w="95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pPr>
            <w:r>
              <w:t>m/</w:t>
            </w:r>
            <w:r>
              <w:rPr>
                <w:rFonts w:hAnsi="宋体"/>
              </w:rPr>
              <w:t>座</w:t>
            </w:r>
          </w:p>
        </w:tc>
        <w:tc>
          <w:tcPr>
            <w:tcW w:w="16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pPr>
          </w:p>
        </w:tc>
        <w:tc>
          <w:tcPr>
            <w:tcW w:w="16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pPr>
          </w:p>
        </w:tc>
        <w:tc>
          <w:tcPr>
            <w:tcW w:w="1719"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3" w:hRule="atLeast"/>
          <w:jc w:val="center"/>
        </w:trPr>
        <w:tc>
          <w:tcPr>
            <w:tcW w:w="2984"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pPr>
            <w:r>
              <w:rPr>
                <w:rFonts w:hAnsi="宋体"/>
              </w:rPr>
              <w:t>交通流量</w:t>
            </w:r>
          </w:p>
        </w:tc>
        <w:tc>
          <w:tcPr>
            <w:tcW w:w="95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pPr>
            <w:r>
              <w:rPr>
                <w:rFonts w:hAnsi="宋体"/>
              </w:rPr>
              <w:t>辆</w:t>
            </w:r>
          </w:p>
        </w:tc>
        <w:tc>
          <w:tcPr>
            <w:tcW w:w="16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pPr>
          </w:p>
        </w:tc>
        <w:tc>
          <w:tcPr>
            <w:tcW w:w="16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pPr>
          </w:p>
        </w:tc>
        <w:tc>
          <w:tcPr>
            <w:tcW w:w="1719"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3" w:hRule="atLeast"/>
          <w:jc w:val="center"/>
        </w:trPr>
        <w:tc>
          <w:tcPr>
            <w:tcW w:w="2984"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pPr>
            <w:r>
              <w:rPr>
                <w:rFonts w:hAnsi="宋体"/>
              </w:rPr>
              <w:t>养护质量（好路率或</w:t>
            </w:r>
            <w:r>
              <w:t>MQI</w:t>
            </w:r>
            <w:r>
              <w:rPr>
                <w:rFonts w:hAnsi="宋体"/>
              </w:rPr>
              <w:t>）</w:t>
            </w:r>
          </w:p>
        </w:tc>
        <w:tc>
          <w:tcPr>
            <w:tcW w:w="95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pPr>
            <w:r>
              <w:t>%</w:t>
            </w:r>
          </w:p>
        </w:tc>
        <w:tc>
          <w:tcPr>
            <w:tcW w:w="16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pPr>
          </w:p>
        </w:tc>
        <w:tc>
          <w:tcPr>
            <w:tcW w:w="16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pPr>
          </w:p>
        </w:tc>
        <w:tc>
          <w:tcPr>
            <w:tcW w:w="1719"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3" w:hRule="atLeast"/>
          <w:jc w:val="center"/>
        </w:trPr>
        <w:tc>
          <w:tcPr>
            <w:tcW w:w="2984"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宋体" w:hAnsi="宋体"/>
              </w:rPr>
            </w:pPr>
            <w:r>
              <w:rPr>
                <w:rFonts w:ascii="宋体" w:hAnsi="宋体"/>
              </w:rPr>
              <w:t>……………</w:t>
            </w:r>
          </w:p>
        </w:tc>
        <w:tc>
          <w:tcPr>
            <w:tcW w:w="95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pPr>
          </w:p>
        </w:tc>
        <w:tc>
          <w:tcPr>
            <w:tcW w:w="16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pPr>
          </w:p>
        </w:tc>
        <w:tc>
          <w:tcPr>
            <w:tcW w:w="16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pPr>
          </w:p>
        </w:tc>
        <w:tc>
          <w:tcPr>
            <w:tcW w:w="1719"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3" w:hRule="atLeast"/>
          <w:jc w:val="center"/>
        </w:trPr>
        <w:tc>
          <w:tcPr>
            <w:tcW w:w="2984"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pPr>
            <w:r>
              <w:rPr>
                <w:rFonts w:hAnsi="宋体"/>
              </w:rPr>
              <w:t>合同总价</w:t>
            </w:r>
          </w:p>
        </w:tc>
        <w:tc>
          <w:tcPr>
            <w:tcW w:w="95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pPr>
            <w:r>
              <w:rPr>
                <w:rFonts w:hAnsi="宋体"/>
              </w:rPr>
              <w:t>万元</w:t>
            </w:r>
          </w:p>
        </w:tc>
        <w:tc>
          <w:tcPr>
            <w:tcW w:w="16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pPr>
          </w:p>
        </w:tc>
        <w:tc>
          <w:tcPr>
            <w:tcW w:w="16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pPr>
          </w:p>
        </w:tc>
        <w:tc>
          <w:tcPr>
            <w:tcW w:w="1719"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3" w:hRule="atLeast"/>
          <w:jc w:val="center"/>
        </w:trPr>
        <w:tc>
          <w:tcPr>
            <w:tcW w:w="2984"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pPr>
            <w:r>
              <w:rPr>
                <w:rFonts w:hAnsi="宋体"/>
              </w:rPr>
              <w:t>承包期限</w:t>
            </w:r>
          </w:p>
        </w:tc>
        <w:tc>
          <w:tcPr>
            <w:tcW w:w="95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pPr>
            <w:r>
              <w:rPr>
                <w:rFonts w:hAnsi="宋体"/>
              </w:rPr>
              <w:t>年、月</w:t>
            </w:r>
          </w:p>
        </w:tc>
        <w:tc>
          <w:tcPr>
            <w:tcW w:w="16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pPr>
          </w:p>
        </w:tc>
        <w:tc>
          <w:tcPr>
            <w:tcW w:w="16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pPr>
          </w:p>
        </w:tc>
        <w:tc>
          <w:tcPr>
            <w:tcW w:w="1719"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3" w:hRule="atLeast"/>
          <w:jc w:val="center"/>
        </w:trPr>
        <w:tc>
          <w:tcPr>
            <w:tcW w:w="2984"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pPr>
            <w:r>
              <w:rPr>
                <w:rFonts w:hAnsi="宋体"/>
              </w:rPr>
              <w:t>发包人（主管部门）</w:t>
            </w:r>
          </w:p>
        </w:tc>
        <w:tc>
          <w:tcPr>
            <w:tcW w:w="95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pPr>
          </w:p>
        </w:tc>
        <w:tc>
          <w:tcPr>
            <w:tcW w:w="16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pPr>
          </w:p>
        </w:tc>
        <w:tc>
          <w:tcPr>
            <w:tcW w:w="16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pPr>
          </w:p>
        </w:tc>
        <w:tc>
          <w:tcPr>
            <w:tcW w:w="1719"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3" w:hRule="atLeast"/>
          <w:jc w:val="center"/>
        </w:trPr>
        <w:tc>
          <w:tcPr>
            <w:tcW w:w="2984"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宋体" w:hAnsi="宋体"/>
              </w:rPr>
            </w:pPr>
            <w:r>
              <w:rPr>
                <w:rFonts w:ascii="宋体" w:hAnsi="宋体"/>
              </w:rPr>
              <w:t>……………</w:t>
            </w:r>
          </w:p>
        </w:tc>
        <w:tc>
          <w:tcPr>
            <w:tcW w:w="95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pPr>
          </w:p>
        </w:tc>
        <w:tc>
          <w:tcPr>
            <w:tcW w:w="16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pPr>
          </w:p>
        </w:tc>
        <w:tc>
          <w:tcPr>
            <w:tcW w:w="16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pPr>
          </w:p>
        </w:tc>
        <w:tc>
          <w:tcPr>
            <w:tcW w:w="1719"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3" w:hRule="atLeast"/>
          <w:jc w:val="center"/>
        </w:trPr>
        <w:tc>
          <w:tcPr>
            <w:tcW w:w="2984" w:type="dxa"/>
            <w:tcBorders>
              <w:top w:val="single" w:color="auto" w:sz="6" w:space="0"/>
              <w:left w:val="single" w:color="auto" w:sz="12" w:space="0"/>
              <w:bottom w:val="single" w:color="auto" w:sz="12" w:space="0"/>
              <w:right w:val="single" w:color="auto" w:sz="6" w:space="0"/>
            </w:tcBorders>
            <w:vAlign w:val="center"/>
          </w:tcPr>
          <w:p>
            <w:pPr>
              <w:spacing w:line="240" w:lineRule="exact"/>
              <w:jc w:val="center"/>
            </w:pPr>
            <w:r>
              <w:rPr>
                <w:rFonts w:hAnsi="宋体"/>
              </w:rPr>
              <w:t>备注</w:t>
            </w:r>
          </w:p>
        </w:tc>
        <w:tc>
          <w:tcPr>
            <w:tcW w:w="954" w:type="dxa"/>
            <w:tcBorders>
              <w:top w:val="single" w:color="auto" w:sz="6" w:space="0"/>
              <w:left w:val="single" w:color="auto" w:sz="6" w:space="0"/>
              <w:bottom w:val="single" w:color="auto" w:sz="12" w:space="0"/>
              <w:right w:val="single" w:color="auto" w:sz="6" w:space="0"/>
            </w:tcBorders>
            <w:vAlign w:val="center"/>
          </w:tcPr>
          <w:p>
            <w:pPr>
              <w:spacing w:line="240" w:lineRule="exact"/>
              <w:jc w:val="center"/>
            </w:pPr>
          </w:p>
        </w:tc>
        <w:tc>
          <w:tcPr>
            <w:tcW w:w="1684" w:type="dxa"/>
            <w:tcBorders>
              <w:top w:val="single" w:color="auto" w:sz="6" w:space="0"/>
              <w:left w:val="single" w:color="auto" w:sz="6" w:space="0"/>
              <w:bottom w:val="single" w:color="auto" w:sz="12" w:space="0"/>
              <w:right w:val="single" w:color="auto" w:sz="6" w:space="0"/>
            </w:tcBorders>
            <w:vAlign w:val="center"/>
          </w:tcPr>
          <w:p>
            <w:pPr>
              <w:spacing w:line="240" w:lineRule="exact"/>
              <w:jc w:val="center"/>
            </w:pPr>
          </w:p>
        </w:tc>
        <w:tc>
          <w:tcPr>
            <w:tcW w:w="1684" w:type="dxa"/>
            <w:tcBorders>
              <w:top w:val="single" w:color="auto" w:sz="6" w:space="0"/>
              <w:left w:val="single" w:color="auto" w:sz="6" w:space="0"/>
              <w:bottom w:val="single" w:color="auto" w:sz="12" w:space="0"/>
              <w:right w:val="single" w:color="auto" w:sz="6" w:space="0"/>
            </w:tcBorders>
            <w:vAlign w:val="center"/>
          </w:tcPr>
          <w:p>
            <w:pPr>
              <w:spacing w:line="240" w:lineRule="exact"/>
              <w:jc w:val="center"/>
            </w:pPr>
          </w:p>
        </w:tc>
        <w:tc>
          <w:tcPr>
            <w:tcW w:w="1719" w:type="dxa"/>
            <w:tcBorders>
              <w:top w:val="single" w:color="auto" w:sz="6" w:space="0"/>
              <w:left w:val="single" w:color="auto" w:sz="6" w:space="0"/>
              <w:bottom w:val="single" w:color="auto" w:sz="12" w:space="0"/>
              <w:right w:val="single" w:color="auto" w:sz="12" w:space="0"/>
            </w:tcBorders>
            <w:vAlign w:val="center"/>
          </w:tcPr>
          <w:p>
            <w:pPr>
              <w:spacing w:line="240" w:lineRule="exact"/>
              <w:jc w:val="center"/>
            </w:pPr>
          </w:p>
        </w:tc>
      </w:tr>
    </w:tbl>
    <w:p>
      <w:pPr>
        <w:spacing w:line="240" w:lineRule="exact"/>
        <w:rPr>
          <w:rFonts w:ascii="黑体" w:eastAsia="黑体"/>
        </w:rPr>
      </w:pPr>
    </w:p>
    <w:p>
      <w:pPr>
        <w:spacing w:line="300" w:lineRule="exact"/>
        <w:rPr>
          <w:sz w:val="18"/>
          <w:szCs w:val="18"/>
        </w:rPr>
      </w:pPr>
      <w:r>
        <w:rPr>
          <w:rFonts w:hint="eastAsia" w:ascii="黑体" w:eastAsia="黑体"/>
          <w:sz w:val="18"/>
          <w:szCs w:val="18"/>
        </w:rPr>
        <w:t>注</w:t>
      </w:r>
      <w:r>
        <w:rPr>
          <w:sz w:val="18"/>
          <w:szCs w:val="18"/>
        </w:rPr>
        <w:t>：1</w:t>
      </w:r>
      <w:r>
        <w:rPr>
          <w:rFonts w:hAnsi="宋体"/>
          <w:sz w:val="18"/>
          <w:szCs w:val="18"/>
        </w:rPr>
        <w:t>．招标人可根据养护工程项目的实际情况，调整项目或指标名称。</w:t>
      </w:r>
    </w:p>
    <w:p>
      <w:pPr>
        <w:spacing w:line="300" w:lineRule="exact"/>
        <w:ind w:firstLine="360" w:firstLineChars="200"/>
        <w:rPr>
          <w:sz w:val="18"/>
          <w:szCs w:val="18"/>
        </w:rPr>
      </w:pPr>
      <w:r>
        <w:rPr>
          <w:sz w:val="18"/>
          <w:szCs w:val="18"/>
        </w:rPr>
        <w:t>2</w:t>
      </w:r>
      <w:r>
        <w:rPr>
          <w:rFonts w:hAnsi="宋体"/>
          <w:sz w:val="18"/>
          <w:szCs w:val="18"/>
        </w:rPr>
        <w:t>．</w:t>
      </w:r>
      <w:r>
        <w:rPr>
          <w:rFonts w:hAnsi="宋体"/>
          <w:bCs/>
          <w:sz w:val="18"/>
          <w:szCs w:val="18"/>
        </w:rPr>
        <w:t>应附已完</w:t>
      </w:r>
      <w:r>
        <w:rPr>
          <w:rFonts w:hAnsi="宋体"/>
          <w:sz w:val="18"/>
          <w:szCs w:val="18"/>
        </w:rPr>
        <w:t>（</w:t>
      </w:r>
      <w:r>
        <w:rPr>
          <w:rFonts w:hint="eastAsia"/>
          <w:sz w:val="18"/>
          <w:szCs w:val="18"/>
        </w:rPr>
        <w:t>2016年7月1日</w:t>
      </w:r>
      <w:r>
        <w:rPr>
          <w:rFonts w:hAnsi="宋体"/>
          <w:sz w:val="18"/>
          <w:szCs w:val="18"/>
        </w:rPr>
        <w:t>～</w:t>
      </w:r>
      <w:r>
        <w:rPr>
          <w:rFonts w:hint="eastAsia"/>
          <w:sz w:val="18"/>
          <w:szCs w:val="18"/>
        </w:rPr>
        <w:t>至今</w:t>
      </w:r>
      <w:r>
        <w:rPr>
          <w:rFonts w:hAnsi="宋体"/>
          <w:sz w:val="18"/>
          <w:szCs w:val="18"/>
        </w:rPr>
        <w:t>）</w:t>
      </w:r>
      <w:r>
        <w:rPr>
          <w:rFonts w:hAnsi="宋体"/>
          <w:bCs/>
          <w:sz w:val="18"/>
          <w:szCs w:val="18"/>
        </w:rPr>
        <w:t>相应工程证明文件的清晰可辨复印件（由</w:t>
      </w:r>
      <w:r>
        <w:rPr>
          <w:rFonts w:hAnsi="宋体"/>
          <w:sz w:val="18"/>
          <w:szCs w:val="18"/>
        </w:rPr>
        <w:t>该养护工程发包人或主管部门提供的证明材料</w:t>
      </w:r>
      <w:r>
        <w:rPr>
          <w:rFonts w:hAnsi="宋体"/>
          <w:bCs/>
          <w:sz w:val="18"/>
          <w:szCs w:val="18"/>
        </w:rPr>
        <w:t>）。</w:t>
      </w:r>
    </w:p>
    <w:p>
      <w:pPr>
        <w:spacing w:afterLines="500" w:line="300" w:lineRule="exact"/>
        <w:ind w:firstLine="360" w:firstLineChars="200"/>
        <w:rPr>
          <w:rFonts w:ascii="黑体" w:eastAsia="黑体"/>
        </w:rPr>
      </w:pPr>
      <w:r>
        <w:rPr>
          <w:rFonts w:hint="eastAsia" w:hAnsi="宋体"/>
          <w:sz w:val="18"/>
          <w:szCs w:val="18"/>
        </w:rPr>
        <w:t>3．若近年来，投标人法人机构发生合法变更或重组或法人名称变更时，应提供相关部门的合法批件或其它相关证明材料来证明其所附业绩的继承性。</w:t>
      </w:r>
      <w:bookmarkStart w:id="7583" w:name="_Toc450"/>
      <w:bookmarkStart w:id="7584" w:name="_Toc233215054"/>
      <w:bookmarkStart w:id="7585" w:name="_Toc237744688"/>
      <w:bookmarkStart w:id="7586" w:name="_Toc16633"/>
      <w:bookmarkStart w:id="7587" w:name="_Toc233423384"/>
      <w:bookmarkStart w:id="7588" w:name="_Toc3199"/>
      <w:bookmarkStart w:id="7589" w:name="_Toc237255207"/>
      <w:bookmarkStart w:id="7590" w:name="_Toc233290499"/>
      <w:bookmarkStart w:id="7591" w:name="_Toc26488"/>
      <w:bookmarkStart w:id="7592" w:name="_Toc2875"/>
      <w:bookmarkStart w:id="7593" w:name="_Toc22110"/>
      <w:bookmarkStart w:id="7594" w:name="_Toc282787846"/>
      <w:bookmarkStart w:id="7595" w:name="_Toc233429901"/>
      <w:bookmarkStart w:id="7596" w:name="_Toc288491910"/>
      <w:bookmarkStart w:id="7597" w:name="_Toc29757"/>
      <w:bookmarkStart w:id="7598" w:name="_Toc282779382"/>
      <w:bookmarkStart w:id="7599" w:name="_Toc31535"/>
      <w:bookmarkStart w:id="7600" w:name="_Toc238550455"/>
      <w:bookmarkStart w:id="7601" w:name="_Toc88"/>
      <w:bookmarkStart w:id="7602" w:name="_Toc23983"/>
      <w:bookmarkStart w:id="7603" w:name="_Toc16815"/>
      <w:bookmarkStart w:id="7604" w:name="_Toc282779891"/>
      <w:bookmarkStart w:id="7605" w:name="_Toc288547035"/>
      <w:bookmarkStart w:id="7606" w:name="_Toc283794579"/>
      <w:bookmarkStart w:id="7607" w:name="_Toc287853732"/>
      <w:bookmarkStart w:id="7608" w:name="_Toc233436040"/>
      <w:bookmarkStart w:id="7609" w:name="_Toc235846564"/>
      <w:bookmarkStart w:id="7610" w:name="_Toc569"/>
      <w:bookmarkStart w:id="7611" w:name="_Toc30287"/>
    </w:p>
    <w:p>
      <w:pPr>
        <w:pStyle w:val="6"/>
        <w:keepNext w:val="0"/>
        <w:keepLines w:val="0"/>
        <w:widowControl/>
        <w:spacing w:before="0" w:after="0" w:line="240" w:lineRule="auto"/>
        <w:jc w:val="center"/>
        <w:rPr>
          <w:rFonts w:ascii="黑体" w:eastAsia="黑体"/>
          <w:b w:val="0"/>
        </w:rPr>
      </w:pPr>
      <w:bookmarkStart w:id="7612" w:name="_Toc9959"/>
      <w:bookmarkStart w:id="7613" w:name="_Toc30817"/>
      <w:bookmarkStart w:id="7614" w:name="_Toc32161"/>
      <w:bookmarkStart w:id="7615" w:name="_Toc23341"/>
      <w:bookmarkStart w:id="7616" w:name="_Toc32238"/>
      <w:r>
        <w:rPr>
          <w:rFonts w:hint="eastAsia" w:ascii="黑体" w:eastAsia="黑体"/>
          <w:b w:val="0"/>
        </w:rPr>
        <w:t>（九）正在养护和新承接的项目情况表</w:t>
      </w:r>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r>
        <w:rPr>
          <w:rFonts w:hint="eastAsia" w:ascii="黑体" w:eastAsia="黑体"/>
          <w:b w:val="0"/>
        </w:rPr>
        <w:t>（如有）</w:t>
      </w:r>
      <w:bookmarkEnd w:id="7616"/>
    </w:p>
    <w:p>
      <w:pPr>
        <w:spacing w:line="240" w:lineRule="exact"/>
        <w:rPr>
          <w:rFonts w:ascii="黑体" w:eastAsia="黑体"/>
        </w:rPr>
      </w:pPr>
    </w:p>
    <w:tbl>
      <w:tblPr>
        <w:tblStyle w:val="20"/>
        <w:tblW w:w="9036"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357"/>
        <w:gridCol w:w="667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0" w:hRule="atLeast"/>
        </w:trPr>
        <w:tc>
          <w:tcPr>
            <w:tcW w:w="2357" w:type="dxa"/>
            <w:vAlign w:val="center"/>
          </w:tcPr>
          <w:p>
            <w:pPr>
              <w:spacing w:line="360" w:lineRule="exact"/>
              <w:jc w:val="center"/>
              <w:rPr>
                <w:rFonts w:ascii="宋体" w:hAnsi="宋体"/>
                <w:szCs w:val="21"/>
              </w:rPr>
            </w:pPr>
            <w:r>
              <w:rPr>
                <w:rFonts w:hint="eastAsia" w:ascii="宋体" w:hAnsi="宋体"/>
                <w:szCs w:val="21"/>
              </w:rPr>
              <w:t>项目名称</w:t>
            </w:r>
          </w:p>
        </w:tc>
        <w:tc>
          <w:tcPr>
            <w:tcW w:w="6679" w:type="dxa"/>
          </w:tcPr>
          <w:p>
            <w:pPr>
              <w:spacing w:line="420" w:lineRule="exact"/>
              <w:rPr>
                <w:rFonts w:ascii="黑体" w:hAnsi="宋体" w:eastAsia="黑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0" w:hRule="atLeast"/>
        </w:trPr>
        <w:tc>
          <w:tcPr>
            <w:tcW w:w="2357" w:type="dxa"/>
            <w:vAlign w:val="center"/>
          </w:tcPr>
          <w:p>
            <w:pPr>
              <w:spacing w:line="360" w:lineRule="exact"/>
              <w:jc w:val="center"/>
              <w:rPr>
                <w:rFonts w:ascii="宋体" w:hAnsi="宋体"/>
                <w:szCs w:val="21"/>
              </w:rPr>
            </w:pPr>
            <w:r>
              <w:rPr>
                <w:rFonts w:hint="eastAsia" w:ascii="宋体" w:hAnsi="宋体"/>
                <w:szCs w:val="21"/>
              </w:rPr>
              <w:t>项目所在地</w:t>
            </w:r>
          </w:p>
        </w:tc>
        <w:tc>
          <w:tcPr>
            <w:tcW w:w="6679" w:type="dxa"/>
          </w:tcPr>
          <w:p>
            <w:pPr>
              <w:spacing w:line="420" w:lineRule="exact"/>
              <w:rPr>
                <w:rFonts w:ascii="黑体" w:hAnsi="宋体" w:eastAsia="黑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0" w:hRule="atLeast"/>
        </w:trPr>
        <w:tc>
          <w:tcPr>
            <w:tcW w:w="2357" w:type="dxa"/>
            <w:vAlign w:val="center"/>
          </w:tcPr>
          <w:p>
            <w:pPr>
              <w:spacing w:line="360" w:lineRule="exact"/>
              <w:jc w:val="center"/>
              <w:rPr>
                <w:rFonts w:ascii="宋体" w:hAnsi="宋体"/>
                <w:szCs w:val="21"/>
              </w:rPr>
            </w:pPr>
            <w:r>
              <w:rPr>
                <w:rFonts w:hint="eastAsia" w:ascii="宋体" w:hAnsi="宋体"/>
                <w:szCs w:val="21"/>
              </w:rPr>
              <w:t>发包人名称</w:t>
            </w:r>
          </w:p>
        </w:tc>
        <w:tc>
          <w:tcPr>
            <w:tcW w:w="6679" w:type="dxa"/>
          </w:tcPr>
          <w:p>
            <w:pPr>
              <w:spacing w:line="420" w:lineRule="exact"/>
              <w:rPr>
                <w:rFonts w:ascii="黑体" w:hAnsi="宋体" w:eastAsia="黑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0" w:hRule="atLeast"/>
        </w:trPr>
        <w:tc>
          <w:tcPr>
            <w:tcW w:w="2357" w:type="dxa"/>
            <w:vAlign w:val="center"/>
          </w:tcPr>
          <w:p>
            <w:pPr>
              <w:spacing w:line="360" w:lineRule="exact"/>
              <w:jc w:val="center"/>
              <w:rPr>
                <w:rFonts w:ascii="宋体" w:hAnsi="宋体"/>
                <w:szCs w:val="21"/>
              </w:rPr>
            </w:pPr>
            <w:r>
              <w:rPr>
                <w:rFonts w:hint="eastAsia" w:ascii="宋体" w:hAnsi="宋体"/>
                <w:szCs w:val="21"/>
              </w:rPr>
              <w:t>发包人地址</w:t>
            </w:r>
          </w:p>
        </w:tc>
        <w:tc>
          <w:tcPr>
            <w:tcW w:w="6679" w:type="dxa"/>
          </w:tcPr>
          <w:p>
            <w:pPr>
              <w:spacing w:line="420" w:lineRule="exact"/>
              <w:rPr>
                <w:rFonts w:ascii="黑体" w:hAnsi="宋体" w:eastAsia="黑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0" w:hRule="atLeast"/>
        </w:trPr>
        <w:tc>
          <w:tcPr>
            <w:tcW w:w="2357" w:type="dxa"/>
            <w:vAlign w:val="center"/>
          </w:tcPr>
          <w:p>
            <w:pPr>
              <w:spacing w:line="360" w:lineRule="exact"/>
              <w:jc w:val="center"/>
              <w:rPr>
                <w:rFonts w:ascii="宋体" w:hAnsi="宋体"/>
                <w:szCs w:val="21"/>
              </w:rPr>
            </w:pPr>
            <w:r>
              <w:rPr>
                <w:rFonts w:hint="eastAsia" w:ascii="宋体" w:hAnsi="宋体"/>
                <w:szCs w:val="21"/>
              </w:rPr>
              <w:t>发包人电话</w:t>
            </w:r>
          </w:p>
        </w:tc>
        <w:tc>
          <w:tcPr>
            <w:tcW w:w="6679" w:type="dxa"/>
          </w:tcPr>
          <w:p>
            <w:pPr>
              <w:spacing w:line="420" w:lineRule="exact"/>
              <w:rPr>
                <w:rFonts w:ascii="黑体" w:hAnsi="宋体" w:eastAsia="黑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0" w:hRule="atLeast"/>
        </w:trPr>
        <w:tc>
          <w:tcPr>
            <w:tcW w:w="2357" w:type="dxa"/>
            <w:vAlign w:val="center"/>
          </w:tcPr>
          <w:p>
            <w:pPr>
              <w:spacing w:line="360" w:lineRule="exact"/>
              <w:jc w:val="center"/>
              <w:rPr>
                <w:rFonts w:ascii="宋体" w:hAnsi="宋体"/>
                <w:szCs w:val="21"/>
              </w:rPr>
            </w:pPr>
            <w:r>
              <w:rPr>
                <w:rFonts w:hint="eastAsia" w:ascii="宋体" w:hAnsi="宋体"/>
                <w:szCs w:val="21"/>
              </w:rPr>
              <w:t>签约合同价</w:t>
            </w:r>
          </w:p>
        </w:tc>
        <w:tc>
          <w:tcPr>
            <w:tcW w:w="6679" w:type="dxa"/>
          </w:tcPr>
          <w:p>
            <w:pPr>
              <w:spacing w:line="420" w:lineRule="exact"/>
              <w:rPr>
                <w:rFonts w:ascii="黑体" w:hAnsi="宋体" w:eastAsia="黑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0" w:hRule="atLeast"/>
        </w:trPr>
        <w:tc>
          <w:tcPr>
            <w:tcW w:w="2357" w:type="dxa"/>
            <w:vAlign w:val="center"/>
          </w:tcPr>
          <w:p>
            <w:pPr>
              <w:spacing w:line="360" w:lineRule="exact"/>
              <w:jc w:val="center"/>
              <w:rPr>
                <w:rFonts w:ascii="宋体" w:hAnsi="宋体"/>
                <w:szCs w:val="21"/>
              </w:rPr>
            </w:pPr>
            <w:r>
              <w:rPr>
                <w:rFonts w:hint="eastAsia" w:ascii="宋体" w:hAnsi="宋体"/>
                <w:szCs w:val="21"/>
              </w:rPr>
              <w:t>开工日期</w:t>
            </w:r>
          </w:p>
        </w:tc>
        <w:tc>
          <w:tcPr>
            <w:tcW w:w="6679" w:type="dxa"/>
          </w:tcPr>
          <w:p>
            <w:pPr>
              <w:spacing w:line="420" w:lineRule="exact"/>
              <w:rPr>
                <w:rFonts w:ascii="黑体" w:hAnsi="宋体" w:eastAsia="黑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0" w:hRule="atLeast"/>
        </w:trPr>
        <w:tc>
          <w:tcPr>
            <w:tcW w:w="2357" w:type="dxa"/>
            <w:vAlign w:val="center"/>
          </w:tcPr>
          <w:p>
            <w:pPr>
              <w:spacing w:line="360" w:lineRule="exact"/>
              <w:jc w:val="center"/>
              <w:rPr>
                <w:rFonts w:ascii="宋体" w:hAnsi="宋体"/>
                <w:szCs w:val="21"/>
              </w:rPr>
            </w:pPr>
            <w:r>
              <w:rPr>
                <w:rFonts w:hint="eastAsia" w:ascii="宋体" w:hAnsi="宋体"/>
                <w:szCs w:val="21"/>
              </w:rPr>
              <w:t>计划交工日期</w:t>
            </w:r>
          </w:p>
        </w:tc>
        <w:tc>
          <w:tcPr>
            <w:tcW w:w="6679" w:type="dxa"/>
          </w:tcPr>
          <w:p>
            <w:pPr>
              <w:spacing w:line="420" w:lineRule="exact"/>
              <w:rPr>
                <w:rFonts w:ascii="黑体" w:hAnsi="宋体" w:eastAsia="黑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0" w:hRule="atLeast"/>
        </w:trPr>
        <w:tc>
          <w:tcPr>
            <w:tcW w:w="2357" w:type="dxa"/>
            <w:vAlign w:val="center"/>
          </w:tcPr>
          <w:p>
            <w:pPr>
              <w:spacing w:line="360" w:lineRule="exact"/>
              <w:jc w:val="center"/>
              <w:rPr>
                <w:rFonts w:ascii="宋体" w:hAnsi="宋体"/>
                <w:szCs w:val="21"/>
              </w:rPr>
            </w:pPr>
            <w:r>
              <w:rPr>
                <w:rFonts w:hint="eastAsia" w:ascii="宋体" w:hAnsi="宋体"/>
                <w:szCs w:val="21"/>
              </w:rPr>
              <w:t>承担的工作</w:t>
            </w:r>
          </w:p>
        </w:tc>
        <w:tc>
          <w:tcPr>
            <w:tcW w:w="6679" w:type="dxa"/>
          </w:tcPr>
          <w:p>
            <w:pPr>
              <w:spacing w:line="420" w:lineRule="exact"/>
              <w:rPr>
                <w:rFonts w:ascii="黑体" w:hAnsi="宋体" w:eastAsia="黑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0" w:hRule="atLeast"/>
        </w:trPr>
        <w:tc>
          <w:tcPr>
            <w:tcW w:w="2357" w:type="dxa"/>
            <w:vAlign w:val="center"/>
          </w:tcPr>
          <w:p>
            <w:pPr>
              <w:spacing w:line="360" w:lineRule="exact"/>
              <w:jc w:val="center"/>
              <w:rPr>
                <w:rFonts w:ascii="宋体" w:hAnsi="宋体"/>
                <w:szCs w:val="21"/>
              </w:rPr>
            </w:pPr>
            <w:r>
              <w:rPr>
                <w:rFonts w:hint="eastAsia" w:ascii="宋体" w:hAnsi="宋体"/>
                <w:szCs w:val="21"/>
              </w:rPr>
              <w:t>养护工程质量要求</w:t>
            </w:r>
          </w:p>
        </w:tc>
        <w:tc>
          <w:tcPr>
            <w:tcW w:w="6679" w:type="dxa"/>
          </w:tcPr>
          <w:p>
            <w:pPr>
              <w:spacing w:line="420" w:lineRule="exact"/>
              <w:rPr>
                <w:rFonts w:ascii="黑体" w:hAnsi="宋体" w:eastAsia="黑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0" w:hRule="atLeast"/>
        </w:trPr>
        <w:tc>
          <w:tcPr>
            <w:tcW w:w="2357" w:type="dxa"/>
            <w:vAlign w:val="center"/>
          </w:tcPr>
          <w:p>
            <w:pPr>
              <w:spacing w:line="360" w:lineRule="exact"/>
              <w:jc w:val="center"/>
              <w:rPr>
                <w:rFonts w:ascii="宋体" w:hAnsi="宋体"/>
                <w:szCs w:val="21"/>
              </w:rPr>
            </w:pPr>
            <w:r>
              <w:rPr>
                <w:rFonts w:hint="eastAsia" w:ascii="宋体" w:hAnsi="宋体"/>
                <w:szCs w:val="21"/>
              </w:rPr>
              <w:t>项目经理</w:t>
            </w:r>
          </w:p>
        </w:tc>
        <w:tc>
          <w:tcPr>
            <w:tcW w:w="6679" w:type="dxa"/>
          </w:tcPr>
          <w:p>
            <w:pPr>
              <w:spacing w:line="420" w:lineRule="exact"/>
              <w:rPr>
                <w:rFonts w:ascii="黑体" w:hAnsi="宋体" w:eastAsia="黑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0" w:hRule="atLeast"/>
        </w:trPr>
        <w:tc>
          <w:tcPr>
            <w:tcW w:w="2357" w:type="dxa"/>
            <w:vAlign w:val="center"/>
          </w:tcPr>
          <w:p>
            <w:pPr>
              <w:spacing w:line="360" w:lineRule="exact"/>
              <w:jc w:val="center"/>
              <w:rPr>
                <w:rFonts w:ascii="宋体" w:hAnsi="宋体"/>
                <w:szCs w:val="21"/>
              </w:rPr>
            </w:pPr>
            <w:r>
              <w:rPr>
                <w:rFonts w:hint="eastAsia" w:ascii="宋体" w:hAnsi="宋体"/>
                <w:szCs w:val="21"/>
              </w:rPr>
              <w:t>项目总工</w:t>
            </w:r>
          </w:p>
        </w:tc>
        <w:tc>
          <w:tcPr>
            <w:tcW w:w="6679" w:type="dxa"/>
          </w:tcPr>
          <w:p>
            <w:pPr>
              <w:spacing w:line="420" w:lineRule="exact"/>
              <w:rPr>
                <w:rFonts w:ascii="黑体" w:hAnsi="宋体" w:eastAsia="黑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0" w:hRule="atLeast"/>
        </w:trPr>
        <w:tc>
          <w:tcPr>
            <w:tcW w:w="2357" w:type="dxa"/>
            <w:vAlign w:val="center"/>
          </w:tcPr>
          <w:p>
            <w:pPr>
              <w:spacing w:line="360" w:lineRule="exact"/>
              <w:jc w:val="center"/>
              <w:rPr>
                <w:rFonts w:ascii="宋体" w:hAnsi="宋体"/>
                <w:szCs w:val="21"/>
              </w:rPr>
            </w:pPr>
            <w:r>
              <w:rPr>
                <w:rFonts w:hint="eastAsia" w:ascii="宋体" w:hAnsi="宋体"/>
                <w:szCs w:val="21"/>
              </w:rPr>
              <w:t>总监理工程师及电话</w:t>
            </w:r>
          </w:p>
        </w:tc>
        <w:tc>
          <w:tcPr>
            <w:tcW w:w="6679" w:type="dxa"/>
          </w:tcPr>
          <w:p>
            <w:pPr>
              <w:spacing w:line="420" w:lineRule="exact"/>
              <w:rPr>
                <w:rFonts w:ascii="黑体" w:hAnsi="宋体" w:eastAsia="黑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49" w:hRule="atLeast"/>
        </w:trPr>
        <w:tc>
          <w:tcPr>
            <w:tcW w:w="2357" w:type="dxa"/>
            <w:vAlign w:val="center"/>
          </w:tcPr>
          <w:p>
            <w:pPr>
              <w:spacing w:line="360" w:lineRule="exact"/>
              <w:jc w:val="center"/>
              <w:rPr>
                <w:rFonts w:ascii="宋体" w:hAnsi="宋体"/>
                <w:szCs w:val="21"/>
              </w:rPr>
            </w:pPr>
            <w:r>
              <w:rPr>
                <w:rFonts w:hint="eastAsia" w:ascii="宋体" w:hAnsi="宋体"/>
                <w:szCs w:val="21"/>
              </w:rPr>
              <w:t>项目描述</w:t>
            </w:r>
          </w:p>
        </w:tc>
        <w:tc>
          <w:tcPr>
            <w:tcW w:w="6679" w:type="dxa"/>
          </w:tcPr>
          <w:p>
            <w:pPr>
              <w:spacing w:line="420" w:lineRule="exact"/>
              <w:rPr>
                <w:rFonts w:ascii="黑体" w:hAnsi="宋体" w:eastAsia="黑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1" w:hRule="atLeast"/>
        </w:trPr>
        <w:tc>
          <w:tcPr>
            <w:tcW w:w="2357" w:type="dxa"/>
            <w:vAlign w:val="center"/>
          </w:tcPr>
          <w:p>
            <w:pPr>
              <w:spacing w:line="360" w:lineRule="exact"/>
              <w:jc w:val="center"/>
              <w:rPr>
                <w:rFonts w:ascii="宋体" w:hAnsi="宋体"/>
                <w:szCs w:val="21"/>
              </w:rPr>
            </w:pPr>
            <w:r>
              <w:rPr>
                <w:rFonts w:hint="eastAsia" w:ascii="宋体" w:hAnsi="宋体"/>
                <w:szCs w:val="21"/>
              </w:rPr>
              <w:t>备注</w:t>
            </w:r>
          </w:p>
        </w:tc>
        <w:tc>
          <w:tcPr>
            <w:tcW w:w="6679" w:type="dxa"/>
          </w:tcPr>
          <w:p>
            <w:pPr>
              <w:spacing w:line="420" w:lineRule="exact"/>
              <w:rPr>
                <w:rFonts w:ascii="黑体" w:hAnsi="宋体" w:eastAsia="黑体"/>
                <w:szCs w:val="21"/>
              </w:rPr>
            </w:pPr>
          </w:p>
        </w:tc>
      </w:tr>
    </w:tbl>
    <w:p>
      <w:pPr>
        <w:spacing w:beforeLines="50" w:line="300" w:lineRule="exact"/>
        <w:rPr>
          <w:sz w:val="18"/>
          <w:szCs w:val="18"/>
        </w:rPr>
      </w:pPr>
      <w:r>
        <w:rPr>
          <w:rFonts w:hint="eastAsia" w:ascii="黑体" w:hAnsi="宋体" w:eastAsia="黑体"/>
          <w:sz w:val="18"/>
          <w:szCs w:val="18"/>
        </w:rPr>
        <w:t>注</w:t>
      </w:r>
      <w:r>
        <w:rPr>
          <w:rFonts w:hint="eastAsia" w:ascii="宋体" w:hAnsi="宋体"/>
          <w:sz w:val="18"/>
          <w:szCs w:val="18"/>
        </w:rPr>
        <w:t>：</w:t>
      </w:r>
      <w:r>
        <w:rPr>
          <w:sz w:val="18"/>
          <w:szCs w:val="18"/>
        </w:rPr>
        <w:t>1</w:t>
      </w:r>
      <w:r>
        <w:rPr>
          <w:rFonts w:hAnsi="宋体"/>
          <w:sz w:val="18"/>
          <w:szCs w:val="18"/>
        </w:rPr>
        <w:t>．每张表只填写一个项目，并标明序号。</w:t>
      </w:r>
    </w:p>
    <w:p>
      <w:pPr>
        <w:spacing w:line="300" w:lineRule="exact"/>
        <w:ind w:left="690" w:leftChars="200" w:hanging="270" w:hangingChars="150"/>
        <w:rPr>
          <w:sz w:val="18"/>
          <w:szCs w:val="18"/>
        </w:rPr>
      </w:pPr>
      <w:r>
        <w:rPr>
          <w:sz w:val="18"/>
          <w:szCs w:val="18"/>
        </w:rPr>
        <w:t>2</w:t>
      </w:r>
      <w:r>
        <w:rPr>
          <w:rFonts w:hAnsi="宋体"/>
          <w:sz w:val="18"/>
          <w:szCs w:val="18"/>
        </w:rPr>
        <w:t>．本表后须附中标通知书</w:t>
      </w:r>
      <w:r>
        <w:rPr>
          <w:rFonts w:hint="eastAsia" w:hAnsi="宋体"/>
          <w:sz w:val="18"/>
          <w:szCs w:val="18"/>
        </w:rPr>
        <w:t>或（和）</w:t>
      </w:r>
      <w:r>
        <w:rPr>
          <w:rFonts w:hAnsi="宋体"/>
          <w:sz w:val="18"/>
          <w:szCs w:val="18"/>
        </w:rPr>
        <w:t>合同协议书复印件。</w:t>
      </w:r>
    </w:p>
    <w:p>
      <w:pPr>
        <w:spacing w:line="300" w:lineRule="exact"/>
        <w:ind w:firstLine="360" w:firstLineChars="200"/>
        <w:jc w:val="left"/>
        <w:rPr>
          <w:rFonts w:ascii="黑体"/>
        </w:rPr>
      </w:pPr>
      <w:r>
        <w:rPr>
          <w:sz w:val="18"/>
          <w:szCs w:val="18"/>
        </w:rPr>
        <w:t>3</w:t>
      </w:r>
      <w:r>
        <w:rPr>
          <w:rFonts w:hAnsi="宋体"/>
          <w:sz w:val="18"/>
          <w:szCs w:val="18"/>
        </w:rPr>
        <w:t>．本表应包含所有在建工程项目，包括正在施工、已签订合同协议书即将开工或已收到中标通知书或意向书但尚未签订合同的所有项目。</w:t>
      </w:r>
      <w:bookmarkStart w:id="7617" w:name="_Toc240883764"/>
      <w:bookmarkStart w:id="7618" w:name="_Toc282779893"/>
      <w:bookmarkStart w:id="7619" w:name="_Toc27115"/>
      <w:bookmarkStart w:id="7620" w:name="_Toc288491912"/>
      <w:bookmarkStart w:id="7621" w:name="_Toc282779384"/>
      <w:bookmarkStart w:id="7622" w:name="_Toc4108"/>
      <w:bookmarkStart w:id="7623" w:name="_Toc288547037"/>
      <w:bookmarkStart w:id="7624" w:name="_Toc287853734"/>
      <w:bookmarkStart w:id="7625" w:name="_Toc283794581"/>
      <w:bookmarkStart w:id="7626" w:name="_Toc14475"/>
      <w:bookmarkStart w:id="7627" w:name="_Toc17938"/>
      <w:bookmarkStart w:id="7628" w:name="_Toc282787848"/>
    </w:p>
    <w:p>
      <w:pPr>
        <w:pStyle w:val="5"/>
        <w:spacing w:before="0"/>
        <w:ind w:left="1130"/>
      </w:pPr>
      <w:bookmarkStart w:id="7629" w:name="_Toc32272"/>
      <w:bookmarkStart w:id="7630" w:name="_Toc27786"/>
      <w:bookmarkStart w:id="7631" w:name="_Toc14141"/>
      <w:bookmarkStart w:id="7632" w:name="_Toc14211"/>
      <w:bookmarkStart w:id="7633" w:name="_Toc13963"/>
      <w:bookmarkStart w:id="7634" w:name="_Toc24413"/>
      <w:bookmarkStart w:id="7635" w:name="_Toc18609"/>
      <w:bookmarkStart w:id="7636" w:name="_Toc16832"/>
      <w:bookmarkStart w:id="7637" w:name="_Toc5891"/>
      <w:bookmarkStart w:id="7638" w:name="_Toc11467"/>
      <w:bookmarkStart w:id="7639" w:name="_Toc4487"/>
      <w:bookmarkStart w:id="7640" w:name="_Toc22393"/>
      <w:bookmarkStart w:id="7641" w:name="_Toc14001"/>
      <w:bookmarkStart w:id="7642" w:name="_Toc24916"/>
      <w:r>
        <w:rPr>
          <w:rFonts w:hint="eastAsia" w:ascii="黑体"/>
          <w:b w:val="0"/>
        </w:rPr>
        <w:t>（十）</w:t>
      </w:r>
      <w:r>
        <w:rPr>
          <w:rFonts w:ascii="黑体"/>
          <w:b w:val="0"/>
        </w:rPr>
        <w:t>201</w:t>
      </w:r>
      <w:r>
        <w:rPr>
          <w:rFonts w:hint="eastAsia" w:ascii="黑体"/>
          <w:b w:val="0"/>
        </w:rPr>
        <w:t>9</w:t>
      </w:r>
      <w:r>
        <w:rPr>
          <w:rFonts w:ascii="黑体"/>
          <w:b w:val="0"/>
        </w:rPr>
        <w:t>年</w:t>
      </w:r>
      <w:r>
        <w:rPr>
          <w:rFonts w:hint="eastAsia" w:ascii="黑体"/>
          <w:b w:val="0"/>
        </w:rPr>
        <w:t>1</w:t>
      </w:r>
      <w:r>
        <w:rPr>
          <w:rFonts w:ascii="黑体"/>
          <w:b w:val="0"/>
        </w:rPr>
        <w:t>月1日以来发生的诉讼及仲裁情况</w:t>
      </w:r>
      <w:bookmarkEnd w:id="7629"/>
      <w:bookmarkEnd w:id="7630"/>
      <w:bookmarkEnd w:id="7631"/>
      <w:bookmarkEnd w:id="7632"/>
      <w:bookmarkEnd w:id="7633"/>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52"/>
        <w:gridCol w:w="3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4652" w:type="dxa"/>
            <w:vAlign w:val="center"/>
          </w:tcPr>
          <w:p>
            <w:pPr>
              <w:pStyle w:val="5"/>
              <w:spacing w:before="0" w:after="0" w:line="240" w:lineRule="auto"/>
              <w:jc w:val="center"/>
              <w:outlineLvl w:val="1"/>
              <w:rPr>
                <w:rFonts w:asciiTheme="minorEastAsia" w:hAnsiTheme="minorEastAsia" w:eastAsiaTheme="minorEastAsia" w:cstheme="minorEastAsia"/>
                <w:b w:val="0"/>
                <w:sz w:val="24"/>
                <w:szCs w:val="24"/>
              </w:rPr>
            </w:pPr>
            <w:bookmarkStart w:id="7643" w:name="_Toc13592"/>
            <w:bookmarkStart w:id="7644" w:name="_Toc9395"/>
            <w:bookmarkStart w:id="7645" w:name="_Toc15042"/>
            <w:bookmarkStart w:id="7646" w:name="_Toc28647"/>
            <w:bookmarkStart w:id="7647" w:name="_Toc13745"/>
            <w:r>
              <w:rPr>
                <w:rFonts w:hint="eastAsia" w:asciiTheme="minorEastAsia" w:hAnsiTheme="minorEastAsia" w:eastAsiaTheme="minorEastAsia" w:cstheme="minorEastAsia"/>
                <w:b w:val="0"/>
                <w:sz w:val="24"/>
                <w:szCs w:val="24"/>
              </w:rPr>
              <w:t>项  目</w:t>
            </w:r>
            <w:bookmarkEnd w:id="7643"/>
            <w:bookmarkEnd w:id="7644"/>
            <w:bookmarkEnd w:id="7645"/>
            <w:bookmarkEnd w:id="7646"/>
            <w:bookmarkEnd w:id="7647"/>
          </w:p>
        </w:tc>
        <w:tc>
          <w:tcPr>
            <w:tcW w:w="3867" w:type="dxa"/>
            <w:vAlign w:val="center"/>
          </w:tcPr>
          <w:p>
            <w:pPr>
              <w:pStyle w:val="5"/>
              <w:spacing w:before="0" w:after="0" w:line="240" w:lineRule="auto"/>
              <w:jc w:val="center"/>
              <w:outlineLvl w:val="1"/>
              <w:rPr>
                <w:rFonts w:asciiTheme="minorEastAsia" w:hAnsiTheme="minorEastAsia" w:eastAsiaTheme="minorEastAsia" w:cstheme="minorEastAsia"/>
                <w:b w:val="0"/>
                <w:sz w:val="24"/>
                <w:szCs w:val="24"/>
              </w:rPr>
            </w:pPr>
            <w:bookmarkStart w:id="7648" w:name="_Toc20562"/>
            <w:bookmarkStart w:id="7649" w:name="_Toc1545"/>
            <w:bookmarkStart w:id="7650" w:name="_Toc25196"/>
            <w:bookmarkStart w:id="7651" w:name="_Toc26714"/>
            <w:bookmarkStart w:id="7652" w:name="_Toc28951"/>
            <w:r>
              <w:rPr>
                <w:rFonts w:hint="eastAsia" w:asciiTheme="minorEastAsia" w:hAnsiTheme="minorEastAsia" w:eastAsiaTheme="minorEastAsia" w:cstheme="minorEastAsia"/>
                <w:b w:val="0"/>
                <w:sz w:val="24"/>
                <w:szCs w:val="24"/>
              </w:rPr>
              <w:t>投标人情况说明</w:t>
            </w:r>
            <w:bookmarkEnd w:id="7648"/>
            <w:bookmarkEnd w:id="7649"/>
            <w:bookmarkEnd w:id="7650"/>
            <w:bookmarkEnd w:id="7651"/>
            <w:bookmarkEnd w:id="765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jc w:val="center"/>
        </w:trPr>
        <w:tc>
          <w:tcPr>
            <w:tcW w:w="4652" w:type="dxa"/>
          </w:tcPr>
          <w:p>
            <w:pPr>
              <w:pStyle w:val="5"/>
              <w:spacing w:before="0" w:after="0"/>
              <w:jc w:val="center"/>
              <w:outlineLvl w:val="1"/>
              <w:rPr>
                <w:rFonts w:ascii="黑体"/>
                <w:b w:val="0"/>
              </w:rPr>
            </w:pPr>
          </w:p>
        </w:tc>
        <w:tc>
          <w:tcPr>
            <w:tcW w:w="3867" w:type="dxa"/>
          </w:tcPr>
          <w:p>
            <w:pPr>
              <w:pStyle w:val="5"/>
              <w:spacing w:before="0" w:after="0"/>
              <w:jc w:val="center"/>
              <w:outlineLvl w:val="1"/>
              <w:rPr>
                <w:rFonts w:ascii="黑体"/>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 w:hRule="atLeast"/>
          <w:jc w:val="center"/>
        </w:trPr>
        <w:tc>
          <w:tcPr>
            <w:tcW w:w="4652" w:type="dxa"/>
          </w:tcPr>
          <w:p>
            <w:pPr>
              <w:pStyle w:val="5"/>
              <w:spacing w:before="0" w:after="0"/>
              <w:jc w:val="center"/>
              <w:outlineLvl w:val="1"/>
              <w:rPr>
                <w:rFonts w:ascii="黑体"/>
                <w:b w:val="0"/>
              </w:rPr>
            </w:pPr>
          </w:p>
        </w:tc>
        <w:tc>
          <w:tcPr>
            <w:tcW w:w="3867" w:type="dxa"/>
          </w:tcPr>
          <w:p>
            <w:pPr>
              <w:pStyle w:val="5"/>
              <w:spacing w:before="0" w:after="0"/>
              <w:jc w:val="center"/>
              <w:outlineLvl w:val="1"/>
              <w:rPr>
                <w:rFonts w:ascii="黑体"/>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atLeast"/>
          <w:jc w:val="center"/>
        </w:trPr>
        <w:tc>
          <w:tcPr>
            <w:tcW w:w="4652" w:type="dxa"/>
          </w:tcPr>
          <w:p>
            <w:pPr>
              <w:pStyle w:val="5"/>
              <w:spacing w:before="0" w:after="0"/>
              <w:jc w:val="center"/>
              <w:outlineLvl w:val="1"/>
              <w:rPr>
                <w:rFonts w:ascii="黑体"/>
                <w:b w:val="0"/>
              </w:rPr>
            </w:pPr>
          </w:p>
        </w:tc>
        <w:tc>
          <w:tcPr>
            <w:tcW w:w="3867" w:type="dxa"/>
          </w:tcPr>
          <w:p>
            <w:pPr>
              <w:pStyle w:val="5"/>
              <w:spacing w:before="0" w:after="0"/>
              <w:jc w:val="center"/>
              <w:outlineLvl w:val="1"/>
              <w:rPr>
                <w:rFonts w:ascii="黑体"/>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4" w:hRule="atLeast"/>
          <w:jc w:val="center"/>
        </w:trPr>
        <w:tc>
          <w:tcPr>
            <w:tcW w:w="4652" w:type="dxa"/>
          </w:tcPr>
          <w:p>
            <w:pPr>
              <w:pStyle w:val="5"/>
              <w:spacing w:before="0" w:after="0"/>
              <w:jc w:val="center"/>
              <w:outlineLvl w:val="1"/>
              <w:rPr>
                <w:rFonts w:ascii="黑体"/>
                <w:b w:val="0"/>
              </w:rPr>
            </w:pPr>
          </w:p>
        </w:tc>
        <w:tc>
          <w:tcPr>
            <w:tcW w:w="3867" w:type="dxa"/>
          </w:tcPr>
          <w:p>
            <w:pPr>
              <w:pStyle w:val="5"/>
              <w:spacing w:before="0" w:after="0"/>
              <w:jc w:val="center"/>
              <w:outlineLvl w:val="1"/>
              <w:rPr>
                <w:rFonts w:ascii="黑体"/>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9" w:hRule="atLeast"/>
          <w:jc w:val="center"/>
        </w:trPr>
        <w:tc>
          <w:tcPr>
            <w:tcW w:w="4652" w:type="dxa"/>
          </w:tcPr>
          <w:p>
            <w:pPr>
              <w:pStyle w:val="5"/>
              <w:spacing w:before="0" w:after="0"/>
              <w:jc w:val="center"/>
              <w:outlineLvl w:val="1"/>
              <w:rPr>
                <w:rFonts w:ascii="黑体"/>
                <w:b w:val="0"/>
              </w:rPr>
            </w:pPr>
          </w:p>
        </w:tc>
        <w:tc>
          <w:tcPr>
            <w:tcW w:w="3867" w:type="dxa"/>
          </w:tcPr>
          <w:p>
            <w:pPr>
              <w:pStyle w:val="5"/>
              <w:spacing w:before="0" w:after="0"/>
              <w:jc w:val="center"/>
              <w:outlineLvl w:val="1"/>
              <w:rPr>
                <w:rFonts w:ascii="黑体"/>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jc w:val="center"/>
        </w:trPr>
        <w:tc>
          <w:tcPr>
            <w:tcW w:w="4652" w:type="dxa"/>
          </w:tcPr>
          <w:p>
            <w:pPr>
              <w:pStyle w:val="5"/>
              <w:spacing w:before="0" w:after="0"/>
              <w:jc w:val="center"/>
              <w:outlineLvl w:val="1"/>
              <w:rPr>
                <w:rFonts w:ascii="黑体"/>
                <w:b w:val="0"/>
              </w:rPr>
            </w:pPr>
          </w:p>
        </w:tc>
        <w:tc>
          <w:tcPr>
            <w:tcW w:w="3867" w:type="dxa"/>
          </w:tcPr>
          <w:p>
            <w:pPr>
              <w:pStyle w:val="5"/>
              <w:spacing w:before="0" w:after="0"/>
              <w:jc w:val="center"/>
              <w:outlineLvl w:val="1"/>
              <w:rPr>
                <w:rFonts w:ascii="黑体"/>
                <w:b w:val="0"/>
              </w:rPr>
            </w:pPr>
          </w:p>
        </w:tc>
      </w:tr>
    </w:tbl>
    <w:p>
      <w:pPr>
        <w:ind w:left="578"/>
        <w:jc w:val="left"/>
        <w:rPr>
          <w:sz w:val="18"/>
        </w:rPr>
      </w:pPr>
    </w:p>
    <w:p>
      <w:pPr>
        <w:ind w:left="578"/>
        <w:jc w:val="left"/>
        <w:rPr>
          <w:sz w:val="18"/>
        </w:rPr>
      </w:pPr>
      <w:r>
        <w:rPr>
          <w:sz w:val="18"/>
        </w:rPr>
        <w:t>注：本表后应附法院或仲裁机构作出的判决、裁决等有关法律文书复印件。</w:t>
      </w:r>
    </w:p>
    <w:p>
      <w:pPr>
        <w:rPr>
          <w:sz w:val="18"/>
        </w:rPr>
      </w:pPr>
      <w:r>
        <w:rPr>
          <w:sz w:val="18"/>
        </w:rPr>
        <w:br w:type="page"/>
      </w:r>
    </w:p>
    <w:p>
      <w:pPr>
        <w:pStyle w:val="5"/>
        <w:spacing w:before="0"/>
        <w:jc w:val="center"/>
        <w:rPr>
          <w:rFonts w:ascii="黑体"/>
          <w:b w:val="0"/>
          <w:color w:val="0000FF"/>
          <w:highlight w:val="yellow"/>
        </w:rPr>
      </w:pPr>
      <w:bookmarkStart w:id="7653" w:name="_Toc461134533"/>
      <w:bookmarkStart w:id="7654" w:name="_Toc452468791"/>
      <w:bookmarkStart w:id="7655" w:name="_Toc411430245"/>
      <w:r>
        <w:rPr>
          <w:rFonts w:hint="eastAsia" w:ascii="黑体"/>
          <w:b w:val="0"/>
          <w:color w:val="0000FF"/>
          <w:highlight w:val="yellow"/>
        </w:rPr>
        <w:t>（十一）诚信信息系统一览表</w:t>
      </w:r>
      <w:bookmarkEnd w:id="7653"/>
      <w:bookmarkEnd w:id="7654"/>
      <w:bookmarkEnd w:id="7655"/>
    </w:p>
    <w:tbl>
      <w:tblPr>
        <w:tblStyle w:val="20"/>
        <w:tblW w:w="0" w:type="auto"/>
        <w:tblInd w:w="0" w:type="dxa"/>
        <w:tblLayout w:type="fixed"/>
        <w:tblCellMar>
          <w:top w:w="0" w:type="dxa"/>
          <w:left w:w="108" w:type="dxa"/>
          <w:bottom w:w="0" w:type="dxa"/>
          <w:right w:w="108" w:type="dxa"/>
        </w:tblCellMar>
      </w:tblPr>
      <w:tblGrid>
        <w:gridCol w:w="1892"/>
        <w:gridCol w:w="4012"/>
        <w:gridCol w:w="2898"/>
      </w:tblGrid>
      <w:tr>
        <w:tblPrEx>
          <w:tblCellMar>
            <w:top w:w="0" w:type="dxa"/>
            <w:left w:w="108" w:type="dxa"/>
            <w:bottom w:w="0" w:type="dxa"/>
            <w:right w:w="108" w:type="dxa"/>
          </w:tblCellMar>
        </w:tblPrEx>
        <w:trPr>
          <w:trHeight w:val="916" w:hRule="atLeast"/>
        </w:trPr>
        <w:tc>
          <w:tcPr>
            <w:tcW w:w="1892" w:type="dxa"/>
            <w:tcBorders>
              <w:top w:val="single" w:color="auto" w:sz="12" w:space="0"/>
              <w:left w:val="single" w:color="auto" w:sz="12" w:space="0"/>
              <w:bottom w:val="single" w:color="auto" w:sz="4" w:space="0"/>
              <w:right w:val="single" w:color="auto" w:sz="4" w:space="0"/>
            </w:tcBorders>
            <w:vAlign w:val="center"/>
          </w:tcPr>
          <w:p>
            <w:pPr>
              <w:spacing w:line="500" w:lineRule="exact"/>
              <w:jc w:val="center"/>
              <w:rPr>
                <w:rFonts w:ascii="宋体" w:hAnsi="宋体"/>
                <w:b/>
                <w:bCs/>
                <w:szCs w:val="21"/>
                <w:highlight w:val="yellow"/>
              </w:rPr>
            </w:pPr>
            <w:r>
              <w:rPr>
                <w:rFonts w:hint="eastAsia" w:ascii="宋体" w:hAnsi="宋体"/>
                <w:b/>
                <w:bCs/>
                <w:szCs w:val="21"/>
                <w:highlight w:val="yellow"/>
              </w:rPr>
              <w:t>投标人全称</w:t>
            </w:r>
          </w:p>
        </w:tc>
        <w:tc>
          <w:tcPr>
            <w:tcW w:w="6910" w:type="dxa"/>
            <w:gridSpan w:val="2"/>
            <w:tcBorders>
              <w:top w:val="single" w:color="auto" w:sz="12" w:space="0"/>
              <w:left w:val="single" w:color="auto" w:sz="4" w:space="0"/>
              <w:bottom w:val="single" w:color="auto" w:sz="4" w:space="0"/>
              <w:right w:val="single" w:color="auto" w:sz="12" w:space="0"/>
            </w:tcBorders>
            <w:vAlign w:val="center"/>
          </w:tcPr>
          <w:p>
            <w:pPr>
              <w:jc w:val="center"/>
              <w:rPr>
                <w:rFonts w:ascii="宋体" w:hAnsi="宋体"/>
                <w:b/>
                <w:bCs/>
                <w:w w:val="150"/>
                <w:szCs w:val="21"/>
                <w:highlight w:val="yellow"/>
              </w:rPr>
            </w:pPr>
          </w:p>
        </w:tc>
      </w:tr>
      <w:tr>
        <w:tblPrEx>
          <w:tblCellMar>
            <w:top w:w="0" w:type="dxa"/>
            <w:left w:w="108" w:type="dxa"/>
            <w:bottom w:w="0" w:type="dxa"/>
            <w:right w:w="108" w:type="dxa"/>
          </w:tblCellMar>
        </w:tblPrEx>
        <w:trPr>
          <w:trHeight w:val="934" w:hRule="atLeast"/>
        </w:trPr>
        <w:tc>
          <w:tcPr>
            <w:tcW w:w="1892" w:type="dxa"/>
            <w:tcBorders>
              <w:top w:val="single" w:color="auto" w:sz="4" w:space="0"/>
              <w:left w:val="single" w:color="auto" w:sz="12" w:space="0"/>
              <w:bottom w:val="single" w:color="auto" w:sz="4" w:space="0"/>
              <w:right w:val="single" w:color="auto" w:sz="4" w:space="0"/>
            </w:tcBorders>
            <w:vAlign w:val="center"/>
          </w:tcPr>
          <w:p>
            <w:pPr>
              <w:spacing w:line="500" w:lineRule="exact"/>
              <w:jc w:val="center"/>
              <w:rPr>
                <w:rFonts w:ascii="宋体" w:hAnsi="宋体"/>
                <w:b/>
                <w:bCs/>
                <w:szCs w:val="21"/>
                <w:highlight w:val="yellow"/>
              </w:rPr>
            </w:pPr>
            <w:r>
              <w:rPr>
                <w:rFonts w:hint="eastAsia" w:ascii="宋体" w:hAnsi="宋体"/>
                <w:b/>
                <w:bCs/>
                <w:szCs w:val="21"/>
                <w:highlight w:val="yellow"/>
              </w:rPr>
              <w:t>企业资质</w:t>
            </w:r>
          </w:p>
        </w:tc>
        <w:tc>
          <w:tcPr>
            <w:tcW w:w="6910" w:type="dxa"/>
            <w:gridSpan w:val="2"/>
            <w:tcBorders>
              <w:top w:val="single" w:color="auto" w:sz="4" w:space="0"/>
              <w:left w:val="single" w:color="auto" w:sz="4" w:space="0"/>
              <w:bottom w:val="single" w:color="auto" w:sz="4" w:space="0"/>
              <w:right w:val="single" w:color="auto" w:sz="12" w:space="0"/>
            </w:tcBorders>
            <w:vAlign w:val="center"/>
          </w:tcPr>
          <w:p>
            <w:pPr>
              <w:jc w:val="center"/>
              <w:rPr>
                <w:rFonts w:ascii="宋体" w:hAnsi="宋体"/>
                <w:b/>
                <w:bCs/>
                <w:w w:val="150"/>
                <w:szCs w:val="21"/>
                <w:highlight w:val="yellow"/>
              </w:rPr>
            </w:pPr>
          </w:p>
        </w:tc>
      </w:tr>
      <w:tr>
        <w:tblPrEx>
          <w:tblCellMar>
            <w:top w:w="0" w:type="dxa"/>
            <w:left w:w="108" w:type="dxa"/>
            <w:bottom w:w="0" w:type="dxa"/>
            <w:right w:w="108" w:type="dxa"/>
          </w:tblCellMar>
        </w:tblPrEx>
        <w:trPr>
          <w:trHeight w:val="1694" w:hRule="atLeast"/>
        </w:trPr>
        <w:tc>
          <w:tcPr>
            <w:tcW w:w="5904" w:type="dxa"/>
            <w:gridSpan w:val="2"/>
            <w:tcBorders>
              <w:top w:val="single" w:color="auto" w:sz="4" w:space="0"/>
              <w:left w:val="single" w:color="auto" w:sz="12" w:space="0"/>
              <w:bottom w:val="single" w:color="auto" w:sz="4" w:space="0"/>
              <w:right w:val="single" w:color="auto" w:sz="4" w:space="0"/>
            </w:tcBorders>
            <w:vAlign w:val="center"/>
          </w:tcPr>
          <w:p>
            <w:pPr>
              <w:spacing w:line="500" w:lineRule="exact"/>
              <w:jc w:val="left"/>
              <w:rPr>
                <w:rFonts w:ascii="宋体" w:hAnsi="宋体"/>
                <w:b/>
                <w:bCs/>
                <w:szCs w:val="21"/>
                <w:highlight w:val="yellow"/>
              </w:rPr>
            </w:pPr>
            <w:r>
              <w:rPr>
                <w:rFonts w:hint="eastAsia" w:ascii="宋体" w:hAnsi="宋体"/>
                <w:b/>
                <w:bCs/>
                <w:szCs w:val="21"/>
                <w:highlight w:val="yellow"/>
              </w:rPr>
              <w:t>投标人根据浙江省交通运输厅2022年公布的企业信用评价结果或杭州市交通运输管理服务中心2021年公布的企业信用评价结果</w:t>
            </w:r>
          </w:p>
        </w:tc>
        <w:tc>
          <w:tcPr>
            <w:tcW w:w="2898" w:type="dxa"/>
            <w:tcBorders>
              <w:top w:val="single" w:color="auto" w:sz="4" w:space="0"/>
              <w:left w:val="single" w:color="auto" w:sz="4" w:space="0"/>
              <w:bottom w:val="single" w:color="auto" w:sz="4" w:space="0"/>
              <w:right w:val="single" w:color="auto" w:sz="12" w:space="0"/>
            </w:tcBorders>
            <w:vAlign w:val="center"/>
          </w:tcPr>
          <w:p>
            <w:pPr>
              <w:spacing w:line="500" w:lineRule="exact"/>
              <w:jc w:val="center"/>
              <w:rPr>
                <w:b/>
                <w:bCs/>
                <w:szCs w:val="21"/>
                <w:highlight w:val="yellow"/>
              </w:rPr>
            </w:pPr>
            <w:r>
              <w:rPr>
                <w:rFonts w:hint="eastAsia"/>
                <w:b/>
                <w:bCs/>
                <w:szCs w:val="21"/>
                <w:highlight w:val="yellow"/>
              </w:rPr>
              <w:t>（填</w:t>
            </w:r>
            <w:r>
              <w:rPr>
                <w:b/>
                <w:bCs/>
                <w:szCs w:val="21"/>
                <w:highlight w:val="yellow"/>
              </w:rPr>
              <w:t>AA、A、B、C、D</w:t>
            </w:r>
            <w:r>
              <w:rPr>
                <w:rFonts w:hint="eastAsia"/>
                <w:b/>
                <w:bCs/>
                <w:szCs w:val="21"/>
                <w:highlight w:val="yellow"/>
              </w:rPr>
              <w:t>或未参加）</w:t>
            </w:r>
          </w:p>
        </w:tc>
      </w:tr>
    </w:tbl>
    <w:p>
      <w:pPr>
        <w:spacing w:line="360" w:lineRule="auto"/>
        <w:rPr>
          <w:rFonts w:ascii="宋体" w:hAnsi="宋体"/>
          <w:b/>
          <w:bCs/>
          <w:sz w:val="18"/>
          <w:szCs w:val="18"/>
          <w:highlight w:val="yellow"/>
        </w:rPr>
      </w:pPr>
    </w:p>
    <w:p>
      <w:pPr>
        <w:spacing w:line="360" w:lineRule="auto"/>
        <w:rPr>
          <w:rFonts w:ascii="宋体" w:hAnsi="宋体"/>
          <w:b/>
          <w:bCs/>
          <w:sz w:val="18"/>
          <w:szCs w:val="18"/>
          <w:highlight w:val="yellow"/>
        </w:rPr>
      </w:pPr>
      <w:r>
        <w:rPr>
          <w:rFonts w:hint="eastAsia" w:ascii="宋体" w:hAnsi="宋体"/>
          <w:b/>
          <w:bCs/>
          <w:sz w:val="18"/>
          <w:szCs w:val="18"/>
          <w:highlight w:val="yellow"/>
        </w:rPr>
        <w:t>注：</w:t>
      </w:r>
    </w:p>
    <w:p>
      <w:pPr>
        <w:spacing w:line="360" w:lineRule="auto"/>
        <w:rPr>
          <w:rFonts w:ascii="宋体" w:hAnsi="宋体"/>
          <w:sz w:val="18"/>
          <w:szCs w:val="18"/>
        </w:rPr>
      </w:pPr>
      <w:r>
        <w:rPr>
          <w:rFonts w:hint="eastAsia" w:ascii="宋体" w:hAnsi="宋体"/>
          <w:b/>
          <w:bCs/>
          <w:sz w:val="18"/>
          <w:szCs w:val="18"/>
          <w:highlight w:val="yellow"/>
        </w:rPr>
        <w:t>1.本表后应附浙江省交通运输厅信用交通网站公布的2022年企业信用评价结果查询打印件或杭州交通信息网公布的2021年信用评价结果打印件，若未提供相关证明材料，或信用评价等级与证明材料不符的，则信用等级项不得分。</w:t>
      </w:r>
    </w:p>
    <w:p>
      <w:pPr>
        <w:pStyle w:val="2"/>
        <w:ind w:firstLine="240"/>
      </w:pPr>
    </w:p>
    <w:p>
      <w:pPr>
        <w:pStyle w:val="5"/>
        <w:spacing w:before="0" w:after="0"/>
        <w:rPr>
          <w:rFonts w:ascii="黑体"/>
          <w:b w:val="0"/>
        </w:rPr>
      </w:pPr>
    </w:p>
    <w:p>
      <w:pPr>
        <w:jc w:val="center"/>
      </w:pPr>
    </w:p>
    <w:p>
      <w:pPr>
        <w:pStyle w:val="5"/>
        <w:spacing w:before="0" w:after="0"/>
        <w:jc w:val="center"/>
        <w:rPr>
          <w:rFonts w:ascii="黑体"/>
          <w:b w:val="0"/>
        </w:rPr>
      </w:pPr>
    </w:p>
    <w:p>
      <w:pPr>
        <w:rPr>
          <w:rFonts w:ascii="黑体"/>
        </w:rPr>
      </w:pPr>
    </w:p>
    <w:p>
      <w:pPr>
        <w:pStyle w:val="2"/>
        <w:ind w:firstLine="240"/>
        <w:rPr>
          <w:rFonts w:ascii="黑体"/>
        </w:rPr>
      </w:pPr>
    </w:p>
    <w:p>
      <w:pPr>
        <w:rPr>
          <w:rFonts w:ascii="黑体"/>
        </w:rPr>
      </w:pPr>
      <w:bookmarkStart w:id="7656" w:name="_Toc17722"/>
      <w:bookmarkStart w:id="7657" w:name="_Toc20269"/>
      <w:bookmarkStart w:id="7658" w:name="_Toc30390"/>
      <w:bookmarkStart w:id="7659" w:name="_Toc3688"/>
      <w:bookmarkStart w:id="7660" w:name="_Toc14691"/>
      <w:r>
        <w:rPr>
          <w:rFonts w:hint="eastAsia" w:ascii="黑体"/>
        </w:rPr>
        <w:br w:type="page"/>
      </w:r>
    </w:p>
    <w:p>
      <w:pPr>
        <w:pStyle w:val="5"/>
        <w:spacing w:before="0" w:after="0"/>
        <w:jc w:val="center"/>
        <w:rPr>
          <w:rFonts w:ascii="黑体"/>
          <w:b w:val="0"/>
        </w:rPr>
      </w:pPr>
      <w:r>
        <w:rPr>
          <w:rFonts w:hint="eastAsia" w:ascii="黑体"/>
          <w:b w:val="0"/>
        </w:rPr>
        <w:t>八、履 约 承  诺  函</w:t>
      </w:r>
      <w:bookmarkEnd w:id="7617"/>
      <w:bookmarkEnd w:id="7618"/>
      <w:bookmarkEnd w:id="7619"/>
      <w:bookmarkEnd w:id="7620"/>
      <w:bookmarkEnd w:id="7621"/>
      <w:bookmarkEnd w:id="7622"/>
      <w:bookmarkEnd w:id="7623"/>
      <w:bookmarkEnd w:id="7624"/>
      <w:bookmarkEnd w:id="7625"/>
      <w:bookmarkEnd w:id="7626"/>
      <w:bookmarkEnd w:id="7627"/>
      <w:bookmarkEnd w:id="7628"/>
      <w:bookmarkEnd w:id="7634"/>
      <w:bookmarkEnd w:id="7635"/>
      <w:bookmarkEnd w:id="7636"/>
      <w:bookmarkEnd w:id="7637"/>
      <w:bookmarkEnd w:id="7638"/>
      <w:bookmarkEnd w:id="7639"/>
      <w:bookmarkEnd w:id="7640"/>
      <w:bookmarkEnd w:id="7641"/>
      <w:bookmarkEnd w:id="7642"/>
      <w:bookmarkEnd w:id="7656"/>
      <w:bookmarkEnd w:id="7657"/>
      <w:bookmarkEnd w:id="7658"/>
      <w:bookmarkEnd w:id="7659"/>
      <w:bookmarkEnd w:id="7660"/>
    </w:p>
    <w:p>
      <w:pPr>
        <w:spacing w:line="420" w:lineRule="exact"/>
        <w:rPr>
          <w:rFonts w:ascii="宋体" w:hAnsi="宋体"/>
          <w:sz w:val="24"/>
          <w:u w:val="single"/>
        </w:rPr>
      </w:pPr>
    </w:p>
    <w:p>
      <w:pPr>
        <w:spacing w:line="420" w:lineRule="exact"/>
        <w:rPr>
          <w:rFonts w:ascii="宋体" w:hAnsi="宋体"/>
          <w:sz w:val="24"/>
        </w:rPr>
      </w:pPr>
      <w:r>
        <w:rPr>
          <w:rFonts w:hint="eastAsia" w:ascii="宋体" w:hAnsi="宋体"/>
          <w:sz w:val="24"/>
        </w:rPr>
        <w:t>（招标人名称）</w:t>
      </w:r>
    </w:p>
    <w:p>
      <w:pPr>
        <w:spacing w:line="420" w:lineRule="exact"/>
        <w:rPr>
          <w:rFonts w:ascii="宋体" w:hAnsi="宋体"/>
          <w:sz w:val="24"/>
        </w:rPr>
      </w:pPr>
    </w:p>
    <w:p>
      <w:pPr>
        <w:spacing w:line="480" w:lineRule="auto"/>
        <w:rPr>
          <w:rFonts w:ascii="宋体" w:hAnsi="宋体"/>
          <w:sz w:val="24"/>
        </w:rPr>
      </w:pPr>
      <w:r>
        <w:rPr>
          <w:rFonts w:hint="eastAsia" w:ascii="宋体" w:hAnsi="宋体"/>
          <w:sz w:val="24"/>
        </w:rPr>
        <w:t>我方参加了（项目名称）工程投标，若我方中标，在此承诺：</w:t>
      </w:r>
    </w:p>
    <w:p>
      <w:pPr>
        <w:numPr>
          <w:ilvl w:val="255"/>
          <w:numId w:val="0"/>
        </w:numPr>
        <w:spacing w:line="480" w:lineRule="auto"/>
        <w:ind w:firstLine="720" w:firstLineChars="300"/>
        <w:rPr>
          <w:rFonts w:ascii="宋体" w:hAnsi="宋体"/>
          <w:sz w:val="24"/>
        </w:rPr>
      </w:pPr>
      <w:r>
        <w:rPr>
          <w:rFonts w:hint="eastAsia" w:ascii="宋体" w:hAnsi="宋体"/>
          <w:sz w:val="24"/>
        </w:rPr>
        <w:t>在项目履约过程中,我方将严格按投标文件中填报的人员、机械设备、资金进行投入，按时开工,按时完工,工程质量达到招标文件要求,及时履行缺陷责任期保修义务.</w:t>
      </w:r>
    </w:p>
    <w:p>
      <w:pPr>
        <w:spacing w:line="480" w:lineRule="auto"/>
        <w:ind w:firstLine="720" w:firstLineChars="300"/>
        <w:rPr>
          <w:rFonts w:ascii="宋体" w:hAnsi="宋体"/>
          <w:color w:val="FF0000"/>
          <w:sz w:val="24"/>
        </w:rPr>
      </w:pPr>
      <w:r>
        <w:rPr>
          <w:rFonts w:hint="eastAsia" w:ascii="宋体" w:hAnsi="宋体"/>
          <w:color w:val="FF0000"/>
          <w:sz w:val="24"/>
        </w:rPr>
        <w:t>如我方违背了上述承诺，本项目招标人有权取消我方的中标资格，并由招标人将我方的违约行为上报省级交通主管部门,扣减信用评价分。</w:t>
      </w:r>
    </w:p>
    <w:p>
      <w:pPr>
        <w:spacing w:line="420" w:lineRule="exact"/>
        <w:rPr>
          <w:rFonts w:ascii="宋体" w:hAnsi="宋体"/>
          <w:sz w:val="24"/>
        </w:rPr>
      </w:pPr>
    </w:p>
    <w:p>
      <w:pPr>
        <w:spacing w:line="420" w:lineRule="exact"/>
        <w:rPr>
          <w:rFonts w:ascii="宋体" w:hAnsi="宋体"/>
          <w:sz w:val="24"/>
        </w:rPr>
      </w:pPr>
    </w:p>
    <w:p>
      <w:pPr>
        <w:spacing w:line="420" w:lineRule="exact"/>
        <w:ind w:firstLine="3360" w:firstLineChars="1400"/>
        <w:rPr>
          <w:rFonts w:ascii="宋体" w:hAnsi="宋体"/>
          <w:sz w:val="24"/>
        </w:rPr>
      </w:pPr>
      <w:r>
        <w:rPr>
          <w:rFonts w:hint="eastAsia" w:ascii="宋体" w:hAnsi="宋体"/>
          <w:sz w:val="24"/>
        </w:rPr>
        <w:t>投标人：（全称并盖单位电子公章）</w:t>
      </w:r>
    </w:p>
    <w:p>
      <w:pPr>
        <w:spacing w:line="420" w:lineRule="exact"/>
        <w:ind w:firstLine="3360" w:firstLineChars="1400"/>
        <w:rPr>
          <w:rFonts w:ascii="宋体" w:hAnsi="宋体"/>
          <w:sz w:val="24"/>
        </w:rPr>
      </w:pPr>
      <w:r>
        <w:rPr>
          <w:rFonts w:hint="eastAsia" w:ascii="宋体" w:hAnsi="宋体"/>
          <w:sz w:val="24"/>
        </w:rPr>
        <w:t>法定代表人：（签电子章）</w:t>
      </w:r>
    </w:p>
    <w:p>
      <w:pPr>
        <w:spacing w:line="420" w:lineRule="exact"/>
        <w:ind w:firstLine="5640" w:firstLineChars="2350"/>
        <w:rPr>
          <w:rFonts w:ascii="宋体" w:hAnsi="宋体"/>
          <w:sz w:val="24"/>
          <w:u w:val="single"/>
        </w:rPr>
      </w:pPr>
    </w:p>
    <w:p>
      <w:pPr>
        <w:spacing w:line="420" w:lineRule="exact"/>
        <w:ind w:firstLine="5640" w:firstLineChars="2350"/>
        <w:rPr>
          <w:rFonts w:ascii="宋体" w:hAnsi="宋体"/>
          <w:sz w:val="24"/>
        </w:rPr>
      </w:pPr>
      <w:r>
        <w:rPr>
          <w:rFonts w:hint="eastAsia" w:ascii="宋体" w:hAnsi="宋体"/>
          <w:sz w:val="24"/>
        </w:rPr>
        <w:t>年   月   日</w:t>
      </w:r>
    </w:p>
    <w:p>
      <w:pPr>
        <w:spacing w:line="420" w:lineRule="exact"/>
        <w:ind w:firstLine="5640" w:firstLineChars="2350"/>
        <w:rPr>
          <w:rFonts w:ascii="宋体" w:hAnsi="宋体"/>
          <w:sz w:val="24"/>
        </w:rPr>
      </w:pPr>
    </w:p>
    <w:p>
      <w:bookmarkStart w:id="7661" w:name="_Toc27195"/>
      <w:bookmarkStart w:id="7662" w:name="_Toc11059"/>
      <w:bookmarkStart w:id="7663" w:name="_Toc29785"/>
      <w:bookmarkStart w:id="7664" w:name="_Toc1166"/>
      <w:bookmarkStart w:id="7665" w:name="_Toc16696"/>
      <w:bookmarkStart w:id="7666" w:name="_Toc282779894"/>
      <w:bookmarkStart w:id="7667" w:name="_Toc233423391"/>
      <w:bookmarkStart w:id="7668" w:name="_Toc282779385"/>
      <w:bookmarkStart w:id="7669" w:name="_Toc3865"/>
      <w:bookmarkStart w:id="7670" w:name="_Toc252720339"/>
      <w:bookmarkStart w:id="7671" w:name="_Toc233215061"/>
      <w:bookmarkStart w:id="7672" w:name="_Toc283794582"/>
      <w:bookmarkStart w:id="7673" w:name="_Toc24455"/>
      <w:bookmarkStart w:id="7674" w:name="_Toc288547038"/>
      <w:bookmarkStart w:id="7675" w:name="_Toc12479"/>
      <w:bookmarkStart w:id="7676" w:name="_Toc233429908"/>
      <w:bookmarkStart w:id="7677" w:name="_Toc29341"/>
      <w:bookmarkStart w:id="7678" w:name="_Toc287853735"/>
      <w:bookmarkStart w:id="7679" w:name="_Toc233290506"/>
      <w:bookmarkStart w:id="7680" w:name="_Toc233436047"/>
      <w:bookmarkStart w:id="7681" w:name="_Toc910"/>
      <w:bookmarkStart w:id="7682" w:name="_Toc288491913"/>
      <w:bookmarkStart w:id="7683" w:name="_Toc17776"/>
      <w:bookmarkStart w:id="7684" w:name="_Toc1536"/>
      <w:bookmarkStart w:id="7685" w:name="_Toc282787849"/>
      <w:bookmarkStart w:id="7686" w:name="_Toc16376"/>
    </w:p>
    <w:p>
      <w:pPr>
        <w:pStyle w:val="5"/>
        <w:jc w:val="center"/>
        <w:rPr>
          <w:b w:val="0"/>
        </w:rPr>
      </w:pPr>
      <w:bookmarkStart w:id="7687" w:name="_Toc14340"/>
    </w:p>
    <w:p>
      <w:pPr>
        <w:pStyle w:val="5"/>
        <w:jc w:val="center"/>
        <w:rPr>
          <w:b w:val="0"/>
        </w:rPr>
      </w:pPr>
    </w:p>
    <w:p/>
    <w:p/>
    <w:p>
      <w:pPr>
        <w:pStyle w:val="5"/>
        <w:jc w:val="center"/>
        <w:rPr>
          <w:rFonts w:ascii="黑体"/>
          <w:b w:val="0"/>
        </w:rPr>
      </w:pPr>
      <w:bookmarkStart w:id="7688" w:name="_Toc25411"/>
      <w:bookmarkStart w:id="7689" w:name="_Toc3786"/>
      <w:bookmarkStart w:id="7690" w:name="_Toc11606"/>
      <w:bookmarkStart w:id="7691" w:name="_Toc9111"/>
      <w:r>
        <w:rPr>
          <w:rFonts w:hint="eastAsia" w:ascii="黑体"/>
          <w:b w:val="0"/>
        </w:rPr>
        <w:t>九</w:t>
      </w:r>
      <w:r>
        <w:rPr>
          <w:rFonts w:ascii="黑体"/>
          <w:b w:val="0"/>
        </w:rPr>
        <w:t>、其 它 材 料</w:t>
      </w:r>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p>
    <w:p/>
    <w:p/>
    <w:p/>
    <w:p/>
    <w:p/>
    <w:sectPr>
      <w:footerReference r:id="rId20" w:type="first"/>
      <w:footerReference r:id="rId19" w:type="default"/>
      <w:pgSz w:w="11906" w:h="16838"/>
      <w:pgMar w:top="1417" w:right="1418" w:bottom="1417" w:left="1418" w:header="964" w:footer="1134" w:gutter="0"/>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隶书">
    <w:altName w:val="微软雅黑"/>
    <w:panose1 w:val="0201050906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Arial Narrow">
    <w:altName w:val="Arial"/>
    <w:panose1 w:val="020B0606020202030204"/>
    <w:charset w:val="00"/>
    <w:family w:val="swiss"/>
    <w:pitch w:val="default"/>
    <w:sig w:usb0="00000000" w:usb1="00000000" w:usb2="00000000" w:usb3="00000000" w:csb0="0000009F" w:csb1="00000000"/>
  </w:font>
  <w:font w:name="华文新魏">
    <w:altName w:val="宋体"/>
    <w:panose1 w:val="0201080004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firstLine="360"/>
    </w:pPr>
    <w:r>
      <w:pict>
        <v:shape id="_x0000_s2049" o:spid="_x0000_s2049" o:spt="202" type="#_x0000_t202" style="position:absolute;left:0pt;margin-top:0pt;height:144pt;width:17.2pt;mso-position-horizontal:center;mso-position-horizontal-relative:margin;z-index:251660288;mso-width-relative:page;mso-height-relative:page;" filled="f" stroked="f" coordsize="21600,21600" o:gfxdata="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2sY3g1AAAAAQBAAAPAAAAAAAAAAEAIAAAACIAAABkcnMvZG93bnJldi54&#10;bWxQSwECFAAUAAAACACHTuJAdP5rvDcCAABkBAAADgAAAAAAAAABACAAAAAjAQAAZHJzL2Uyb0Rv&#10;Yy54bWxQSwUGAAAAAAYABgBZAQAAzAUAAAAA&#10;">
          <v:path/>
          <v:fill on="f" focussize="0,0"/>
          <v:stroke on="f" weight="0.5pt" joinstyle="miter"/>
          <v:imagedata o:title=""/>
          <o:lock v:ext="edit"/>
          <v:textbox inset="0mm,0mm,0mm,0mm" style="mso-fit-shape-to-text:t;">
            <w:txbxContent>
              <w:p>
                <w:pPr>
                  <w:pStyle w:val="16"/>
                </w:pPr>
                <w:r>
                  <w:fldChar w:fldCharType="begin"/>
                </w:r>
                <w:r>
                  <w:instrText xml:space="preserve"> PAGE  \* MERGEFORMAT </w:instrText>
                </w:r>
                <w:r>
                  <w:fldChar w:fldCharType="separate"/>
                </w:r>
                <w:r>
                  <w:t>169</w:t>
                </w:r>
                <w: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2050" o:spid="_x0000_s2050"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cYOQyAgAAY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Zg8y8JG&#10;by2P0FEeb5eHADmTylGUTgl0Jx4we6lPlz2Jw/3nOUU9/TcsH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2Zxg5DICAABjBAAADgAAAAAAAAABACAAAAAfAQAAZHJzL2Uyb0RvYy54bWxQSwUG&#10;AAAAAAYABgBZAQAAwwUAAAAA&#10;">
          <v:path/>
          <v:fill on="f" focussize="0,0"/>
          <v:stroke on="f" weight="0.5pt" joinstyle="miter"/>
          <v:imagedata o:title=""/>
          <o:lock v:ext="edit"/>
          <v:textbox inset="0mm,0mm,0mm,0mm" style="mso-fit-shape-to-text:t;">
            <w:txbxContent>
              <w:p>
                <w:pPr>
                  <w:pStyle w:val="16"/>
                </w:pPr>
                <w:r>
                  <w:fldChar w:fldCharType="begin"/>
                </w:r>
                <w:r>
                  <w:instrText xml:space="preserve"> PAGE  \* MERGEFORMAT </w:instrText>
                </w:r>
                <w:r>
                  <w:fldChar w:fldCharType="separate"/>
                </w:r>
                <w:r>
                  <w:t>139</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firstLine="360"/>
    </w:pPr>
    <w:r>
      <w:pict>
        <v:shape id="_x0000_s2052" o:spid="_x0000_s2052"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D+ExAgAAZ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w/hMQIAAGUEAAAOAAAAAAAAAAEAIAAAAB8BAABkcnMvZTJvRG9jLnhtbFBLBQYA&#10;AAAABgAGAFkBAADCBQAAAAA=&#10;">
          <v:path/>
          <v:fill on="f" focussize="0,0"/>
          <v:stroke on="f" weight="0.5pt" joinstyle="miter"/>
          <v:imagedata o:title=""/>
          <o:lock v:ext="edit"/>
          <v:textbox inset="0mm,0mm,0mm,0mm" style="mso-fit-shape-to-text:t;">
            <w:txbxContent>
              <w:p>
                <w:pPr>
                  <w:pStyle w:val="16"/>
                </w:pPr>
                <w:r>
                  <w:fldChar w:fldCharType="begin"/>
                </w:r>
                <w:r>
                  <w:instrText xml:space="preserve"> PAGE  \* MERGEFORMAT </w:instrText>
                </w:r>
                <w:r>
                  <w:fldChar w:fldCharType="separate"/>
                </w:r>
                <w:r>
                  <w:t>42</w:t>
                </w:r>
                <w: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pPr>
    <w:r>
      <w:pict>
        <v:shape id="_x0000_s2051" o:spid="_x0000_s2051" o:spt="202" type="#_x0000_t202" style="position:absolute;left:0pt;margin-left:222.3pt;margin-top:0pt;height:13.65pt;width:20.3pt;mso-position-horizontal-relative:margin;z-index:251663360;mso-width-relative:page;mso-height-relative:page;" filled="f" stroked="f" coordsize="21600,21600" o:gfxdata="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C52fNjXAAAABwEAAA8AAAAAAAAAAQAgAAAAIgAAAGRycy9kb3ducmV2&#10;LnhtbFBLAQIUABQAAAAIAIdO4kDcaRN+NgIAAGUEAAAOAAAAAAAAAAEAIAAAACYBAABkcnMvZTJv&#10;RG9jLnhtbFBLBQYAAAAABgAGAFkBAADOBQAAAAA=&#10;">
          <v:path/>
          <v:fill on="f" focussize="0,0"/>
          <v:stroke on="f" weight="0.5pt" joinstyle="miter"/>
          <v:imagedata o:title=""/>
          <o:lock v:ext="edit"/>
          <v:textbox inset="0mm,0mm,0mm,0mm">
            <w:txbxContent>
              <w:p>
                <w:pPr>
                  <w:pStyle w:val="16"/>
                </w:pPr>
                <w:r>
                  <w:fldChar w:fldCharType="begin"/>
                </w:r>
                <w:r>
                  <w:instrText xml:space="preserve"> PAGE  \* MERGEFORMAT </w:instrText>
                </w:r>
                <w:r>
                  <w:fldChar w:fldCharType="separate"/>
                </w:r>
                <w:r>
                  <w:t>138</w:t>
                </w:r>
                <w: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414" w:wrap="around" w:vAnchor="text" w:hAnchor="margin" w:xAlign="outside" w:y="2"/>
      <w:rPr>
        <w:rStyle w:val="23"/>
        <w:rFonts w:ascii="Times New Roman" w:hAnsi="Times New Roman"/>
        <w:sz w:val="21"/>
        <w:szCs w:val="21"/>
      </w:rPr>
    </w:pPr>
    <w:r>
      <w:rPr>
        <w:rFonts w:ascii="Times New Roman" w:hAnsi="Times New Roman"/>
        <w:sz w:val="21"/>
        <w:szCs w:val="21"/>
      </w:rPr>
      <w:fldChar w:fldCharType="begin"/>
    </w:r>
    <w:r>
      <w:rPr>
        <w:rStyle w:val="23"/>
        <w:rFonts w:ascii="Times New Roman" w:hAnsi="Times New Roman"/>
        <w:sz w:val="21"/>
        <w:szCs w:val="21"/>
      </w:rPr>
      <w:instrText xml:space="preserve">PAGE  </w:instrText>
    </w:r>
    <w:r>
      <w:rPr>
        <w:rFonts w:ascii="Times New Roman" w:hAnsi="Times New Roman"/>
        <w:sz w:val="21"/>
        <w:szCs w:val="21"/>
      </w:rPr>
      <w:fldChar w:fldCharType="separate"/>
    </w:r>
    <w:r>
      <w:rPr>
        <w:rStyle w:val="23"/>
        <w:rFonts w:ascii="Times New Roman" w:hAnsi="Times New Roman"/>
        <w:sz w:val="21"/>
        <w:szCs w:val="21"/>
      </w:rPr>
      <w:t>120</w:t>
    </w:r>
    <w:r>
      <w:rPr>
        <w:rFonts w:ascii="Times New Roman" w:hAnsi="Times New Roman"/>
        <w:sz w:val="21"/>
        <w:szCs w:val="21"/>
      </w:rPr>
      <w:fldChar w:fldCharType="end"/>
    </w:r>
  </w:p>
  <w:p>
    <w:pPr>
      <w:pStyle w:val="1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double" w:color="auto" w:sz="8" w:space="1"/>
      </w:pBdr>
      <w:jc w:val="both"/>
      <w:rPr>
        <w:sz w:val="21"/>
        <w:szCs w:val="21"/>
      </w:rPr>
    </w:pPr>
    <w:r>
      <w:rPr>
        <w:rFonts w:hint="eastAsia"/>
        <w:sz w:val="21"/>
        <w:szCs w:val="21"/>
      </w:rPr>
      <w:t xml:space="preserve">2020年普通国省道公路养护大中修工程（昌化段）施工         </w:t>
    </w:r>
    <w:r>
      <w:rPr>
        <w:rFonts w:hint="eastAsia" w:cs="宋体"/>
        <w:color w:val="000000" w:themeColor="text1"/>
        <w:sz w:val="21"/>
        <w:szCs w:val="21"/>
      </w:rPr>
      <w:t xml:space="preserve">                             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double" w:color="auto" w:sz="8" w:space="1"/>
      </w:pBdr>
      <w:rPr>
        <w:sz w:val="21"/>
        <w:szCs w:val="21"/>
      </w:rPr>
    </w:pPr>
    <w:r>
      <w:rPr>
        <w:rFonts w:hint="eastAsia" w:cs="宋体"/>
        <w:color w:val="000000" w:themeColor="text1"/>
        <w:lang w:eastAsia="zh-CN"/>
      </w:rPr>
      <w:t>桐庐县2022年普通国道养护大中修工程（G320沪瑞线）</w:t>
    </w:r>
    <w:r>
      <w:rPr>
        <w:rFonts w:hint="eastAsia" w:cs="宋体"/>
        <w:color w:val="000000" w:themeColor="text1"/>
      </w:rPr>
      <w:t xml:space="preserve">                                                     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double" w:color="auto" w:sz="8" w:space="1"/>
      </w:pBdr>
    </w:pPr>
    <w:r>
      <w:rPr>
        <w:rFonts w:hint="eastAsia" w:cs="宋体"/>
        <w:color w:val="000000" w:themeColor="text1"/>
        <w:lang w:eastAsia="zh-CN"/>
      </w:rPr>
      <w:t>桐庐县2022年普通国道养护大中修工程（G320沪瑞线）</w:t>
    </w:r>
    <w:r>
      <w:rPr>
        <w:rFonts w:hint="eastAsia" w:cs="宋体"/>
        <w:color w:val="000000" w:themeColor="text1"/>
      </w:rPr>
      <w:t xml:space="preserve">                                                   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double" w:color="auto" w:sz="8" w:space="1"/>
      </w:pBdr>
      <w:rPr>
        <w:rFonts w:ascii="黑体" w:eastAsia="黑体"/>
        <w:sz w:val="21"/>
        <w:szCs w:val="21"/>
      </w:rPr>
    </w:pPr>
    <w:r>
      <w:rPr>
        <w:rFonts w:hint="eastAsia" w:cs="宋体"/>
        <w:color w:val="000000" w:themeColor="text1"/>
        <w:lang w:eastAsia="zh-CN"/>
      </w:rPr>
      <w:t>桐庐县2022年普通国道养护大中修工程（G320沪瑞线）</w:t>
    </w:r>
    <w:r>
      <w:rPr>
        <w:rFonts w:hint="eastAsia" w:cs="宋体"/>
        <w:color w:val="000000" w:themeColor="text1"/>
      </w:rPr>
      <w:t xml:space="preserve">                                                    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ascii="黑体" w:eastAsia="黑体"/>
        <w:sz w:val="21"/>
        <w:szCs w:val="21"/>
      </w:rPr>
      <w:t>浙江省公路养护工程施工招标文件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3AF168"/>
    <w:multiLevelType w:val="singleLevel"/>
    <w:tmpl w:val="913AF168"/>
    <w:lvl w:ilvl="0" w:tentative="0">
      <w:start w:val="1"/>
      <w:numFmt w:val="decimal"/>
      <w:suff w:val="nothing"/>
      <w:lvlText w:val="（%1）"/>
      <w:lvlJc w:val="left"/>
      <w:pPr>
        <w:ind w:left="-482"/>
      </w:pPr>
    </w:lvl>
  </w:abstractNum>
  <w:abstractNum w:abstractNumId="1">
    <w:nsid w:val="CA9E9E1D"/>
    <w:multiLevelType w:val="singleLevel"/>
    <w:tmpl w:val="CA9E9E1D"/>
    <w:lvl w:ilvl="0" w:tentative="0">
      <w:start w:val="1"/>
      <w:numFmt w:val="chineseCounting"/>
      <w:suff w:val="space"/>
      <w:lvlText w:val="第%1节"/>
      <w:lvlJc w:val="left"/>
      <w:rPr>
        <w:rFonts w:hint="eastAsia"/>
      </w:rPr>
    </w:lvl>
  </w:abstractNum>
  <w:abstractNum w:abstractNumId="2">
    <w:nsid w:val="CB8ABDD7"/>
    <w:multiLevelType w:val="singleLevel"/>
    <w:tmpl w:val="CB8ABDD7"/>
    <w:lvl w:ilvl="0" w:tentative="0">
      <w:start w:val="2"/>
      <w:numFmt w:val="decimal"/>
      <w:suff w:val="nothing"/>
      <w:lvlText w:val="（%1）"/>
      <w:lvlJc w:val="left"/>
    </w:lvl>
  </w:abstractNum>
  <w:abstractNum w:abstractNumId="3">
    <w:nsid w:val="F2168B6F"/>
    <w:multiLevelType w:val="singleLevel"/>
    <w:tmpl w:val="F2168B6F"/>
    <w:lvl w:ilvl="0" w:tentative="0">
      <w:start w:val="2"/>
      <w:numFmt w:val="chineseCounting"/>
      <w:suff w:val="space"/>
      <w:lvlText w:val="第%1章"/>
      <w:lvlJc w:val="left"/>
      <w:rPr>
        <w:rFonts w:hint="eastAsia"/>
      </w:rPr>
    </w:lvl>
  </w:abstractNum>
  <w:abstractNum w:abstractNumId="4">
    <w:nsid w:val="0000000A"/>
    <w:multiLevelType w:val="singleLevel"/>
    <w:tmpl w:val="0000000A"/>
    <w:lvl w:ilvl="0" w:tentative="0">
      <w:start w:val="6"/>
      <w:numFmt w:val="decimal"/>
      <w:suff w:val="nothing"/>
      <w:lvlText w:val="%1．"/>
      <w:lvlJc w:val="left"/>
    </w:lvl>
  </w:abstractNum>
  <w:abstractNum w:abstractNumId="5">
    <w:nsid w:val="0000000B"/>
    <w:multiLevelType w:val="multilevel"/>
    <w:tmpl w:val="0000000B"/>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32"/>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42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122E95B2"/>
    <w:multiLevelType w:val="singleLevel"/>
    <w:tmpl w:val="122E95B2"/>
    <w:lvl w:ilvl="0" w:tentative="0">
      <w:start w:val="1"/>
      <w:numFmt w:val="decimal"/>
      <w:suff w:val="space"/>
      <w:lvlText w:val="%1."/>
      <w:lvlJc w:val="left"/>
    </w:lvl>
  </w:abstractNum>
  <w:abstractNum w:abstractNumId="7">
    <w:nsid w:val="32599711"/>
    <w:multiLevelType w:val="singleLevel"/>
    <w:tmpl w:val="32599711"/>
    <w:lvl w:ilvl="0" w:tentative="0">
      <w:start w:val="1"/>
      <w:numFmt w:val="chineseCounting"/>
      <w:suff w:val="space"/>
      <w:lvlText w:val="第%1章"/>
      <w:lvlJc w:val="left"/>
      <w:rPr>
        <w:rFonts w:hint="eastAsia"/>
      </w:rPr>
    </w:lvl>
  </w:abstractNum>
  <w:num w:numId="1">
    <w:abstractNumId w:val="5"/>
  </w:num>
  <w:num w:numId="2">
    <w:abstractNumId w:val="7"/>
  </w:num>
  <w:num w:numId="3">
    <w:abstractNumId w:val="4"/>
  </w:num>
  <w:num w:numId="4">
    <w:abstractNumId w:val="3"/>
  </w:num>
  <w:num w:numId="5">
    <w:abstractNumId w:val="6"/>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hideGrammaticalErrors/>
  <w:attachedTemplate r:id="rId1"/>
  <w:documentProtection w:edit="trackedChanges"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5B170606"/>
    <w:rsid w:val="00007685"/>
    <w:rsid w:val="000218E5"/>
    <w:rsid w:val="00035012"/>
    <w:rsid w:val="000412E8"/>
    <w:rsid w:val="0006399C"/>
    <w:rsid w:val="000A0506"/>
    <w:rsid w:val="001613D4"/>
    <w:rsid w:val="00163951"/>
    <w:rsid w:val="00173200"/>
    <w:rsid w:val="001B3309"/>
    <w:rsid w:val="001C05B6"/>
    <w:rsid w:val="001C590C"/>
    <w:rsid w:val="001E41B0"/>
    <w:rsid w:val="00221075"/>
    <w:rsid w:val="00233CC5"/>
    <w:rsid w:val="0023582E"/>
    <w:rsid w:val="002528EC"/>
    <w:rsid w:val="002B565D"/>
    <w:rsid w:val="002D518D"/>
    <w:rsid w:val="002E69AF"/>
    <w:rsid w:val="003241BE"/>
    <w:rsid w:val="0032562C"/>
    <w:rsid w:val="00326418"/>
    <w:rsid w:val="003321E4"/>
    <w:rsid w:val="003813CE"/>
    <w:rsid w:val="00397F70"/>
    <w:rsid w:val="003E4A91"/>
    <w:rsid w:val="0040102F"/>
    <w:rsid w:val="00405143"/>
    <w:rsid w:val="004345B8"/>
    <w:rsid w:val="0045549B"/>
    <w:rsid w:val="00471BD8"/>
    <w:rsid w:val="004B2C5E"/>
    <w:rsid w:val="004B50B1"/>
    <w:rsid w:val="004C2A09"/>
    <w:rsid w:val="004C49B2"/>
    <w:rsid w:val="00563E55"/>
    <w:rsid w:val="00575CFE"/>
    <w:rsid w:val="005B005C"/>
    <w:rsid w:val="005B07B2"/>
    <w:rsid w:val="005D5DD3"/>
    <w:rsid w:val="005E6A07"/>
    <w:rsid w:val="00606762"/>
    <w:rsid w:val="00607696"/>
    <w:rsid w:val="00615E60"/>
    <w:rsid w:val="00622F7D"/>
    <w:rsid w:val="006251F2"/>
    <w:rsid w:val="00633255"/>
    <w:rsid w:val="006776E9"/>
    <w:rsid w:val="006E244F"/>
    <w:rsid w:val="00704C61"/>
    <w:rsid w:val="00734D78"/>
    <w:rsid w:val="00786595"/>
    <w:rsid w:val="00795BD7"/>
    <w:rsid w:val="007A7B13"/>
    <w:rsid w:val="007B70DB"/>
    <w:rsid w:val="008067EB"/>
    <w:rsid w:val="00831C41"/>
    <w:rsid w:val="00834CB6"/>
    <w:rsid w:val="00894277"/>
    <w:rsid w:val="008E4F78"/>
    <w:rsid w:val="008F0F49"/>
    <w:rsid w:val="008F3FDF"/>
    <w:rsid w:val="00957E7E"/>
    <w:rsid w:val="00960DDD"/>
    <w:rsid w:val="009711C2"/>
    <w:rsid w:val="009729CD"/>
    <w:rsid w:val="009810CC"/>
    <w:rsid w:val="009E6809"/>
    <w:rsid w:val="009F564D"/>
    <w:rsid w:val="00A41FFD"/>
    <w:rsid w:val="00A900D9"/>
    <w:rsid w:val="00AB5E1D"/>
    <w:rsid w:val="00AD5F36"/>
    <w:rsid w:val="00AD6A82"/>
    <w:rsid w:val="00AF2718"/>
    <w:rsid w:val="00B34ACA"/>
    <w:rsid w:val="00B9319B"/>
    <w:rsid w:val="00B958C5"/>
    <w:rsid w:val="00BB68B0"/>
    <w:rsid w:val="00BE1119"/>
    <w:rsid w:val="00BF5844"/>
    <w:rsid w:val="00C409B1"/>
    <w:rsid w:val="00C9542D"/>
    <w:rsid w:val="00CE679D"/>
    <w:rsid w:val="00D03372"/>
    <w:rsid w:val="00D037BC"/>
    <w:rsid w:val="00D36972"/>
    <w:rsid w:val="00D7341A"/>
    <w:rsid w:val="00DB4615"/>
    <w:rsid w:val="00DC0B75"/>
    <w:rsid w:val="00DD3203"/>
    <w:rsid w:val="00DE4E6D"/>
    <w:rsid w:val="00E169C1"/>
    <w:rsid w:val="00EB6516"/>
    <w:rsid w:val="00EE715B"/>
    <w:rsid w:val="00EE7950"/>
    <w:rsid w:val="00EF052A"/>
    <w:rsid w:val="00EF1E47"/>
    <w:rsid w:val="00F14B07"/>
    <w:rsid w:val="00F27EC6"/>
    <w:rsid w:val="00F31960"/>
    <w:rsid w:val="00F35D85"/>
    <w:rsid w:val="00F61322"/>
    <w:rsid w:val="00F61C20"/>
    <w:rsid w:val="00F75ED7"/>
    <w:rsid w:val="00FE71C3"/>
    <w:rsid w:val="016045B2"/>
    <w:rsid w:val="018516BD"/>
    <w:rsid w:val="01B33557"/>
    <w:rsid w:val="01C35509"/>
    <w:rsid w:val="02107E2B"/>
    <w:rsid w:val="024076C9"/>
    <w:rsid w:val="02657C7E"/>
    <w:rsid w:val="02B44145"/>
    <w:rsid w:val="03486525"/>
    <w:rsid w:val="0390404F"/>
    <w:rsid w:val="039C3694"/>
    <w:rsid w:val="040F78C5"/>
    <w:rsid w:val="044A4667"/>
    <w:rsid w:val="04670E6C"/>
    <w:rsid w:val="0487407E"/>
    <w:rsid w:val="04895130"/>
    <w:rsid w:val="04896B29"/>
    <w:rsid w:val="05606AE3"/>
    <w:rsid w:val="05695FD3"/>
    <w:rsid w:val="0595445E"/>
    <w:rsid w:val="05BF3651"/>
    <w:rsid w:val="060865D4"/>
    <w:rsid w:val="06296505"/>
    <w:rsid w:val="064F2F1D"/>
    <w:rsid w:val="06642DC3"/>
    <w:rsid w:val="067B5D42"/>
    <w:rsid w:val="068B5FF5"/>
    <w:rsid w:val="069F5D18"/>
    <w:rsid w:val="06D818F4"/>
    <w:rsid w:val="071E55A4"/>
    <w:rsid w:val="074D2A75"/>
    <w:rsid w:val="075779DE"/>
    <w:rsid w:val="078168E8"/>
    <w:rsid w:val="07FF211F"/>
    <w:rsid w:val="08072C8F"/>
    <w:rsid w:val="083A0258"/>
    <w:rsid w:val="084D4B86"/>
    <w:rsid w:val="08F41B65"/>
    <w:rsid w:val="091F7138"/>
    <w:rsid w:val="09222D7E"/>
    <w:rsid w:val="09273F7B"/>
    <w:rsid w:val="098B620E"/>
    <w:rsid w:val="09D51E2B"/>
    <w:rsid w:val="0A397FA6"/>
    <w:rsid w:val="0B332C50"/>
    <w:rsid w:val="0C815DBA"/>
    <w:rsid w:val="0CC53B02"/>
    <w:rsid w:val="0CE27FFC"/>
    <w:rsid w:val="0D226D56"/>
    <w:rsid w:val="0D235F83"/>
    <w:rsid w:val="0D7F4147"/>
    <w:rsid w:val="0D896A55"/>
    <w:rsid w:val="0DA3713F"/>
    <w:rsid w:val="0DF13662"/>
    <w:rsid w:val="0E673514"/>
    <w:rsid w:val="0EA866F6"/>
    <w:rsid w:val="0F3C1CC7"/>
    <w:rsid w:val="0F5B4AA0"/>
    <w:rsid w:val="0F7538E1"/>
    <w:rsid w:val="0F8C5682"/>
    <w:rsid w:val="100B0B0F"/>
    <w:rsid w:val="104D6006"/>
    <w:rsid w:val="1073407C"/>
    <w:rsid w:val="10E06D41"/>
    <w:rsid w:val="11005477"/>
    <w:rsid w:val="11231343"/>
    <w:rsid w:val="11AB173C"/>
    <w:rsid w:val="11F518F1"/>
    <w:rsid w:val="12021703"/>
    <w:rsid w:val="121843F0"/>
    <w:rsid w:val="121F3E0F"/>
    <w:rsid w:val="121F6CD7"/>
    <w:rsid w:val="12862C27"/>
    <w:rsid w:val="12AD23FC"/>
    <w:rsid w:val="12CD1807"/>
    <w:rsid w:val="130C007A"/>
    <w:rsid w:val="13740930"/>
    <w:rsid w:val="144724F4"/>
    <w:rsid w:val="145A5B90"/>
    <w:rsid w:val="14BF716D"/>
    <w:rsid w:val="15007556"/>
    <w:rsid w:val="15220D21"/>
    <w:rsid w:val="158840C9"/>
    <w:rsid w:val="15FF6686"/>
    <w:rsid w:val="163202CA"/>
    <w:rsid w:val="169873BD"/>
    <w:rsid w:val="169F615D"/>
    <w:rsid w:val="16E800CE"/>
    <w:rsid w:val="171D7485"/>
    <w:rsid w:val="181124EC"/>
    <w:rsid w:val="18B0589E"/>
    <w:rsid w:val="19462D68"/>
    <w:rsid w:val="195C72EE"/>
    <w:rsid w:val="19E7488A"/>
    <w:rsid w:val="1A006DA9"/>
    <w:rsid w:val="1A8C09FF"/>
    <w:rsid w:val="1AAB1D9F"/>
    <w:rsid w:val="1ADE48F2"/>
    <w:rsid w:val="1B2C454D"/>
    <w:rsid w:val="1B2E4004"/>
    <w:rsid w:val="1B5408C6"/>
    <w:rsid w:val="1B564234"/>
    <w:rsid w:val="1B6D51E5"/>
    <w:rsid w:val="1BFF7709"/>
    <w:rsid w:val="1C622001"/>
    <w:rsid w:val="1CFA4EA5"/>
    <w:rsid w:val="1D3A28C5"/>
    <w:rsid w:val="1D423E3B"/>
    <w:rsid w:val="1D5D4432"/>
    <w:rsid w:val="1D9A0143"/>
    <w:rsid w:val="1E05788A"/>
    <w:rsid w:val="1E490535"/>
    <w:rsid w:val="1E906F8E"/>
    <w:rsid w:val="1EBF602E"/>
    <w:rsid w:val="1EEA7756"/>
    <w:rsid w:val="1F132DC7"/>
    <w:rsid w:val="1F3D148B"/>
    <w:rsid w:val="1F50045D"/>
    <w:rsid w:val="1FAE6F74"/>
    <w:rsid w:val="1FE36C6A"/>
    <w:rsid w:val="1FFA57EB"/>
    <w:rsid w:val="200404D6"/>
    <w:rsid w:val="2061443A"/>
    <w:rsid w:val="208B13A1"/>
    <w:rsid w:val="20D56B47"/>
    <w:rsid w:val="20E53874"/>
    <w:rsid w:val="214A5BBB"/>
    <w:rsid w:val="217A44E1"/>
    <w:rsid w:val="2240156C"/>
    <w:rsid w:val="22CE0139"/>
    <w:rsid w:val="23034771"/>
    <w:rsid w:val="24656850"/>
    <w:rsid w:val="246A3165"/>
    <w:rsid w:val="248E45FD"/>
    <w:rsid w:val="24F56701"/>
    <w:rsid w:val="24F648EB"/>
    <w:rsid w:val="264B5E2E"/>
    <w:rsid w:val="265506F4"/>
    <w:rsid w:val="266E57C4"/>
    <w:rsid w:val="27563686"/>
    <w:rsid w:val="27887C66"/>
    <w:rsid w:val="280243E0"/>
    <w:rsid w:val="283F5E35"/>
    <w:rsid w:val="28882D03"/>
    <w:rsid w:val="28DD5DA6"/>
    <w:rsid w:val="28F1425E"/>
    <w:rsid w:val="2918653D"/>
    <w:rsid w:val="29A96CD2"/>
    <w:rsid w:val="2A7E72D2"/>
    <w:rsid w:val="2A86536A"/>
    <w:rsid w:val="2B6355E6"/>
    <w:rsid w:val="2C031B05"/>
    <w:rsid w:val="2CE9393E"/>
    <w:rsid w:val="2D520495"/>
    <w:rsid w:val="2DAF1E96"/>
    <w:rsid w:val="2E1838FB"/>
    <w:rsid w:val="2E1E6D1D"/>
    <w:rsid w:val="2E4F13D6"/>
    <w:rsid w:val="2E7C587A"/>
    <w:rsid w:val="2F0A718D"/>
    <w:rsid w:val="2F0C2582"/>
    <w:rsid w:val="2F26402E"/>
    <w:rsid w:val="2F7309CE"/>
    <w:rsid w:val="2F8F6192"/>
    <w:rsid w:val="2FBC65E3"/>
    <w:rsid w:val="2FCE2056"/>
    <w:rsid w:val="2FD640C7"/>
    <w:rsid w:val="307E140A"/>
    <w:rsid w:val="30900BEC"/>
    <w:rsid w:val="30BC787F"/>
    <w:rsid w:val="30E024DD"/>
    <w:rsid w:val="313D339E"/>
    <w:rsid w:val="3204675F"/>
    <w:rsid w:val="329E5F6C"/>
    <w:rsid w:val="32C23F7A"/>
    <w:rsid w:val="32E102A8"/>
    <w:rsid w:val="33870762"/>
    <w:rsid w:val="33AE00B8"/>
    <w:rsid w:val="3498276C"/>
    <w:rsid w:val="34DE468C"/>
    <w:rsid w:val="34E13B39"/>
    <w:rsid w:val="356A24C5"/>
    <w:rsid w:val="35C115EA"/>
    <w:rsid w:val="36517A82"/>
    <w:rsid w:val="365C45F6"/>
    <w:rsid w:val="36607B8D"/>
    <w:rsid w:val="36700619"/>
    <w:rsid w:val="36D50999"/>
    <w:rsid w:val="36FE47CA"/>
    <w:rsid w:val="37476289"/>
    <w:rsid w:val="37A20A2F"/>
    <w:rsid w:val="37F22FCC"/>
    <w:rsid w:val="381D510E"/>
    <w:rsid w:val="3833105C"/>
    <w:rsid w:val="385B7BC6"/>
    <w:rsid w:val="39310E43"/>
    <w:rsid w:val="394A5581"/>
    <w:rsid w:val="39935DDA"/>
    <w:rsid w:val="3A71676A"/>
    <w:rsid w:val="3AE67971"/>
    <w:rsid w:val="3AEB097F"/>
    <w:rsid w:val="3AF90459"/>
    <w:rsid w:val="3B1361EE"/>
    <w:rsid w:val="3B2C702B"/>
    <w:rsid w:val="3B5C2241"/>
    <w:rsid w:val="3BC61B0B"/>
    <w:rsid w:val="3BCC51C9"/>
    <w:rsid w:val="3C5C1077"/>
    <w:rsid w:val="3C933603"/>
    <w:rsid w:val="3CB9637C"/>
    <w:rsid w:val="3D0C141A"/>
    <w:rsid w:val="3D315F8A"/>
    <w:rsid w:val="3E067941"/>
    <w:rsid w:val="3E262444"/>
    <w:rsid w:val="3E6F32BA"/>
    <w:rsid w:val="3EA71476"/>
    <w:rsid w:val="3EB56435"/>
    <w:rsid w:val="3EFD51AA"/>
    <w:rsid w:val="3F7448EA"/>
    <w:rsid w:val="3FA10AA5"/>
    <w:rsid w:val="3FD9537B"/>
    <w:rsid w:val="3FEF19DE"/>
    <w:rsid w:val="3FF83EE3"/>
    <w:rsid w:val="3FFD7960"/>
    <w:rsid w:val="40453F78"/>
    <w:rsid w:val="40597A82"/>
    <w:rsid w:val="40A14940"/>
    <w:rsid w:val="40D2362A"/>
    <w:rsid w:val="40D67E2E"/>
    <w:rsid w:val="41087770"/>
    <w:rsid w:val="412D19B3"/>
    <w:rsid w:val="419E32A3"/>
    <w:rsid w:val="41B524B5"/>
    <w:rsid w:val="4280405D"/>
    <w:rsid w:val="42B42A93"/>
    <w:rsid w:val="43142430"/>
    <w:rsid w:val="4346271F"/>
    <w:rsid w:val="43DB56DF"/>
    <w:rsid w:val="43F26C50"/>
    <w:rsid w:val="43FE736E"/>
    <w:rsid w:val="44180A9F"/>
    <w:rsid w:val="441C2502"/>
    <w:rsid w:val="444B6FEA"/>
    <w:rsid w:val="44750EA2"/>
    <w:rsid w:val="44C16385"/>
    <w:rsid w:val="44FD24BA"/>
    <w:rsid w:val="45030B40"/>
    <w:rsid w:val="451E0F53"/>
    <w:rsid w:val="45393E1B"/>
    <w:rsid w:val="45B56077"/>
    <w:rsid w:val="47011EE4"/>
    <w:rsid w:val="47034CAC"/>
    <w:rsid w:val="47265A2C"/>
    <w:rsid w:val="479A34E9"/>
    <w:rsid w:val="48316450"/>
    <w:rsid w:val="48660313"/>
    <w:rsid w:val="48C00FEC"/>
    <w:rsid w:val="49727349"/>
    <w:rsid w:val="4A3B5823"/>
    <w:rsid w:val="4A6E569E"/>
    <w:rsid w:val="4A9F61AC"/>
    <w:rsid w:val="4B764151"/>
    <w:rsid w:val="4B7B04DE"/>
    <w:rsid w:val="4C462C37"/>
    <w:rsid w:val="4CB81DE1"/>
    <w:rsid w:val="4D2A1D0C"/>
    <w:rsid w:val="4DC31C11"/>
    <w:rsid w:val="4DC5526B"/>
    <w:rsid w:val="4DF75692"/>
    <w:rsid w:val="4E12280F"/>
    <w:rsid w:val="4E9615C9"/>
    <w:rsid w:val="4EDA50A3"/>
    <w:rsid w:val="4F9010DD"/>
    <w:rsid w:val="4FA10E24"/>
    <w:rsid w:val="4FCA0B71"/>
    <w:rsid w:val="50741AF5"/>
    <w:rsid w:val="50DC7AD8"/>
    <w:rsid w:val="51186FE5"/>
    <w:rsid w:val="5126437A"/>
    <w:rsid w:val="516A39C5"/>
    <w:rsid w:val="51956DAD"/>
    <w:rsid w:val="519909E2"/>
    <w:rsid w:val="51CF5321"/>
    <w:rsid w:val="52C152DF"/>
    <w:rsid w:val="53114DB1"/>
    <w:rsid w:val="533071E6"/>
    <w:rsid w:val="536C2436"/>
    <w:rsid w:val="539232DA"/>
    <w:rsid w:val="53A01EB6"/>
    <w:rsid w:val="53D2329E"/>
    <w:rsid w:val="53D87180"/>
    <w:rsid w:val="53F44553"/>
    <w:rsid w:val="53FC02B0"/>
    <w:rsid w:val="541033E6"/>
    <w:rsid w:val="54393EBB"/>
    <w:rsid w:val="544D0DBE"/>
    <w:rsid w:val="54C62733"/>
    <w:rsid w:val="54D0788B"/>
    <w:rsid w:val="555325C4"/>
    <w:rsid w:val="5565443C"/>
    <w:rsid w:val="556723A6"/>
    <w:rsid w:val="55703126"/>
    <w:rsid w:val="55C80BFD"/>
    <w:rsid w:val="55EF7A98"/>
    <w:rsid w:val="55FC3FBC"/>
    <w:rsid w:val="561A5F78"/>
    <w:rsid w:val="56607184"/>
    <w:rsid w:val="56ED1FB7"/>
    <w:rsid w:val="56F51010"/>
    <w:rsid w:val="571D301B"/>
    <w:rsid w:val="572C52AB"/>
    <w:rsid w:val="579344E6"/>
    <w:rsid w:val="57BA588D"/>
    <w:rsid w:val="57F83C58"/>
    <w:rsid w:val="584C120D"/>
    <w:rsid w:val="586A01A9"/>
    <w:rsid w:val="587F5ADA"/>
    <w:rsid w:val="58D52909"/>
    <w:rsid w:val="59455A91"/>
    <w:rsid w:val="59521A25"/>
    <w:rsid w:val="59725F75"/>
    <w:rsid w:val="5995281A"/>
    <w:rsid w:val="59972AFF"/>
    <w:rsid w:val="59CA5830"/>
    <w:rsid w:val="59E521CF"/>
    <w:rsid w:val="59F5593F"/>
    <w:rsid w:val="5A163CDE"/>
    <w:rsid w:val="5A554BFB"/>
    <w:rsid w:val="5AF37BAA"/>
    <w:rsid w:val="5B170606"/>
    <w:rsid w:val="5B47271D"/>
    <w:rsid w:val="5BE145F2"/>
    <w:rsid w:val="5C1209D7"/>
    <w:rsid w:val="5C1E4DCB"/>
    <w:rsid w:val="5C2150F8"/>
    <w:rsid w:val="5CBF1231"/>
    <w:rsid w:val="5D142104"/>
    <w:rsid w:val="5D1C6FCC"/>
    <w:rsid w:val="5DF77E5F"/>
    <w:rsid w:val="5E7B55CC"/>
    <w:rsid w:val="5ECC0A76"/>
    <w:rsid w:val="5F630463"/>
    <w:rsid w:val="5F7A5716"/>
    <w:rsid w:val="60212A01"/>
    <w:rsid w:val="603168B5"/>
    <w:rsid w:val="606D6027"/>
    <w:rsid w:val="608A30A9"/>
    <w:rsid w:val="609C231D"/>
    <w:rsid w:val="60CD5B93"/>
    <w:rsid w:val="60D1120B"/>
    <w:rsid w:val="60E23CA2"/>
    <w:rsid w:val="61145909"/>
    <w:rsid w:val="61414062"/>
    <w:rsid w:val="61554765"/>
    <w:rsid w:val="62665D6B"/>
    <w:rsid w:val="62916513"/>
    <w:rsid w:val="62A95D3B"/>
    <w:rsid w:val="62AA5639"/>
    <w:rsid w:val="62E26074"/>
    <w:rsid w:val="630F6034"/>
    <w:rsid w:val="6341080D"/>
    <w:rsid w:val="64263087"/>
    <w:rsid w:val="64753C9E"/>
    <w:rsid w:val="65406723"/>
    <w:rsid w:val="65A214D3"/>
    <w:rsid w:val="65AB669C"/>
    <w:rsid w:val="65AF17C4"/>
    <w:rsid w:val="65DD5A1F"/>
    <w:rsid w:val="65E2255E"/>
    <w:rsid w:val="66061930"/>
    <w:rsid w:val="665E619E"/>
    <w:rsid w:val="66756ED0"/>
    <w:rsid w:val="66887A48"/>
    <w:rsid w:val="66C4197A"/>
    <w:rsid w:val="674841C3"/>
    <w:rsid w:val="67CD512E"/>
    <w:rsid w:val="681C4168"/>
    <w:rsid w:val="68277A3F"/>
    <w:rsid w:val="683C0951"/>
    <w:rsid w:val="687C6C73"/>
    <w:rsid w:val="694C1A83"/>
    <w:rsid w:val="69646712"/>
    <w:rsid w:val="69A74BDA"/>
    <w:rsid w:val="69D87D7F"/>
    <w:rsid w:val="69F4004E"/>
    <w:rsid w:val="69F55917"/>
    <w:rsid w:val="6A6D7D8C"/>
    <w:rsid w:val="6A733AED"/>
    <w:rsid w:val="6B172A83"/>
    <w:rsid w:val="6B2C1E08"/>
    <w:rsid w:val="6B5D17ED"/>
    <w:rsid w:val="6B673A57"/>
    <w:rsid w:val="6BA149AA"/>
    <w:rsid w:val="6C0E7858"/>
    <w:rsid w:val="6C154F36"/>
    <w:rsid w:val="6C3E6C75"/>
    <w:rsid w:val="6C446101"/>
    <w:rsid w:val="6C612D03"/>
    <w:rsid w:val="6C97441D"/>
    <w:rsid w:val="6D0E78B9"/>
    <w:rsid w:val="6D496711"/>
    <w:rsid w:val="6D535020"/>
    <w:rsid w:val="6D56140A"/>
    <w:rsid w:val="6D932603"/>
    <w:rsid w:val="6DAB49D0"/>
    <w:rsid w:val="6DD508F0"/>
    <w:rsid w:val="6E1F5A0A"/>
    <w:rsid w:val="6E4372F5"/>
    <w:rsid w:val="6E8550EA"/>
    <w:rsid w:val="6EA73E31"/>
    <w:rsid w:val="6ED01C34"/>
    <w:rsid w:val="6F2C07E2"/>
    <w:rsid w:val="6F2F787A"/>
    <w:rsid w:val="6FD45183"/>
    <w:rsid w:val="70364450"/>
    <w:rsid w:val="710E402B"/>
    <w:rsid w:val="71A02CEF"/>
    <w:rsid w:val="71D85612"/>
    <w:rsid w:val="72510574"/>
    <w:rsid w:val="72851FFB"/>
    <w:rsid w:val="72C65213"/>
    <w:rsid w:val="72EB1AD1"/>
    <w:rsid w:val="730E073C"/>
    <w:rsid w:val="73182D1E"/>
    <w:rsid w:val="73637CED"/>
    <w:rsid w:val="73881B94"/>
    <w:rsid w:val="738C3ED6"/>
    <w:rsid w:val="73A611AA"/>
    <w:rsid w:val="7430798F"/>
    <w:rsid w:val="749D07C7"/>
    <w:rsid w:val="74A733CD"/>
    <w:rsid w:val="74B153AB"/>
    <w:rsid w:val="753C2BE0"/>
    <w:rsid w:val="761A4B43"/>
    <w:rsid w:val="76557B76"/>
    <w:rsid w:val="76963407"/>
    <w:rsid w:val="76A46AFE"/>
    <w:rsid w:val="76AD0AA4"/>
    <w:rsid w:val="76AF577C"/>
    <w:rsid w:val="77426121"/>
    <w:rsid w:val="774B14E2"/>
    <w:rsid w:val="774F6A5C"/>
    <w:rsid w:val="77850930"/>
    <w:rsid w:val="778509B8"/>
    <w:rsid w:val="77A51A17"/>
    <w:rsid w:val="780106FC"/>
    <w:rsid w:val="781A5FDA"/>
    <w:rsid w:val="783C3AEF"/>
    <w:rsid w:val="78734FF5"/>
    <w:rsid w:val="78CD3DF6"/>
    <w:rsid w:val="78CF1CD9"/>
    <w:rsid w:val="79F12A65"/>
    <w:rsid w:val="7A940B37"/>
    <w:rsid w:val="7ABA1C18"/>
    <w:rsid w:val="7B021A08"/>
    <w:rsid w:val="7B453483"/>
    <w:rsid w:val="7BD46EB6"/>
    <w:rsid w:val="7C302DD7"/>
    <w:rsid w:val="7C8616AB"/>
    <w:rsid w:val="7C94401F"/>
    <w:rsid w:val="7CF83F20"/>
    <w:rsid w:val="7D721DB1"/>
    <w:rsid w:val="7D727679"/>
    <w:rsid w:val="7DD40F04"/>
    <w:rsid w:val="7DF828A7"/>
    <w:rsid w:val="7E2C5CB5"/>
    <w:rsid w:val="7E37074C"/>
    <w:rsid w:val="7EA815A9"/>
    <w:rsid w:val="7EC05343"/>
    <w:rsid w:val="7F0716C0"/>
    <w:rsid w:val="7F5639D1"/>
    <w:rsid w:val="7F8F137D"/>
    <w:rsid w:val="7F97598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nhideWhenUsed="0" w:uiPriority="1"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6" w:lineRule="auto"/>
      <w:outlineLvl w:val="0"/>
    </w:pPr>
    <w:rPr>
      <w:rFonts w:ascii="宋体" w:hAnsi="宋体"/>
      <w:b/>
      <w:bCs/>
      <w:spacing w:val="-6"/>
      <w:kern w:val="44"/>
      <w:sz w:val="44"/>
      <w:szCs w:val="44"/>
    </w:rPr>
  </w:style>
  <w:style w:type="paragraph" w:styleId="5">
    <w:name w:val="heading 2"/>
    <w:basedOn w:val="1"/>
    <w:next w:val="1"/>
    <w:qFormat/>
    <w:uiPriority w:val="0"/>
    <w:pPr>
      <w:keepNext/>
      <w:keepLines/>
      <w:spacing w:before="260" w:after="260" w:line="413" w:lineRule="auto"/>
      <w:outlineLvl w:val="1"/>
    </w:pPr>
    <w:rPr>
      <w:rFonts w:ascii="Arial" w:hAnsi="Arial" w:eastAsia="黑体"/>
      <w:b/>
      <w:bCs/>
      <w:spacing w:val="-6"/>
      <w:sz w:val="32"/>
      <w:szCs w:val="32"/>
    </w:rPr>
  </w:style>
  <w:style w:type="paragraph" w:styleId="6">
    <w:name w:val="heading 3"/>
    <w:basedOn w:val="1"/>
    <w:next w:val="1"/>
    <w:qFormat/>
    <w:uiPriority w:val="0"/>
    <w:pPr>
      <w:keepNext/>
      <w:keepLines/>
      <w:spacing w:before="260" w:after="260" w:line="413" w:lineRule="auto"/>
      <w:outlineLvl w:val="2"/>
    </w:pPr>
    <w:rPr>
      <w:b/>
      <w:bCs/>
      <w:sz w:val="32"/>
      <w:szCs w:val="32"/>
    </w:rPr>
  </w:style>
  <w:style w:type="paragraph" w:styleId="7">
    <w:name w:val="heading 4"/>
    <w:basedOn w:val="1"/>
    <w:next w:val="1"/>
    <w:link w:val="29"/>
    <w:qFormat/>
    <w:uiPriority w:val="0"/>
    <w:pPr>
      <w:keepNext/>
      <w:keepLines/>
      <w:spacing w:before="280" w:after="290" w:line="372" w:lineRule="auto"/>
      <w:outlineLvl w:val="3"/>
    </w:pPr>
    <w:rPr>
      <w:rFonts w:ascii="Arial" w:hAnsi="Arial" w:eastAsia="黑体"/>
      <w:b/>
      <w:bCs/>
      <w:sz w:val="28"/>
      <w:szCs w:val="28"/>
    </w:rPr>
  </w:style>
  <w:style w:type="paragraph" w:styleId="8">
    <w:name w:val="heading 7"/>
    <w:basedOn w:val="1"/>
    <w:next w:val="1"/>
    <w:qFormat/>
    <w:uiPriority w:val="1"/>
    <w:pPr>
      <w:spacing w:before="175"/>
      <w:outlineLvl w:val="6"/>
    </w:pPr>
    <w:rPr>
      <w:rFonts w:ascii="宋体" w:hAnsi="宋体" w:cs="宋体"/>
      <w:sz w:val="32"/>
      <w:szCs w:val="32"/>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Times New Roman" w:hAnsi="Times New Roman"/>
    </w:rPr>
  </w:style>
  <w:style w:type="paragraph" w:styleId="3">
    <w:name w:val="Body Text"/>
    <w:basedOn w:val="1"/>
    <w:next w:val="1"/>
    <w:qFormat/>
    <w:uiPriority w:val="1"/>
    <w:rPr>
      <w:rFonts w:ascii="宋体" w:hAnsi="宋体" w:cs="宋体"/>
      <w:sz w:val="24"/>
    </w:rPr>
  </w:style>
  <w:style w:type="paragraph" w:styleId="9">
    <w:name w:val="Normal Indent"/>
    <w:basedOn w:val="1"/>
    <w:qFormat/>
    <w:uiPriority w:val="0"/>
    <w:pPr>
      <w:ind w:firstLine="420" w:firstLineChars="200"/>
    </w:pPr>
    <w:rPr>
      <w:szCs w:val="20"/>
    </w:rPr>
  </w:style>
  <w:style w:type="paragraph" w:styleId="10">
    <w:name w:val="Body Text Indent"/>
    <w:basedOn w:val="1"/>
    <w:qFormat/>
    <w:uiPriority w:val="0"/>
    <w:pPr>
      <w:spacing w:after="120"/>
      <w:ind w:left="420" w:leftChars="200"/>
    </w:pPr>
  </w:style>
  <w:style w:type="paragraph" w:styleId="11">
    <w:name w:val="toc 3"/>
    <w:basedOn w:val="1"/>
    <w:next w:val="1"/>
    <w:qFormat/>
    <w:uiPriority w:val="0"/>
    <w:pPr>
      <w:ind w:left="420"/>
      <w:jc w:val="left"/>
    </w:pPr>
    <w:rPr>
      <w:i/>
      <w:iCs/>
      <w:sz w:val="20"/>
      <w:szCs w:val="20"/>
    </w:rPr>
  </w:style>
  <w:style w:type="paragraph" w:styleId="12">
    <w:name w:val="Plain Text"/>
    <w:basedOn w:val="1"/>
    <w:next w:val="1"/>
    <w:qFormat/>
    <w:uiPriority w:val="0"/>
    <w:rPr>
      <w:rFonts w:ascii="Courier New" w:hAnsi="Courier New"/>
      <w:szCs w:val="20"/>
    </w:rPr>
  </w:style>
  <w:style w:type="paragraph" w:styleId="13">
    <w:name w:val="Date"/>
    <w:basedOn w:val="1"/>
    <w:next w:val="1"/>
    <w:qFormat/>
    <w:uiPriority w:val="0"/>
    <w:rPr>
      <w:rFonts w:ascii="宋体" w:hAnsi="宋体"/>
      <w:spacing w:val="-6"/>
      <w:szCs w:val="20"/>
    </w:rPr>
  </w:style>
  <w:style w:type="paragraph" w:styleId="14">
    <w:name w:val="Body Text Indent 2"/>
    <w:basedOn w:val="1"/>
    <w:qFormat/>
    <w:uiPriority w:val="0"/>
    <w:pPr>
      <w:ind w:left="1558" w:leftChars="742" w:firstLine="330" w:firstLineChars="157"/>
    </w:pPr>
    <w:rPr>
      <w:rFonts w:ascii="宋体" w:hAnsi="宋体"/>
      <w:spacing w:val="-6"/>
    </w:rPr>
  </w:style>
  <w:style w:type="paragraph" w:styleId="15">
    <w:name w:val="Balloon Text"/>
    <w:basedOn w:val="1"/>
    <w:link w:val="50"/>
    <w:qFormat/>
    <w:uiPriority w:val="0"/>
    <w:rPr>
      <w:sz w:val="18"/>
      <w:szCs w:val="18"/>
    </w:rPr>
  </w:style>
  <w:style w:type="paragraph" w:styleId="16">
    <w:name w:val="footer"/>
    <w:basedOn w:val="1"/>
    <w:qFormat/>
    <w:uiPriority w:val="0"/>
    <w:pPr>
      <w:tabs>
        <w:tab w:val="center" w:pos="4153"/>
        <w:tab w:val="right" w:pos="8306"/>
      </w:tabs>
      <w:snapToGrid w:val="0"/>
      <w:jc w:val="left"/>
    </w:pPr>
    <w:rPr>
      <w:rFonts w:ascii="宋体" w:hAnsi="宋体"/>
      <w:snapToGrid w:val="0"/>
      <w:spacing w:val="-6"/>
      <w:kern w:val="0"/>
      <w:sz w:val="18"/>
      <w:szCs w:val="18"/>
    </w:rPr>
  </w:style>
  <w:style w:type="paragraph" w:styleId="17">
    <w:name w:val="header"/>
    <w:basedOn w:val="1"/>
    <w:qFormat/>
    <w:uiPriority w:val="0"/>
    <w:pPr>
      <w:pBdr>
        <w:bottom w:val="single" w:color="auto" w:sz="6" w:space="1"/>
      </w:pBdr>
      <w:tabs>
        <w:tab w:val="center" w:pos="4153"/>
        <w:tab w:val="right" w:pos="8306"/>
      </w:tabs>
      <w:snapToGrid w:val="0"/>
      <w:jc w:val="center"/>
    </w:pPr>
    <w:rPr>
      <w:rFonts w:ascii="宋体" w:hAnsi="宋体"/>
      <w:spacing w:val="-6"/>
      <w:sz w:val="18"/>
      <w:szCs w:val="18"/>
    </w:rPr>
  </w:style>
  <w:style w:type="paragraph" w:styleId="18">
    <w:name w:val="toc 1"/>
    <w:basedOn w:val="1"/>
    <w:next w:val="1"/>
    <w:qFormat/>
    <w:uiPriority w:val="0"/>
    <w:pPr>
      <w:spacing w:before="120" w:after="120"/>
      <w:jc w:val="left"/>
    </w:pPr>
    <w:rPr>
      <w:b/>
      <w:bCs/>
      <w:caps/>
      <w:sz w:val="20"/>
      <w:szCs w:val="20"/>
    </w:rPr>
  </w:style>
  <w:style w:type="paragraph" w:styleId="19">
    <w:name w:val="toc 2"/>
    <w:basedOn w:val="1"/>
    <w:next w:val="1"/>
    <w:qFormat/>
    <w:uiPriority w:val="0"/>
    <w:pPr>
      <w:ind w:left="210"/>
      <w:jc w:val="left"/>
    </w:pPr>
    <w:rPr>
      <w:smallCaps/>
      <w:sz w:val="20"/>
      <w:szCs w:val="20"/>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page number"/>
    <w:basedOn w:val="22"/>
    <w:qFormat/>
    <w:uiPriority w:val="0"/>
  </w:style>
  <w:style w:type="character" w:styleId="24">
    <w:name w:val="FollowedHyperlink"/>
    <w:basedOn w:val="22"/>
    <w:qFormat/>
    <w:uiPriority w:val="0"/>
    <w:rPr>
      <w:color w:val="800080"/>
      <w:u w:val="single"/>
    </w:rPr>
  </w:style>
  <w:style w:type="character" w:styleId="25">
    <w:name w:val="Hyperlink"/>
    <w:basedOn w:val="22"/>
    <w:qFormat/>
    <w:uiPriority w:val="0"/>
    <w:rPr>
      <w:color w:val="0000FF"/>
      <w:u w:val="single"/>
    </w:rPr>
  </w:style>
  <w:style w:type="character" w:customStyle="1" w:styleId="26">
    <w:name w:val="large1"/>
    <w:basedOn w:val="22"/>
    <w:qFormat/>
    <w:uiPriority w:val="0"/>
    <w:rPr>
      <w:rFonts w:hint="eastAsia" w:ascii="宋体" w:hAnsi="宋体" w:eastAsia="宋体"/>
      <w:sz w:val="21"/>
    </w:rPr>
  </w:style>
  <w:style w:type="paragraph" w:customStyle="1" w:styleId="27">
    <w:name w:val="样式 标题 3 + (中文) 黑体 小四 非加粗 段前: 7.8 磅 段后: 0 磅 行距: 固定值 20 磅"/>
    <w:basedOn w:val="6"/>
    <w:qFormat/>
    <w:uiPriority w:val="0"/>
    <w:pPr>
      <w:spacing w:before="0" w:after="0" w:line="400" w:lineRule="exact"/>
    </w:pPr>
    <w:rPr>
      <w:rFonts w:eastAsia="黑体" w:cs="宋体"/>
      <w:b w:val="0"/>
      <w:bCs w:val="0"/>
      <w:sz w:val="24"/>
      <w:szCs w:val="20"/>
    </w:rPr>
  </w:style>
  <w:style w:type="paragraph" w:customStyle="1" w:styleId="28">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pacing w:val="0"/>
      <w:sz w:val="28"/>
      <w:szCs w:val="20"/>
    </w:rPr>
  </w:style>
  <w:style w:type="character" w:customStyle="1" w:styleId="29">
    <w:name w:val="标题 4 Char"/>
    <w:basedOn w:val="22"/>
    <w:link w:val="7"/>
    <w:qFormat/>
    <w:uiPriority w:val="0"/>
    <w:rPr>
      <w:rFonts w:ascii="Arial" w:hAnsi="Arial" w:eastAsia="黑体"/>
      <w:b/>
      <w:bCs/>
      <w:sz w:val="28"/>
      <w:szCs w:val="28"/>
    </w:rPr>
  </w:style>
  <w:style w:type="paragraph" w:customStyle="1" w:styleId="30">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31">
    <w:name w:val="目次、标准名称标题"/>
    <w:basedOn w:val="32"/>
    <w:next w:val="33"/>
    <w:qFormat/>
    <w:uiPriority w:val="0"/>
    <w:pPr>
      <w:spacing w:line="460" w:lineRule="exact"/>
    </w:pPr>
  </w:style>
  <w:style w:type="paragraph" w:customStyle="1" w:styleId="32">
    <w:name w:val="前言、引言标题"/>
    <w:next w:val="1"/>
    <w:qFormat/>
    <w:uiPriority w:val="0"/>
    <w:pPr>
      <w:numPr>
        <w:ilvl w:val="1"/>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3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34">
    <w:name w:val="pubtime"/>
    <w:basedOn w:val="22"/>
    <w:qFormat/>
    <w:uiPriority w:val="0"/>
    <w:rPr>
      <w:color w:val="FF6C01"/>
    </w:rPr>
  </w:style>
  <w:style w:type="character" w:customStyle="1" w:styleId="35">
    <w:name w:val="affichetype"/>
    <w:basedOn w:val="22"/>
    <w:qFormat/>
    <w:uiPriority w:val="0"/>
    <w:rPr>
      <w:color w:val="2755A0"/>
    </w:rPr>
  </w:style>
  <w:style w:type="paragraph" w:customStyle="1" w:styleId="36">
    <w:name w:val="_Style 30"/>
    <w:basedOn w:val="1"/>
    <w:next w:val="1"/>
    <w:qFormat/>
    <w:uiPriority w:val="0"/>
    <w:pPr>
      <w:pBdr>
        <w:bottom w:val="single" w:color="auto" w:sz="6" w:space="1"/>
      </w:pBdr>
      <w:jc w:val="center"/>
    </w:pPr>
    <w:rPr>
      <w:rFonts w:ascii="Arial"/>
      <w:vanish/>
      <w:sz w:val="16"/>
    </w:rPr>
  </w:style>
  <w:style w:type="paragraph" w:customStyle="1" w:styleId="37">
    <w:name w:val="_Style 31"/>
    <w:basedOn w:val="1"/>
    <w:next w:val="1"/>
    <w:qFormat/>
    <w:uiPriority w:val="0"/>
    <w:pPr>
      <w:pBdr>
        <w:top w:val="single" w:color="auto" w:sz="6" w:space="1"/>
      </w:pBdr>
      <w:jc w:val="center"/>
    </w:pPr>
    <w:rPr>
      <w:rFonts w:ascii="Arial"/>
      <w:vanish/>
      <w:sz w:val="16"/>
    </w:rPr>
  </w:style>
  <w:style w:type="character" w:customStyle="1" w:styleId="38">
    <w:name w:val="font51"/>
    <w:basedOn w:val="22"/>
    <w:qFormat/>
    <w:uiPriority w:val="0"/>
    <w:rPr>
      <w:rFonts w:ascii="Arial" w:hAnsi="Arial" w:cs="Arial"/>
      <w:color w:val="000000"/>
      <w:sz w:val="18"/>
      <w:szCs w:val="18"/>
      <w:u w:val="none"/>
    </w:rPr>
  </w:style>
  <w:style w:type="character" w:customStyle="1" w:styleId="39">
    <w:name w:val="font01"/>
    <w:basedOn w:val="22"/>
    <w:qFormat/>
    <w:uiPriority w:val="0"/>
    <w:rPr>
      <w:rFonts w:hint="eastAsia" w:ascii="宋体" w:hAnsi="宋体" w:eastAsia="宋体" w:cs="宋体"/>
      <w:color w:val="000000"/>
      <w:sz w:val="18"/>
      <w:szCs w:val="18"/>
      <w:u w:val="none"/>
    </w:rPr>
  </w:style>
  <w:style w:type="character" w:customStyle="1" w:styleId="40">
    <w:name w:val="font61"/>
    <w:basedOn w:val="22"/>
    <w:qFormat/>
    <w:uiPriority w:val="0"/>
    <w:rPr>
      <w:rFonts w:hint="eastAsia" w:ascii="宋体" w:hAnsi="宋体" w:eastAsia="宋体" w:cs="宋体"/>
      <w:color w:val="000000"/>
      <w:sz w:val="18"/>
      <w:szCs w:val="18"/>
      <w:u w:val="none"/>
      <w:vertAlign w:val="superscript"/>
    </w:rPr>
  </w:style>
  <w:style w:type="character" w:customStyle="1" w:styleId="41">
    <w:name w:val="font21"/>
    <w:basedOn w:val="22"/>
    <w:qFormat/>
    <w:uiPriority w:val="0"/>
    <w:rPr>
      <w:rFonts w:ascii="Arial" w:hAnsi="Arial" w:cs="Arial"/>
      <w:color w:val="000000"/>
      <w:sz w:val="18"/>
      <w:szCs w:val="18"/>
      <w:u w:val="none"/>
    </w:rPr>
  </w:style>
  <w:style w:type="character" w:customStyle="1" w:styleId="42">
    <w:name w:val="font11"/>
    <w:basedOn w:val="22"/>
    <w:qFormat/>
    <w:uiPriority w:val="0"/>
    <w:rPr>
      <w:rFonts w:hint="eastAsia" w:ascii="宋体" w:hAnsi="宋体" w:eastAsia="宋体" w:cs="宋体"/>
      <w:color w:val="000000"/>
      <w:sz w:val="18"/>
      <w:szCs w:val="18"/>
      <w:u w:val="none"/>
    </w:rPr>
  </w:style>
  <w:style w:type="character" w:customStyle="1" w:styleId="43">
    <w:name w:val="font31"/>
    <w:basedOn w:val="22"/>
    <w:qFormat/>
    <w:uiPriority w:val="0"/>
    <w:rPr>
      <w:rFonts w:hint="eastAsia" w:ascii="宋体" w:hAnsi="宋体" w:eastAsia="宋体" w:cs="宋体"/>
      <w:color w:val="000000"/>
      <w:sz w:val="18"/>
      <w:szCs w:val="18"/>
      <w:u w:val="none"/>
    </w:rPr>
  </w:style>
  <w:style w:type="paragraph" w:customStyle="1" w:styleId="44">
    <w:name w:val="WPSOffice手动目录 1"/>
    <w:qFormat/>
    <w:uiPriority w:val="0"/>
    <w:rPr>
      <w:rFonts w:asciiTheme="minorHAnsi" w:hAnsiTheme="minorHAnsi" w:eastAsiaTheme="minorHAnsi" w:cstheme="minorBidi"/>
      <w:lang w:val="en-US" w:eastAsia="zh-CN" w:bidi="ar-SA"/>
    </w:rPr>
  </w:style>
  <w:style w:type="paragraph" w:customStyle="1" w:styleId="45">
    <w:name w:val="Table Paragraph"/>
    <w:basedOn w:val="1"/>
    <w:qFormat/>
    <w:uiPriority w:val="1"/>
    <w:rPr>
      <w:rFonts w:ascii="宋体" w:hAnsi="宋体" w:cs="宋体"/>
    </w:rPr>
  </w:style>
  <w:style w:type="paragraph" w:styleId="46">
    <w:name w:val="List Paragraph"/>
    <w:basedOn w:val="1"/>
    <w:qFormat/>
    <w:uiPriority w:val="1"/>
    <w:pPr>
      <w:ind w:left="156" w:firstLine="480"/>
    </w:pPr>
    <w:rPr>
      <w:rFonts w:ascii="宋体" w:hAnsi="宋体" w:cs="宋体"/>
    </w:rPr>
  </w:style>
  <w:style w:type="paragraph" w:customStyle="1" w:styleId="47">
    <w:name w:val="标题 1_0"/>
    <w:basedOn w:val="48"/>
    <w:next w:val="48"/>
    <w:qFormat/>
    <w:uiPriority w:val="0"/>
    <w:pPr>
      <w:keepNext/>
      <w:keepLines/>
      <w:spacing w:line="360" w:lineRule="auto"/>
      <w:outlineLvl w:val="0"/>
    </w:pPr>
    <w:rPr>
      <w:rFonts w:ascii="Times New Roman" w:hAnsi="Times New Roman"/>
      <w:b/>
      <w:bCs/>
      <w:kern w:val="44"/>
      <w:sz w:val="32"/>
      <w:szCs w:val="44"/>
    </w:rPr>
  </w:style>
  <w:style w:type="paragraph" w:customStyle="1" w:styleId="48">
    <w:name w:val="正文_0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49">
    <w:name w:val="font41"/>
    <w:basedOn w:val="22"/>
    <w:qFormat/>
    <w:uiPriority w:val="0"/>
    <w:rPr>
      <w:rFonts w:ascii="Arial" w:hAnsi="Arial" w:cs="Arial"/>
      <w:b/>
      <w:color w:val="000000"/>
      <w:sz w:val="24"/>
      <w:szCs w:val="24"/>
      <w:u w:val="none"/>
    </w:rPr>
  </w:style>
  <w:style w:type="character" w:customStyle="1" w:styleId="50">
    <w:name w:val="批注框文本 Char"/>
    <w:basedOn w:val="22"/>
    <w:link w:val="15"/>
    <w:qFormat/>
    <w:uiPriority w:val="0"/>
    <w:rPr>
      <w:kern w:val="2"/>
      <w:sz w:val="18"/>
      <w:szCs w:val="18"/>
    </w:rPr>
  </w:style>
  <w:style w:type="paragraph" w:customStyle="1" w:styleId="51">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52">
    <w:name w:val="样式 标题 3 + 四号 居中 左侧:  2 字符"/>
    <w:basedOn w:val="6"/>
    <w:qFormat/>
    <w:uiPriority w:val="0"/>
    <w:pPr>
      <w:spacing w:before="0" w:after="0" w:line="360" w:lineRule="auto"/>
      <w:jc w:val="center"/>
    </w:pPr>
    <w:rPr>
      <w:rFonts w:eastAsia="黑体" w:cs="宋体"/>
      <w:b w:val="0"/>
      <w:sz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2.wmf"/><Relationship Id="rId24" Type="http://schemas.openxmlformats.org/officeDocument/2006/relationships/oleObject" Target="embeddings/oleObject2.bin"/><Relationship Id="rId23" Type="http://schemas.openxmlformats.org/officeDocument/2006/relationships/image" Target="media/image1.wmf"/><Relationship Id="rId22" Type="http://schemas.openxmlformats.org/officeDocument/2006/relationships/oleObject" Target="embeddings/oleObject1.bin"/><Relationship Id="rId21" Type="http://schemas.openxmlformats.org/officeDocument/2006/relationships/theme" Target="theme/theme1.xml"/><Relationship Id="rId20" Type="http://schemas.openxmlformats.org/officeDocument/2006/relationships/footer" Target="footer11.xml"/><Relationship Id="rId2" Type="http://schemas.openxmlformats.org/officeDocument/2006/relationships/settings" Target="settings.xml"/><Relationship Id="rId19" Type="http://schemas.openxmlformats.org/officeDocument/2006/relationships/footer" Target="footer10.xml"/><Relationship Id="rId18" Type="http://schemas.openxmlformats.org/officeDocument/2006/relationships/footer" Target="footer9.xml"/><Relationship Id="rId17" Type="http://schemas.openxmlformats.org/officeDocument/2006/relationships/footer" Target="footer8.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52"/>
    <customShpInfo spid="_x0000_s2051"/>
    <customShpInfo spid="_x0000_s2049"/>
    <customShpInfo spid="_x0000_s2050"/>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043C8D-7DAF-4A39-9D08-2218CA4DB2EE}">
  <ds:schemaRefs/>
</ds:datastoreItem>
</file>

<file path=docProps/app.xml><?xml version="1.0" encoding="utf-8"?>
<Properties xmlns="http://schemas.openxmlformats.org/officeDocument/2006/extended-properties" xmlns:vt="http://schemas.openxmlformats.org/officeDocument/2006/docPropsVTypes">
  <Template>0</Template>
  <Company>china</Company>
  <Pages>173</Pages>
  <Words>99803</Words>
  <Characters>106156</Characters>
  <Lines>843</Lines>
  <Paragraphs>237</Paragraphs>
  <TotalTime>8</TotalTime>
  <ScaleCrop>false</ScaleCrop>
  <LinksUpToDate>false</LinksUpToDate>
  <CharactersWithSpaces>110495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2022-02-17T05:09:00Z</dcterms:created>
  <dc:creator>Administrator</dc:creator>
  <cp:lastModifiedBy>李校军</cp:lastModifiedBy>
  <cp:lastPrinted>2022-04-01T03:23:32Z</cp:lastPrinted>
  <dcterms:modified xsi:type="dcterms:W3CDTF">2022-04-01T08:29:18Z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EC4538575F4C46C5BD0C2023351FED24</vt:lpwstr>
  </property>
</Properties>
</file>