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eastAsia" w:ascii="仿宋" w:hAnsi="仿宋" w:eastAsia="仿宋"/>
          <w:color w:val="auto"/>
        </w:rPr>
      </w:pPr>
      <w:bookmarkStart w:id="0" w:name="_Toc23338"/>
      <w:r>
        <w:rPr>
          <w:rFonts w:hint="eastAsia" w:ascii="仿宋" w:hAnsi="仿宋" w:eastAsia="仿宋"/>
          <w:color w:val="auto"/>
        </w:rPr>
        <w:t>附录1 资格审查条件（资质最低条件）</w:t>
      </w:r>
      <w:bookmarkEnd w:id="0"/>
    </w:p>
    <w:p>
      <w:pPr>
        <w:rPr>
          <w:rFonts w:hint="eastAsia" w:ascii="仿宋" w:hAnsi="仿宋" w:eastAsia="仿宋"/>
          <w:color w:val="auto"/>
          <w:sz w:val="24"/>
        </w:rPr>
      </w:pPr>
    </w:p>
    <w:p>
      <w:pPr>
        <w:rPr>
          <w:rFonts w:hint="eastAsia" w:ascii="仿宋" w:hAnsi="仿宋" w:eastAsia="仿宋"/>
          <w:color w:val="auto"/>
          <w:sz w:val="24"/>
        </w:rPr>
      </w:pPr>
    </w:p>
    <w:tbl>
      <w:tblPr>
        <w:tblStyle w:val="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7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701" w:type="dxa"/>
            <w:noWrap w:val="0"/>
            <w:vAlign w:val="center"/>
          </w:tcPr>
          <w:p>
            <w:pPr>
              <w:spacing w:line="360" w:lineRule="auto"/>
              <w:jc w:val="center"/>
              <w:rPr>
                <w:rFonts w:ascii="仿宋" w:hAnsi="仿宋" w:eastAsia="仿宋"/>
                <w:color w:val="auto"/>
                <w:szCs w:val="21"/>
              </w:rPr>
            </w:pPr>
            <w:r>
              <w:rPr>
                <w:rFonts w:hint="eastAsia" w:ascii="仿宋" w:hAnsi="仿宋" w:eastAsia="仿宋"/>
                <w:color w:val="auto"/>
                <w:szCs w:val="21"/>
              </w:rPr>
              <w:t>标段</w:t>
            </w:r>
          </w:p>
        </w:tc>
        <w:tc>
          <w:tcPr>
            <w:tcW w:w="7479" w:type="dxa"/>
            <w:noWrap w:val="0"/>
            <w:vAlign w:val="center"/>
          </w:tcPr>
          <w:p>
            <w:pPr>
              <w:spacing w:line="360" w:lineRule="auto"/>
              <w:jc w:val="center"/>
              <w:rPr>
                <w:rFonts w:ascii="仿宋" w:hAnsi="仿宋" w:eastAsia="仿宋"/>
                <w:color w:val="auto"/>
                <w:szCs w:val="21"/>
              </w:rPr>
            </w:pPr>
            <w:r>
              <w:rPr>
                <w:rFonts w:hint="eastAsia" w:ascii="仿宋" w:hAnsi="仿宋" w:eastAsia="仿宋"/>
                <w:color w:val="auto"/>
                <w:szCs w:val="21"/>
              </w:rPr>
              <w:t>施工企业资质等级要求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0" w:hRule="atLeast"/>
          <w:jc w:val="center"/>
        </w:trPr>
        <w:tc>
          <w:tcPr>
            <w:tcW w:w="1701" w:type="dxa"/>
            <w:noWrap w:val="0"/>
            <w:vAlign w:val="center"/>
          </w:tcPr>
          <w:p>
            <w:pPr>
              <w:spacing w:line="360" w:lineRule="auto"/>
              <w:jc w:val="center"/>
              <w:rPr>
                <w:rFonts w:hint="eastAsia" w:ascii="仿宋" w:hAnsi="仿宋" w:eastAsia="仿宋"/>
                <w:color w:val="auto"/>
                <w:szCs w:val="21"/>
              </w:rPr>
            </w:pPr>
            <w:r>
              <w:rPr>
                <w:rFonts w:hint="eastAsia" w:ascii="仿宋" w:hAnsi="仿宋" w:eastAsia="仿宋"/>
                <w:color w:val="auto"/>
                <w:szCs w:val="21"/>
              </w:rPr>
              <w:t>第1标段</w:t>
            </w:r>
          </w:p>
        </w:tc>
        <w:tc>
          <w:tcPr>
            <w:tcW w:w="7479" w:type="dxa"/>
            <w:noWrap w:val="0"/>
            <w:vAlign w:val="center"/>
          </w:tcPr>
          <w:p>
            <w:pPr>
              <w:numPr>
                <w:ilvl w:val="0"/>
                <w:numId w:val="1"/>
              </w:numPr>
              <w:spacing w:line="460" w:lineRule="exact"/>
              <w:rPr>
                <w:rFonts w:ascii="仿宋" w:hAnsi="仿宋" w:eastAsia="仿宋"/>
                <w:color w:val="auto"/>
              </w:rPr>
            </w:pPr>
            <w:r>
              <w:rPr>
                <w:rFonts w:ascii="仿宋" w:hAnsi="仿宋" w:eastAsia="仿宋"/>
                <w:color w:val="auto"/>
              </w:rPr>
              <w:t>投标人应具备</w:t>
            </w:r>
            <w:bookmarkStart w:id="1" w:name="EBb83b47905c404f21ae1189911e4b376b"/>
            <w:r>
              <w:rPr>
                <w:rFonts w:ascii="仿宋" w:hAnsi="仿宋" w:eastAsia="仿宋"/>
                <w:color w:val="auto"/>
                <w:u w:val="single"/>
              </w:rPr>
              <w:t>独立法人资格，须具备</w:t>
            </w:r>
            <w:bookmarkEnd w:id="1"/>
            <w:r>
              <w:rPr>
                <w:rFonts w:hint="eastAsia" w:ascii="仿宋" w:hAnsi="仿宋" w:eastAsia="仿宋"/>
                <w:color w:val="auto"/>
                <w:u w:val="single"/>
              </w:rPr>
              <w:t xml:space="preserve">港口与航道工程施工总承包三级及以上 </w:t>
            </w:r>
            <w:r>
              <w:rPr>
                <w:rFonts w:ascii="仿宋" w:hAnsi="仿宋" w:eastAsia="仿宋"/>
                <w:color w:val="auto"/>
              </w:rPr>
              <w:t>资质</w:t>
            </w:r>
            <w:r>
              <w:rPr>
                <w:rFonts w:hint="eastAsia" w:ascii="仿宋" w:hAnsi="仿宋" w:eastAsia="仿宋"/>
                <w:color w:val="auto"/>
              </w:rPr>
              <w:t>。</w:t>
            </w:r>
          </w:p>
        </w:tc>
      </w:tr>
    </w:tbl>
    <w:p>
      <w:pPr>
        <w:jc w:val="left"/>
        <w:rPr>
          <w:rFonts w:hint="eastAsia" w:ascii="仿宋" w:hAnsi="仿宋" w:eastAsia="仿宋"/>
          <w:color w:val="auto"/>
          <w:sz w:val="30"/>
          <w:szCs w:val="30"/>
        </w:rPr>
      </w:pPr>
      <w:r>
        <w:rPr>
          <w:rFonts w:ascii="仿宋" w:hAnsi="仿宋" w:eastAsia="仿宋"/>
          <w:color w:val="auto"/>
          <w:sz w:val="30"/>
          <w:szCs w:val="30"/>
        </w:rPr>
        <w:br w:type="page"/>
      </w:r>
    </w:p>
    <w:p>
      <w:pPr>
        <w:pStyle w:val="5"/>
        <w:rPr>
          <w:rFonts w:hint="eastAsia" w:ascii="仿宋" w:hAnsi="仿宋" w:eastAsia="仿宋"/>
          <w:color w:val="auto"/>
        </w:rPr>
      </w:pPr>
      <w:bookmarkStart w:id="2" w:name="_Toc231"/>
      <w:r>
        <w:rPr>
          <w:rFonts w:hint="eastAsia" w:ascii="仿宋" w:hAnsi="仿宋" w:eastAsia="仿宋"/>
          <w:color w:val="auto"/>
        </w:rPr>
        <w:t>附录2 资格审查条件（财务最低要求）</w:t>
      </w:r>
      <w:bookmarkEnd w:id="2"/>
    </w:p>
    <w:p>
      <w:pPr>
        <w:rPr>
          <w:rFonts w:hint="eastAsia" w:ascii="仿宋" w:hAnsi="仿宋" w:eastAsia="仿宋"/>
          <w:color w:val="auto"/>
          <w:sz w:val="24"/>
        </w:rPr>
      </w:pPr>
    </w:p>
    <w:tbl>
      <w:tblPr>
        <w:tblStyle w:val="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7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1985" w:type="dxa"/>
            <w:noWrap w:val="0"/>
            <w:vAlign w:val="center"/>
          </w:tcPr>
          <w:p>
            <w:pPr>
              <w:spacing w:line="360" w:lineRule="auto"/>
              <w:jc w:val="center"/>
              <w:rPr>
                <w:rFonts w:ascii="仿宋" w:hAnsi="仿宋" w:eastAsia="仿宋"/>
                <w:color w:val="auto"/>
                <w:szCs w:val="21"/>
              </w:rPr>
            </w:pPr>
            <w:r>
              <w:rPr>
                <w:rFonts w:hint="eastAsia" w:ascii="仿宋" w:hAnsi="仿宋" w:eastAsia="仿宋"/>
                <w:color w:val="auto"/>
                <w:szCs w:val="21"/>
              </w:rPr>
              <w:t>标段</w:t>
            </w:r>
          </w:p>
        </w:tc>
        <w:tc>
          <w:tcPr>
            <w:tcW w:w="7195" w:type="dxa"/>
            <w:noWrap w:val="0"/>
            <w:vAlign w:val="center"/>
          </w:tcPr>
          <w:p>
            <w:pPr>
              <w:spacing w:line="360" w:lineRule="auto"/>
              <w:jc w:val="center"/>
              <w:rPr>
                <w:rFonts w:ascii="仿宋" w:hAnsi="仿宋" w:eastAsia="仿宋"/>
                <w:color w:val="auto"/>
                <w:szCs w:val="21"/>
              </w:rPr>
            </w:pPr>
            <w:r>
              <w:rPr>
                <w:rFonts w:hint="eastAsia" w:ascii="仿宋" w:hAnsi="仿宋" w:eastAsia="仿宋"/>
                <w:color w:val="auto"/>
                <w:szCs w:val="21"/>
              </w:rPr>
              <w:t>财  务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4" w:hRule="atLeast"/>
          <w:jc w:val="center"/>
        </w:trPr>
        <w:tc>
          <w:tcPr>
            <w:tcW w:w="1985" w:type="dxa"/>
            <w:noWrap w:val="0"/>
            <w:vAlign w:val="center"/>
          </w:tcPr>
          <w:p>
            <w:pPr>
              <w:spacing w:line="360" w:lineRule="auto"/>
              <w:jc w:val="center"/>
              <w:rPr>
                <w:rFonts w:ascii="仿宋" w:hAnsi="仿宋" w:eastAsia="仿宋"/>
                <w:color w:val="auto"/>
                <w:szCs w:val="21"/>
              </w:rPr>
            </w:pPr>
            <w:r>
              <w:rPr>
                <w:rFonts w:hint="eastAsia" w:ascii="仿宋" w:hAnsi="仿宋" w:eastAsia="仿宋"/>
                <w:color w:val="auto"/>
                <w:szCs w:val="21"/>
              </w:rPr>
              <w:t>第1标段</w:t>
            </w:r>
          </w:p>
        </w:tc>
        <w:tc>
          <w:tcPr>
            <w:tcW w:w="7195" w:type="dxa"/>
            <w:noWrap w:val="0"/>
            <w:vAlign w:val="center"/>
          </w:tcPr>
          <w:p>
            <w:pPr>
              <w:spacing w:before="156" w:beforeLines="50" w:line="360" w:lineRule="auto"/>
              <w:ind w:firstLine="420" w:firstLineChars="200"/>
              <w:rPr>
                <w:rFonts w:ascii="仿宋" w:hAnsi="仿宋" w:eastAsia="仿宋"/>
                <w:color w:val="auto"/>
                <w:szCs w:val="21"/>
              </w:rPr>
            </w:pPr>
            <w:r>
              <w:rPr>
                <w:rFonts w:hint="eastAsia" w:ascii="仿宋" w:hAnsi="仿宋" w:eastAsia="仿宋"/>
                <w:color w:val="auto"/>
                <w:szCs w:val="21"/>
              </w:rPr>
              <w:t>承诺提供不少于</w:t>
            </w:r>
            <w:bookmarkStart w:id="3" w:name="EB599488db89dd40c2aaaf8b5ce68b3a94"/>
            <w:r>
              <w:rPr>
                <w:rFonts w:hint="eastAsia" w:ascii="仿宋" w:hAnsi="仿宋" w:eastAsia="仿宋"/>
                <w:color w:val="auto"/>
                <w:szCs w:val="21"/>
                <w:u w:val="single"/>
              </w:rPr>
              <w:t>200</w:t>
            </w:r>
            <w:bookmarkEnd w:id="3"/>
            <w:r>
              <w:rPr>
                <w:rFonts w:hint="eastAsia" w:ascii="仿宋" w:hAnsi="仿宋" w:eastAsia="仿宋"/>
                <w:color w:val="auto"/>
                <w:szCs w:val="21"/>
              </w:rPr>
              <w:t>万元人民币的流动资金（由投标人自行决定采用银行信贷证明或财务能力承诺书</w:t>
            </w:r>
            <w:r>
              <w:rPr>
                <w:rFonts w:ascii="仿宋" w:hAnsi="仿宋" w:eastAsia="仿宋"/>
                <w:color w:val="auto"/>
                <w:szCs w:val="21"/>
              </w:rPr>
              <w:t>）</w:t>
            </w:r>
            <w:r>
              <w:rPr>
                <w:rFonts w:hint="eastAsia" w:ascii="仿宋" w:hAnsi="仿宋" w:eastAsia="仿宋"/>
                <w:color w:val="auto"/>
                <w:szCs w:val="21"/>
              </w:rPr>
              <w:t>。</w:t>
            </w:r>
          </w:p>
          <w:p>
            <w:pPr>
              <w:spacing w:line="360" w:lineRule="auto"/>
              <w:rPr>
                <w:rFonts w:ascii="仿宋" w:hAnsi="仿宋" w:eastAsia="仿宋"/>
                <w:color w:val="auto"/>
                <w:szCs w:val="21"/>
              </w:rPr>
            </w:pPr>
            <w:r>
              <w:rPr>
                <w:rFonts w:hint="eastAsia" w:ascii="仿宋" w:hAnsi="仿宋" w:eastAsia="仿宋"/>
                <w:color w:val="auto"/>
                <w:szCs w:val="21"/>
              </w:rPr>
              <w:t>若采用银行信贷证明，开具银行信贷证明的银行级别：国有或股份制商业银行县（区、市）级支行及以上银行。</w:t>
            </w:r>
          </w:p>
        </w:tc>
      </w:tr>
    </w:tbl>
    <w:p>
      <w:pPr>
        <w:autoSpaceDE w:val="0"/>
        <w:autoSpaceDN w:val="0"/>
        <w:adjustRightInd w:val="0"/>
        <w:jc w:val="left"/>
        <w:rPr>
          <w:rFonts w:hint="eastAsia" w:ascii="仿宋" w:hAnsi="仿宋" w:eastAsia="仿宋"/>
          <w:color w:val="auto"/>
          <w:szCs w:val="21"/>
        </w:rPr>
      </w:pPr>
    </w:p>
    <w:p>
      <w:pPr>
        <w:autoSpaceDE w:val="0"/>
        <w:autoSpaceDN w:val="0"/>
        <w:adjustRightInd w:val="0"/>
        <w:jc w:val="left"/>
        <w:rPr>
          <w:rFonts w:hint="eastAsia" w:ascii="仿宋" w:hAnsi="仿宋" w:eastAsia="仿宋"/>
          <w:color w:val="auto"/>
          <w:szCs w:val="21"/>
        </w:rPr>
      </w:pPr>
      <w:r>
        <w:rPr>
          <w:rFonts w:ascii="仿宋" w:hAnsi="仿宋" w:eastAsia="仿宋"/>
          <w:color w:val="auto"/>
          <w:szCs w:val="21"/>
        </w:rPr>
        <w:br w:type="page"/>
      </w:r>
    </w:p>
    <w:p>
      <w:pPr>
        <w:pStyle w:val="5"/>
        <w:rPr>
          <w:rFonts w:hint="eastAsia" w:ascii="仿宋" w:hAnsi="仿宋" w:eastAsia="仿宋"/>
          <w:color w:val="auto"/>
        </w:rPr>
      </w:pPr>
      <w:bookmarkStart w:id="4" w:name="_Toc387914220"/>
      <w:bookmarkStart w:id="5" w:name="_Toc26550"/>
      <w:r>
        <w:rPr>
          <w:rFonts w:hint="eastAsia" w:ascii="仿宋" w:hAnsi="仿宋" w:eastAsia="仿宋"/>
          <w:color w:val="auto"/>
        </w:rPr>
        <w:t>附录3 资格审查条件（业绩最低要求）</w:t>
      </w:r>
      <w:bookmarkEnd w:id="4"/>
      <w:bookmarkEnd w:id="5"/>
    </w:p>
    <w:tbl>
      <w:tblPr>
        <w:tblStyle w:val="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7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1560" w:type="dxa"/>
            <w:noWrap w:val="0"/>
            <w:vAlign w:val="center"/>
          </w:tcPr>
          <w:p>
            <w:pPr>
              <w:spacing w:line="360" w:lineRule="auto"/>
              <w:jc w:val="center"/>
              <w:rPr>
                <w:rFonts w:ascii="仿宋" w:hAnsi="仿宋" w:eastAsia="仿宋"/>
                <w:color w:val="auto"/>
                <w:szCs w:val="21"/>
              </w:rPr>
            </w:pPr>
            <w:r>
              <w:rPr>
                <w:rFonts w:hint="eastAsia" w:ascii="仿宋" w:hAnsi="仿宋" w:eastAsia="仿宋"/>
                <w:color w:val="auto"/>
                <w:szCs w:val="21"/>
              </w:rPr>
              <w:t>标段</w:t>
            </w:r>
          </w:p>
        </w:tc>
        <w:tc>
          <w:tcPr>
            <w:tcW w:w="7620" w:type="dxa"/>
            <w:noWrap w:val="0"/>
            <w:vAlign w:val="center"/>
          </w:tcPr>
          <w:p>
            <w:pPr>
              <w:spacing w:line="360" w:lineRule="auto"/>
              <w:jc w:val="center"/>
              <w:rPr>
                <w:rFonts w:ascii="仿宋" w:hAnsi="仿宋" w:eastAsia="仿宋"/>
                <w:color w:val="auto"/>
                <w:szCs w:val="21"/>
              </w:rPr>
            </w:pPr>
            <w:r>
              <w:rPr>
                <w:rFonts w:hint="eastAsia" w:ascii="仿宋" w:hAnsi="仿宋" w:eastAsia="仿宋"/>
                <w:color w:val="auto"/>
                <w:szCs w:val="21"/>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6" w:hRule="atLeast"/>
          <w:jc w:val="center"/>
        </w:trPr>
        <w:tc>
          <w:tcPr>
            <w:tcW w:w="1560" w:type="dxa"/>
            <w:noWrap w:val="0"/>
            <w:vAlign w:val="center"/>
          </w:tcPr>
          <w:p>
            <w:pPr>
              <w:spacing w:line="320" w:lineRule="exact"/>
              <w:jc w:val="center"/>
              <w:rPr>
                <w:rFonts w:hint="eastAsia" w:ascii="仿宋" w:hAnsi="仿宋" w:eastAsia="仿宋"/>
                <w:color w:val="auto"/>
              </w:rPr>
            </w:pPr>
            <w:r>
              <w:rPr>
                <w:rFonts w:hint="eastAsia" w:ascii="仿宋" w:hAnsi="仿宋" w:eastAsia="仿宋"/>
                <w:color w:val="auto"/>
                <w:szCs w:val="21"/>
              </w:rPr>
              <w:t>第1标段</w:t>
            </w:r>
          </w:p>
        </w:tc>
        <w:tc>
          <w:tcPr>
            <w:tcW w:w="7620" w:type="dxa"/>
            <w:noWrap w:val="0"/>
            <w:vAlign w:val="center"/>
          </w:tcPr>
          <w:p>
            <w:pPr>
              <w:spacing w:line="360" w:lineRule="exact"/>
              <w:ind w:firstLine="315" w:firstLineChars="150"/>
              <w:jc w:val="left"/>
              <w:rPr>
                <w:rFonts w:ascii="仿宋" w:hAnsi="仿宋" w:eastAsia="仿宋"/>
                <w:color w:val="auto"/>
              </w:rPr>
            </w:pPr>
            <w:r>
              <w:rPr>
                <w:rFonts w:hint="eastAsia" w:ascii="仿宋" w:hAnsi="仿宋" w:eastAsia="仿宋"/>
                <w:bCs/>
                <w:color w:val="auto"/>
                <w:szCs w:val="21"/>
              </w:rPr>
              <w:t>自2014年1月1日（以实际交工日期为准）以来，按一个标段成功</w:t>
            </w:r>
            <w:r>
              <w:rPr>
                <w:rFonts w:hint="eastAsia" w:ascii="仿宋" w:hAnsi="仿宋" w:eastAsia="仿宋"/>
                <w:color w:val="auto"/>
                <w:szCs w:val="21"/>
              </w:rPr>
              <w:t>完成过1个300吨级（含）及以上新（改、扩）建内河码头工程施工。</w:t>
            </w:r>
          </w:p>
        </w:tc>
      </w:tr>
    </w:tbl>
    <w:p>
      <w:pPr>
        <w:jc w:val="center"/>
        <w:rPr>
          <w:rFonts w:hint="eastAsia" w:ascii="仿宋" w:hAnsi="仿宋" w:eastAsia="仿宋"/>
          <w:color w:val="auto"/>
          <w:szCs w:val="21"/>
        </w:rPr>
      </w:pPr>
    </w:p>
    <w:p>
      <w:pPr>
        <w:spacing w:line="360" w:lineRule="auto"/>
        <w:rPr>
          <w:rFonts w:hint="eastAsia" w:ascii="仿宋" w:hAnsi="仿宋" w:eastAsia="仿宋"/>
          <w:color w:val="auto"/>
          <w:sz w:val="18"/>
          <w:szCs w:val="18"/>
        </w:rPr>
      </w:pPr>
      <w:r>
        <w:rPr>
          <w:rFonts w:hint="eastAsia" w:ascii="仿宋" w:hAnsi="仿宋" w:eastAsia="仿宋"/>
          <w:color w:val="auto"/>
          <w:sz w:val="18"/>
          <w:szCs w:val="18"/>
        </w:rPr>
        <w:t>注：投标人应在“第八章投标文件格式”的“自2014年1月1日以来完成的主要类似项目情况表”后附：(1)中标通知书扫描件；(2)合同协议书扫描件；(3)质量证明文件（由发包人出具的工程（标段）交工验收证书或竣工验收委员会出具的工程竣工验收鉴定书或质量监督机构对各参建单位签发的工作综合评价等级证书）的扫描件；（4）从“浙江省交通运输厅建设市场诚信信息系统”中截图的含有该系统水印的《主要业绩信息一览表》。四者缺一不可，否则业绩不予认可。</w:t>
      </w:r>
    </w:p>
    <w:p>
      <w:pPr>
        <w:pStyle w:val="6"/>
        <w:spacing w:line="360" w:lineRule="auto"/>
        <w:ind w:firstLine="360" w:firstLineChars="200"/>
        <w:rPr>
          <w:rFonts w:hint="eastAsia" w:ascii="仿宋" w:hAnsi="仿宋" w:eastAsia="仿宋"/>
          <w:color w:val="auto"/>
          <w:sz w:val="18"/>
          <w:szCs w:val="18"/>
        </w:rPr>
      </w:pPr>
      <w:r>
        <w:rPr>
          <w:rFonts w:hint="eastAsia" w:ascii="仿宋" w:hAnsi="仿宋" w:eastAsia="仿宋"/>
          <w:color w:val="auto"/>
          <w:sz w:val="18"/>
          <w:szCs w:val="18"/>
        </w:rPr>
        <w:t>上述资料中</w:t>
      </w:r>
      <w:r>
        <w:rPr>
          <w:rFonts w:ascii="仿宋" w:hAnsi="仿宋" w:eastAsia="仿宋"/>
          <w:color w:val="auto"/>
          <w:sz w:val="18"/>
          <w:szCs w:val="18"/>
        </w:rPr>
        <w:t>的施工单位名称</w:t>
      </w:r>
      <w:r>
        <w:rPr>
          <w:rFonts w:hint="eastAsia" w:ascii="仿宋" w:hAnsi="仿宋" w:eastAsia="仿宋"/>
          <w:color w:val="auto"/>
          <w:sz w:val="18"/>
          <w:szCs w:val="18"/>
        </w:rPr>
        <w:t>与投标人名称</w:t>
      </w:r>
      <w:r>
        <w:rPr>
          <w:rFonts w:ascii="仿宋" w:hAnsi="仿宋" w:eastAsia="仿宋"/>
          <w:color w:val="auto"/>
          <w:sz w:val="18"/>
          <w:szCs w:val="18"/>
        </w:rPr>
        <w:t>必须一致（施工单位名称发生合法变更的除外，但需提供合法变更的有效文件），否则业绩不予认可。</w:t>
      </w:r>
    </w:p>
    <w:p>
      <w:pPr>
        <w:pStyle w:val="6"/>
        <w:spacing w:line="360" w:lineRule="auto"/>
        <w:ind w:firstLine="360" w:firstLineChars="200"/>
        <w:rPr>
          <w:rFonts w:hint="eastAsia" w:ascii="仿宋" w:hAnsi="仿宋" w:eastAsia="仿宋"/>
          <w:color w:val="auto"/>
          <w:sz w:val="18"/>
          <w:szCs w:val="18"/>
        </w:rPr>
      </w:pPr>
      <w:r>
        <w:rPr>
          <w:rFonts w:ascii="仿宋" w:hAnsi="仿宋" w:eastAsia="仿宋"/>
          <w:color w:val="auto"/>
          <w:sz w:val="18"/>
          <w:szCs w:val="18"/>
        </w:rPr>
        <w:t>工程规模的解释顺序为：</w:t>
      </w:r>
      <w:r>
        <w:rPr>
          <w:rFonts w:hint="eastAsia" w:ascii="仿宋" w:hAnsi="仿宋" w:eastAsia="仿宋"/>
          <w:color w:val="auto"/>
          <w:sz w:val="18"/>
          <w:szCs w:val="18"/>
        </w:rPr>
        <w:t>质量证明文件、合同协议书、中标通知书，若上述资料中均未体现工程规模、工程内容的，必须附发包人或项目质量监督部门或项目所在地设区市行业主管部门出具的证明材料，否则业绩不予认可。</w:t>
      </w:r>
    </w:p>
    <w:p>
      <w:pPr>
        <w:pStyle w:val="6"/>
        <w:spacing w:line="360" w:lineRule="auto"/>
        <w:ind w:firstLine="360" w:firstLineChars="200"/>
        <w:rPr>
          <w:rFonts w:hint="eastAsia" w:ascii="仿宋" w:hAnsi="仿宋" w:eastAsia="仿宋"/>
          <w:color w:val="auto"/>
          <w:sz w:val="18"/>
          <w:szCs w:val="18"/>
        </w:rPr>
      </w:pPr>
      <w:r>
        <w:rPr>
          <w:rFonts w:hint="eastAsia" w:ascii="仿宋" w:hAnsi="仿宋" w:eastAsia="仿宋"/>
          <w:color w:val="auto"/>
          <w:sz w:val="18"/>
          <w:szCs w:val="18"/>
        </w:rPr>
        <w:t>3、投标人在“浙江省交通运输厅建设市场诚信信息系统”中的业绩是否公开以及《主要业绩信息一览表》的认定和核实，以投标截止时间为准。</w:t>
      </w:r>
    </w:p>
    <w:p>
      <w:pPr>
        <w:spacing w:line="360" w:lineRule="exact"/>
        <w:ind w:right="-134" w:rightChars="-64"/>
        <w:rPr>
          <w:rFonts w:hint="eastAsia" w:ascii="仿宋" w:hAnsi="仿宋" w:eastAsia="仿宋"/>
          <w:color w:val="auto"/>
          <w:sz w:val="24"/>
        </w:rPr>
      </w:pPr>
    </w:p>
    <w:p>
      <w:pPr>
        <w:autoSpaceDE w:val="0"/>
        <w:autoSpaceDN w:val="0"/>
        <w:adjustRightInd w:val="0"/>
        <w:jc w:val="left"/>
        <w:rPr>
          <w:rFonts w:hint="eastAsia" w:ascii="仿宋" w:hAnsi="仿宋" w:eastAsia="仿宋"/>
          <w:color w:val="auto"/>
          <w:szCs w:val="21"/>
        </w:rPr>
      </w:pPr>
      <w:r>
        <w:rPr>
          <w:rFonts w:ascii="仿宋" w:hAnsi="仿宋" w:eastAsia="仿宋"/>
          <w:color w:val="auto"/>
          <w:szCs w:val="21"/>
        </w:rPr>
        <w:br w:type="page"/>
      </w:r>
    </w:p>
    <w:p>
      <w:pPr>
        <w:pStyle w:val="5"/>
        <w:rPr>
          <w:rFonts w:hint="eastAsia" w:ascii="仿宋" w:hAnsi="仿宋" w:eastAsia="仿宋"/>
          <w:color w:val="auto"/>
        </w:rPr>
      </w:pPr>
      <w:bookmarkStart w:id="6" w:name="_Toc19236"/>
      <w:r>
        <w:rPr>
          <w:rFonts w:hint="eastAsia" w:ascii="仿宋" w:hAnsi="仿宋" w:eastAsia="仿宋"/>
          <w:color w:val="auto"/>
        </w:rPr>
        <w:t>附录4 资格审查条件（信誉最低要求）</w:t>
      </w:r>
      <w:bookmarkEnd w:id="6"/>
    </w:p>
    <w:p>
      <w:pPr>
        <w:jc w:val="center"/>
        <w:rPr>
          <w:rFonts w:hint="eastAsia" w:ascii="仿宋" w:hAnsi="仿宋" w:eastAsia="仿宋"/>
          <w:color w:val="auto"/>
          <w:szCs w:val="21"/>
        </w:rPr>
      </w:pPr>
    </w:p>
    <w:tbl>
      <w:tblPr>
        <w:tblStyle w:val="3"/>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7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1985" w:type="dxa"/>
            <w:noWrap w:val="0"/>
            <w:vAlign w:val="center"/>
          </w:tcPr>
          <w:p>
            <w:pPr>
              <w:spacing w:line="360" w:lineRule="auto"/>
              <w:jc w:val="center"/>
              <w:rPr>
                <w:rFonts w:ascii="仿宋" w:hAnsi="仿宋" w:eastAsia="仿宋"/>
                <w:color w:val="auto"/>
                <w:szCs w:val="21"/>
              </w:rPr>
            </w:pPr>
            <w:r>
              <w:rPr>
                <w:rFonts w:hint="eastAsia" w:ascii="仿宋" w:hAnsi="仿宋" w:eastAsia="仿宋" w:cs="宋体"/>
                <w:color w:val="auto"/>
                <w:szCs w:val="21"/>
              </w:rPr>
              <w:t>标段</w:t>
            </w:r>
          </w:p>
        </w:tc>
        <w:tc>
          <w:tcPr>
            <w:tcW w:w="7195" w:type="dxa"/>
            <w:noWrap w:val="0"/>
            <w:vAlign w:val="center"/>
          </w:tcPr>
          <w:p>
            <w:pPr>
              <w:spacing w:line="360" w:lineRule="auto"/>
              <w:jc w:val="center"/>
              <w:rPr>
                <w:rFonts w:ascii="仿宋" w:hAnsi="仿宋" w:eastAsia="仿宋"/>
                <w:color w:val="auto"/>
                <w:szCs w:val="21"/>
              </w:rPr>
            </w:pPr>
            <w:r>
              <w:rPr>
                <w:rFonts w:hint="eastAsia" w:ascii="仿宋" w:hAnsi="仿宋" w:eastAsia="仿宋"/>
                <w:color w:val="auto"/>
                <w:szCs w:val="21"/>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1" w:hRule="atLeast"/>
          <w:jc w:val="center"/>
        </w:trPr>
        <w:tc>
          <w:tcPr>
            <w:tcW w:w="1985" w:type="dxa"/>
            <w:noWrap w:val="0"/>
            <w:vAlign w:val="center"/>
          </w:tcPr>
          <w:p>
            <w:pPr>
              <w:spacing w:line="360" w:lineRule="auto"/>
              <w:jc w:val="center"/>
              <w:rPr>
                <w:rFonts w:ascii="仿宋" w:hAnsi="仿宋" w:eastAsia="仿宋"/>
                <w:color w:val="auto"/>
                <w:szCs w:val="21"/>
              </w:rPr>
            </w:pPr>
            <w:r>
              <w:rPr>
                <w:rFonts w:hint="eastAsia" w:ascii="仿宋" w:hAnsi="仿宋" w:eastAsia="仿宋"/>
                <w:color w:val="auto"/>
                <w:szCs w:val="21"/>
              </w:rPr>
              <w:t>第1标段</w:t>
            </w:r>
          </w:p>
        </w:tc>
        <w:tc>
          <w:tcPr>
            <w:tcW w:w="7195" w:type="dxa"/>
            <w:noWrap w:val="0"/>
            <w:vAlign w:val="center"/>
          </w:tcPr>
          <w:p>
            <w:pPr>
              <w:numPr>
                <w:ilvl w:val="0"/>
                <w:numId w:val="2"/>
              </w:numPr>
              <w:spacing w:line="360" w:lineRule="exact"/>
              <w:jc w:val="left"/>
              <w:rPr>
                <w:rFonts w:hint="eastAsia" w:ascii="仿宋" w:hAnsi="仿宋" w:eastAsia="仿宋"/>
                <w:color w:val="auto"/>
              </w:rPr>
            </w:pPr>
            <w:r>
              <w:rPr>
                <w:rFonts w:hint="eastAsia" w:ascii="仿宋" w:hAnsi="仿宋" w:eastAsia="仿宋"/>
                <w:color w:val="auto"/>
              </w:rPr>
              <w:t>不存</w:t>
            </w:r>
            <w:r>
              <w:rPr>
                <w:rFonts w:ascii="仿宋" w:hAnsi="仿宋" w:eastAsia="仿宋"/>
                <w:color w:val="auto"/>
              </w:rPr>
              <w:t>在</w:t>
            </w:r>
            <w:r>
              <w:rPr>
                <w:rFonts w:hint="eastAsia" w:ascii="仿宋" w:hAnsi="仿宋" w:eastAsia="仿宋"/>
                <w:color w:val="auto"/>
              </w:rPr>
              <w:t>投标人须知第1.4.3项的情形；</w:t>
            </w:r>
          </w:p>
          <w:p>
            <w:pPr>
              <w:numPr>
                <w:ilvl w:val="0"/>
                <w:numId w:val="2"/>
              </w:numPr>
              <w:spacing w:line="360" w:lineRule="exact"/>
              <w:jc w:val="left"/>
              <w:rPr>
                <w:rFonts w:hint="eastAsia" w:ascii="仿宋" w:hAnsi="仿宋" w:eastAsia="仿宋"/>
                <w:color w:val="auto"/>
              </w:rPr>
            </w:pPr>
            <w:r>
              <w:rPr>
                <w:rFonts w:hint="eastAsia" w:ascii="仿宋" w:hAnsi="仿宋" w:eastAsia="仿宋"/>
                <w:color w:val="auto"/>
              </w:rPr>
              <w:t>近三年（自</w:t>
            </w:r>
            <w:bookmarkStart w:id="7" w:name="EBcd72796a59fa44bf94705b9f95e4fbc5"/>
            <w:r>
              <w:rPr>
                <w:rFonts w:hint="eastAsia" w:ascii="仿宋" w:hAnsi="仿宋" w:eastAsia="仿宋"/>
                <w:color w:val="auto"/>
                <w:u w:val="single"/>
              </w:rPr>
              <w:t>20</w:t>
            </w:r>
            <w:bookmarkEnd w:id="7"/>
            <w:r>
              <w:rPr>
                <w:rFonts w:hint="eastAsia" w:ascii="仿宋" w:hAnsi="仿宋" w:eastAsia="仿宋"/>
                <w:color w:val="auto"/>
                <w:u w:val="single"/>
              </w:rPr>
              <w:t>16</w:t>
            </w:r>
            <w:r>
              <w:rPr>
                <w:rFonts w:hint="eastAsia" w:ascii="仿宋" w:hAnsi="仿宋" w:eastAsia="仿宋"/>
                <w:color w:val="auto"/>
              </w:rPr>
              <w:t>年</w:t>
            </w:r>
            <w:r>
              <w:rPr>
                <w:rFonts w:hint="eastAsia" w:ascii="仿宋" w:hAnsi="仿宋" w:eastAsia="仿宋"/>
                <w:color w:val="auto"/>
                <w:u w:val="single"/>
              </w:rPr>
              <w:t>1</w:t>
            </w:r>
            <w:r>
              <w:rPr>
                <w:rFonts w:hint="eastAsia" w:ascii="仿宋" w:hAnsi="仿宋" w:eastAsia="仿宋"/>
                <w:color w:val="auto"/>
              </w:rPr>
              <w:t>月</w:t>
            </w:r>
            <w:bookmarkStart w:id="8" w:name="EB7d378067d7044af785934a82ef8433c7"/>
            <w:r>
              <w:rPr>
                <w:rFonts w:hint="eastAsia" w:ascii="仿宋" w:hAnsi="仿宋" w:eastAsia="仿宋"/>
                <w:color w:val="auto"/>
                <w:u w:val="single"/>
              </w:rPr>
              <w:t>1</w:t>
            </w:r>
            <w:bookmarkEnd w:id="8"/>
            <w:r>
              <w:rPr>
                <w:rFonts w:hint="eastAsia" w:ascii="仿宋" w:hAnsi="仿宋" w:eastAsia="仿宋"/>
                <w:color w:val="auto"/>
              </w:rPr>
              <w:t>日以来），投标人无行贿</w:t>
            </w:r>
            <w:r>
              <w:rPr>
                <w:rFonts w:hint="eastAsia" w:ascii="仿宋" w:hAnsi="仿宋" w:eastAsia="仿宋"/>
                <w:bCs/>
                <w:color w:val="auto"/>
                <w:szCs w:val="21"/>
              </w:rPr>
              <w:t>犯罪行为；</w:t>
            </w:r>
          </w:p>
          <w:p>
            <w:pPr>
              <w:spacing w:line="360" w:lineRule="exact"/>
              <w:jc w:val="left"/>
              <w:rPr>
                <w:rFonts w:ascii="仿宋" w:hAnsi="仿宋" w:eastAsia="仿宋"/>
                <w:color w:val="auto"/>
              </w:rPr>
            </w:pPr>
            <w:r>
              <w:rPr>
                <w:rFonts w:hint="eastAsia" w:ascii="仿宋" w:hAnsi="仿宋" w:eastAsia="仿宋"/>
                <w:bCs/>
                <w:color w:val="auto"/>
                <w:szCs w:val="21"/>
              </w:rPr>
              <w:t>3、浙江省交通运输厅最新1年公布的投标人信用等级未被评为D级；或者无浙江省交通运输厅最新1年公布信用等级时，交通运输部最新1年公布的投标人信用等级未被评为D级。</w:t>
            </w:r>
          </w:p>
        </w:tc>
      </w:tr>
    </w:tbl>
    <w:p>
      <w:pPr>
        <w:spacing w:line="360" w:lineRule="auto"/>
        <w:jc w:val="left"/>
        <w:rPr>
          <w:rFonts w:hint="eastAsia" w:ascii="仿宋" w:hAnsi="仿宋" w:eastAsia="仿宋"/>
          <w:color w:val="auto"/>
        </w:rPr>
      </w:pPr>
      <w:r>
        <w:rPr>
          <w:rFonts w:hint="eastAsia" w:ascii="仿宋" w:hAnsi="仿宋" w:eastAsia="仿宋"/>
          <w:color w:val="auto"/>
        </w:rPr>
        <w:t>注：投标人有行贿犯罪行为的认定：</w:t>
      </w:r>
      <w:r>
        <w:rPr>
          <w:rFonts w:hint="eastAsia" w:ascii="仿宋" w:hAnsi="仿宋" w:eastAsia="仿宋"/>
          <w:color w:val="auto"/>
          <w:szCs w:val="21"/>
        </w:rPr>
        <w:t>由投标人自行书面如实填报，隐瞒不报的一经查实作否决投标处理，并视作投标人提供虚假资料，按投标人须知第3.5.8项处理。</w:t>
      </w:r>
    </w:p>
    <w:p>
      <w:pPr>
        <w:pStyle w:val="5"/>
        <w:rPr>
          <w:rFonts w:hint="eastAsia" w:ascii="仿宋" w:hAnsi="仿宋" w:eastAsia="仿宋"/>
          <w:color w:val="auto"/>
        </w:rPr>
      </w:pPr>
      <w:r>
        <w:rPr>
          <w:rFonts w:ascii="仿宋" w:hAnsi="仿宋" w:eastAsia="仿宋"/>
          <w:color w:val="auto"/>
        </w:rPr>
        <w:br w:type="page"/>
      </w:r>
      <w:bookmarkStart w:id="9" w:name="_Toc14715"/>
      <w:r>
        <w:rPr>
          <w:rFonts w:hint="eastAsia" w:ascii="仿宋" w:hAnsi="仿宋" w:eastAsia="仿宋"/>
          <w:color w:val="auto"/>
        </w:rPr>
        <w:t>附录5 资格审查条件（项目经理和项目技术负责人最低要求）</w:t>
      </w:r>
      <w:bookmarkEnd w:id="9"/>
    </w:p>
    <w:tbl>
      <w:tblPr>
        <w:tblStyle w:val="3"/>
        <w:tblW w:w="92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992"/>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6" w:hRule="atLeast"/>
          <w:jc w:val="center"/>
        </w:trPr>
        <w:tc>
          <w:tcPr>
            <w:tcW w:w="1418" w:type="dxa"/>
            <w:noWrap w:val="0"/>
            <w:vAlign w:val="center"/>
          </w:tcPr>
          <w:p>
            <w:pPr>
              <w:spacing w:line="360" w:lineRule="auto"/>
              <w:jc w:val="center"/>
              <w:rPr>
                <w:rFonts w:ascii="仿宋" w:hAnsi="仿宋" w:eastAsia="仿宋"/>
                <w:color w:val="auto"/>
                <w:szCs w:val="21"/>
              </w:rPr>
            </w:pPr>
            <w:r>
              <w:rPr>
                <w:rFonts w:hint="eastAsia" w:ascii="仿宋" w:hAnsi="仿宋" w:eastAsia="仿宋"/>
                <w:color w:val="auto"/>
                <w:szCs w:val="21"/>
              </w:rPr>
              <w:t>人员</w:t>
            </w:r>
          </w:p>
        </w:tc>
        <w:tc>
          <w:tcPr>
            <w:tcW w:w="992" w:type="dxa"/>
            <w:noWrap w:val="0"/>
            <w:vAlign w:val="center"/>
          </w:tcPr>
          <w:p>
            <w:pPr>
              <w:spacing w:line="360" w:lineRule="auto"/>
              <w:jc w:val="center"/>
              <w:rPr>
                <w:rFonts w:ascii="仿宋" w:hAnsi="仿宋" w:eastAsia="仿宋"/>
                <w:color w:val="auto"/>
                <w:szCs w:val="21"/>
              </w:rPr>
            </w:pPr>
            <w:r>
              <w:rPr>
                <w:rFonts w:hint="eastAsia" w:ascii="仿宋" w:hAnsi="仿宋" w:eastAsia="仿宋"/>
                <w:color w:val="auto"/>
                <w:szCs w:val="21"/>
              </w:rPr>
              <w:t>数量</w:t>
            </w:r>
          </w:p>
        </w:tc>
        <w:tc>
          <w:tcPr>
            <w:tcW w:w="6804" w:type="dxa"/>
            <w:noWrap w:val="0"/>
            <w:vAlign w:val="center"/>
          </w:tcPr>
          <w:p>
            <w:pPr>
              <w:spacing w:line="360" w:lineRule="auto"/>
              <w:jc w:val="center"/>
              <w:rPr>
                <w:rFonts w:ascii="仿宋" w:hAnsi="仿宋" w:eastAsia="仿宋"/>
                <w:color w:val="auto"/>
                <w:szCs w:val="21"/>
              </w:rPr>
            </w:pPr>
            <w:r>
              <w:rPr>
                <w:rFonts w:hint="eastAsia" w:ascii="仿宋" w:hAnsi="仿宋" w:eastAsia="仿宋"/>
                <w:color w:val="auto"/>
                <w:szCs w:val="21"/>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268" w:hRule="atLeast"/>
          <w:jc w:val="center"/>
        </w:trPr>
        <w:tc>
          <w:tcPr>
            <w:tcW w:w="1418" w:type="dxa"/>
            <w:noWrap w:val="0"/>
            <w:vAlign w:val="center"/>
          </w:tcPr>
          <w:p>
            <w:pPr>
              <w:spacing w:line="360" w:lineRule="auto"/>
              <w:jc w:val="center"/>
              <w:rPr>
                <w:rFonts w:ascii="仿宋" w:hAnsi="仿宋" w:eastAsia="仿宋"/>
                <w:color w:val="auto"/>
                <w:szCs w:val="21"/>
              </w:rPr>
            </w:pPr>
            <w:r>
              <w:rPr>
                <w:rFonts w:hint="eastAsia" w:ascii="仿宋" w:hAnsi="仿宋" w:eastAsia="仿宋"/>
                <w:color w:val="auto"/>
                <w:szCs w:val="21"/>
              </w:rPr>
              <w:t>项目经理</w:t>
            </w:r>
          </w:p>
        </w:tc>
        <w:tc>
          <w:tcPr>
            <w:tcW w:w="992" w:type="dxa"/>
            <w:noWrap w:val="0"/>
            <w:vAlign w:val="center"/>
          </w:tcPr>
          <w:p>
            <w:pPr>
              <w:spacing w:line="320" w:lineRule="exact"/>
              <w:jc w:val="center"/>
              <w:rPr>
                <w:rFonts w:ascii="仿宋" w:hAnsi="仿宋" w:eastAsia="仿宋"/>
                <w:color w:val="auto"/>
                <w:szCs w:val="21"/>
              </w:rPr>
            </w:pPr>
            <w:r>
              <w:rPr>
                <w:rFonts w:hint="eastAsia" w:ascii="仿宋" w:hAnsi="仿宋" w:eastAsia="仿宋"/>
                <w:color w:val="auto"/>
                <w:szCs w:val="21"/>
              </w:rPr>
              <w:t>1</w:t>
            </w:r>
          </w:p>
        </w:tc>
        <w:tc>
          <w:tcPr>
            <w:tcW w:w="6804" w:type="dxa"/>
            <w:noWrap w:val="0"/>
            <w:vAlign w:val="center"/>
          </w:tcPr>
          <w:p>
            <w:pPr>
              <w:spacing w:line="360" w:lineRule="exact"/>
              <w:jc w:val="left"/>
              <w:rPr>
                <w:rFonts w:hint="eastAsia" w:ascii="仿宋" w:hAnsi="仿宋" w:eastAsia="仿宋"/>
                <w:bCs/>
                <w:color w:val="auto"/>
                <w:szCs w:val="21"/>
              </w:rPr>
            </w:pPr>
            <w:r>
              <w:rPr>
                <w:rFonts w:hint="eastAsia" w:ascii="仿宋" w:hAnsi="仿宋" w:eastAsia="仿宋"/>
                <w:color w:val="auto"/>
                <w:szCs w:val="21"/>
              </w:rPr>
              <w:t>1、</w:t>
            </w:r>
            <w:r>
              <w:rPr>
                <w:rFonts w:hint="eastAsia" w:ascii="仿宋" w:hAnsi="仿宋" w:eastAsia="仿宋"/>
                <w:color w:val="auto"/>
              </w:rPr>
              <w:t>担任过</w:t>
            </w:r>
            <w:r>
              <w:rPr>
                <w:rFonts w:hint="eastAsia" w:ascii="仿宋" w:hAnsi="仿宋" w:eastAsia="仿宋"/>
                <w:color w:val="auto"/>
                <w:u w:val="single"/>
              </w:rPr>
              <w:t>300吨级（含）及以上新（改、扩）建内河码头工程</w:t>
            </w:r>
            <w:r>
              <w:rPr>
                <w:rFonts w:hint="eastAsia" w:ascii="仿宋" w:hAnsi="仿宋" w:eastAsia="仿宋"/>
                <w:color w:val="auto"/>
                <w:kern w:val="0"/>
                <w:szCs w:val="21"/>
              </w:rPr>
              <w:t>施工</w:t>
            </w:r>
            <w:r>
              <w:rPr>
                <w:rFonts w:hint="eastAsia" w:ascii="仿宋" w:hAnsi="仿宋" w:eastAsia="仿宋"/>
                <w:color w:val="auto"/>
              </w:rPr>
              <w:t>的项目经理（或</w:t>
            </w:r>
            <w:r>
              <w:rPr>
                <w:rFonts w:hint="eastAsia" w:ascii="仿宋" w:hAnsi="仿宋" w:eastAsia="仿宋"/>
                <w:bCs/>
                <w:color w:val="auto"/>
                <w:szCs w:val="21"/>
              </w:rPr>
              <w:t>项目副经理或项目技术负责人），具有</w:t>
            </w:r>
            <w:bookmarkStart w:id="10" w:name="EB5d1204218f804fe1a475fa58a7495f3a"/>
            <w:r>
              <w:rPr>
                <w:rFonts w:hint="eastAsia" w:ascii="仿宋" w:hAnsi="仿宋" w:eastAsia="仿宋"/>
                <w:bCs/>
                <w:color w:val="auto"/>
                <w:szCs w:val="21"/>
                <w:u w:val="single"/>
              </w:rPr>
              <w:t>港口与航道一级</w:t>
            </w:r>
            <w:bookmarkEnd w:id="10"/>
            <w:r>
              <w:rPr>
                <w:rFonts w:hint="eastAsia" w:ascii="仿宋" w:hAnsi="仿宋" w:eastAsia="仿宋"/>
                <w:bCs/>
                <w:color w:val="auto"/>
                <w:szCs w:val="21"/>
                <w:u w:val="single"/>
              </w:rPr>
              <w:t>注册建造师</w:t>
            </w:r>
            <w:r>
              <w:rPr>
                <w:rFonts w:hint="eastAsia" w:ascii="仿宋" w:hAnsi="仿宋" w:eastAsia="仿宋"/>
                <w:bCs/>
                <w:color w:val="auto"/>
                <w:szCs w:val="21"/>
              </w:rPr>
              <w:t>证书（含经延续注册的临时执业证书），</w:t>
            </w:r>
            <w:bookmarkStart w:id="11" w:name="EB9e8e0ffa7a264cc795bc9acb9569ba65"/>
            <w:r>
              <w:rPr>
                <w:rFonts w:hint="eastAsia" w:ascii="仿宋" w:hAnsi="仿宋" w:eastAsia="仿宋"/>
                <w:bCs/>
                <w:color w:val="auto"/>
                <w:szCs w:val="21"/>
                <w:u w:val="single"/>
              </w:rPr>
              <w:t>工程师及以上</w:t>
            </w:r>
            <w:bookmarkEnd w:id="11"/>
            <w:r>
              <w:rPr>
                <w:rFonts w:hint="eastAsia" w:ascii="仿宋" w:hAnsi="仿宋" w:eastAsia="仿宋"/>
                <w:bCs/>
                <w:color w:val="auto"/>
                <w:szCs w:val="21"/>
              </w:rPr>
              <w:t>技术职称，并有有效期内的建筑施工企业项目负责人安全生产考核合格证书（B类）；</w:t>
            </w:r>
          </w:p>
          <w:p>
            <w:pPr>
              <w:spacing w:line="360" w:lineRule="exact"/>
              <w:jc w:val="left"/>
              <w:rPr>
                <w:rFonts w:hint="eastAsia" w:ascii="仿宋" w:hAnsi="仿宋" w:eastAsia="仿宋"/>
                <w:bCs/>
                <w:color w:val="auto"/>
                <w:szCs w:val="21"/>
              </w:rPr>
            </w:pPr>
            <w:r>
              <w:rPr>
                <w:rFonts w:hint="eastAsia" w:ascii="仿宋" w:hAnsi="仿宋" w:eastAsia="仿宋"/>
                <w:bCs/>
                <w:color w:val="auto"/>
                <w:szCs w:val="21"/>
              </w:rPr>
              <w:t>2、拟委任项目经理未在其他在建合同工程中任项目经理；</w:t>
            </w:r>
          </w:p>
          <w:p>
            <w:pPr>
              <w:spacing w:line="360" w:lineRule="exact"/>
              <w:jc w:val="left"/>
              <w:rPr>
                <w:rFonts w:hint="eastAsia" w:ascii="仿宋" w:hAnsi="仿宋" w:eastAsia="仿宋"/>
                <w:bCs/>
                <w:color w:val="auto"/>
                <w:szCs w:val="21"/>
              </w:rPr>
            </w:pPr>
            <w:r>
              <w:rPr>
                <w:rFonts w:hint="eastAsia" w:ascii="仿宋" w:hAnsi="仿宋" w:eastAsia="仿宋"/>
                <w:bCs/>
                <w:color w:val="auto"/>
                <w:szCs w:val="21"/>
              </w:rPr>
              <w:t xml:space="preserve">3、项目经理的建造师注册证书和安全生产考核合格证书中的聘用企业名称应与投标人名称一致； </w:t>
            </w:r>
          </w:p>
          <w:p>
            <w:pPr>
              <w:spacing w:line="360" w:lineRule="exact"/>
              <w:jc w:val="left"/>
              <w:rPr>
                <w:rFonts w:ascii="仿宋" w:hAnsi="仿宋" w:eastAsia="仿宋"/>
                <w:color w:val="auto"/>
              </w:rPr>
            </w:pPr>
            <w:r>
              <w:rPr>
                <w:rFonts w:hint="eastAsia" w:ascii="仿宋" w:hAnsi="仿宋" w:eastAsia="仿宋"/>
                <w:bCs/>
                <w:color w:val="auto"/>
                <w:szCs w:val="21"/>
              </w:rPr>
              <w:t>4、近三年（自</w:t>
            </w:r>
            <w:bookmarkStart w:id="12" w:name="EB31a6f12b1cd943f8914051d89714b892"/>
            <w:r>
              <w:rPr>
                <w:rFonts w:hint="eastAsia" w:ascii="仿宋" w:hAnsi="仿宋" w:eastAsia="仿宋"/>
                <w:bCs/>
                <w:color w:val="auto"/>
                <w:szCs w:val="21"/>
              </w:rPr>
              <w:t>20</w:t>
            </w:r>
            <w:bookmarkEnd w:id="12"/>
            <w:r>
              <w:rPr>
                <w:rFonts w:hint="eastAsia" w:ascii="仿宋" w:hAnsi="仿宋" w:eastAsia="仿宋"/>
                <w:bCs/>
                <w:color w:val="auto"/>
                <w:szCs w:val="21"/>
              </w:rPr>
              <w:t>16年1月</w:t>
            </w:r>
            <w:bookmarkStart w:id="13" w:name="EB5748a399b6904c4eb5ed3a4bfe850990"/>
            <w:r>
              <w:rPr>
                <w:rFonts w:hint="eastAsia" w:ascii="仿宋" w:hAnsi="仿宋" w:eastAsia="仿宋"/>
                <w:bCs/>
                <w:color w:val="auto"/>
                <w:szCs w:val="21"/>
              </w:rPr>
              <w:t>1</w:t>
            </w:r>
            <w:bookmarkEnd w:id="13"/>
            <w:r>
              <w:rPr>
                <w:rFonts w:hint="eastAsia" w:ascii="仿宋" w:hAnsi="仿宋" w:eastAsia="仿宋"/>
                <w:bCs/>
                <w:color w:val="auto"/>
                <w:szCs w:val="21"/>
              </w:rPr>
              <w:t>日以来），拟委任项目经理无行贿犯罪行为。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center"/>
        </w:trPr>
        <w:tc>
          <w:tcPr>
            <w:tcW w:w="1418" w:type="dxa"/>
            <w:noWrap w:val="0"/>
            <w:vAlign w:val="center"/>
          </w:tcPr>
          <w:p>
            <w:pPr>
              <w:spacing w:line="360" w:lineRule="auto"/>
              <w:jc w:val="center"/>
              <w:rPr>
                <w:rFonts w:hint="eastAsia" w:ascii="仿宋" w:hAnsi="仿宋" w:eastAsia="仿宋"/>
                <w:color w:val="auto"/>
                <w:szCs w:val="21"/>
              </w:rPr>
            </w:pPr>
            <w:r>
              <w:rPr>
                <w:rFonts w:hint="eastAsia" w:ascii="仿宋" w:hAnsi="仿宋" w:eastAsia="仿宋"/>
                <w:color w:val="auto"/>
                <w:szCs w:val="21"/>
              </w:rPr>
              <w:t>项目技术</w:t>
            </w:r>
          </w:p>
          <w:p>
            <w:pPr>
              <w:spacing w:line="360" w:lineRule="auto"/>
              <w:jc w:val="center"/>
              <w:rPr>
                <w:rFonts w:hint="eastAsia" w:ascii="仿宋" w:hAnsi="仿宋" w:eastAsia="仿宋"/>
                <w:color w:val="auto"/>
                <w:szCs w:val="21"/>
              </w:rPr>
            </w:pPr>
            <w:r>
              <w:rPr>
                <w:rFonts w:hint="eastAsia" w:ascii="仿宋" w:hAnsi="仿宋" w:eastAsia="仿宋"/>
                <w:color w:val="auto"/>
                <w:szCs w:val="21"/>
              </w:rPr>
              <w:t>负责人</w:t>
            </w:r>
          </w:p>
        </w:tc>
        <w:tc>
          <w:tcPr>
            <w:tcW w:w="992" w:type="dxa"/>
            <w:noWrap w:val="0"/>
            <w:vAlign w:val="center"/>
          </w:tcPr>
          <w:p>
            <w:pPr>
              <w:spacing w:line="360" w:lineRule="auto"/>
              <w:jc w:val="center"/>
              <w:rPr>
                <w:rFonts w:ascii="仿宋" w:hAnsi="仿宋" w:eastAsia="仿宋"/>
                <w:color w:val="auto"/>
                <w:szCs w:val="21"/>
              </w:rPr>
            </w:pPr>
            <w:r>
              <w:rPr>
                <w:rFonts w:hint="eastAsia" w:ascii="仿宋" w:hAnsi="仿宋" w:eastAsia="仿宋"/>
                <w:color w:val="auto"/>
                <w:szCs w:val="21"/>
              </w:rPr>
              <w:t>1</w:t>
            </w:r>
          </w:p>
        </w:tc>
        <w:tc>
          <w:tcPr>
            <w:tcW w:w="6804" w:type="dxa"/>
            <w:noWrap w:val="0"/>
            <w:vAlign w:val="center"/>
          </w:tcPr>
          <w:p>
            <w:pPr>
              <w:spacing w:line="360" w:lineRule="exact"/>
              <w:jc w:val="left"/>
              <w:rPr>
                <w:rFonts w:hint="eastAsia" w:ascii="仿宋" w:hAnsi="仿宋" w:eastAsia="仿宋"/>
                <w:bCs/>
                <w:color w:val="auto"/>
                <w:szCs w:val="21"/>
              </w:rPr>
            </w:pPr>
            <w:bookmarkStart w:id="14" w:name="EBb21e18fb65ac4c3398e3056bcfd2a368"/>
            <w:r>
              <w:rPr>
                <w:rFonts w:hint="eastAsia" w:ascii="仿宋" w:hAnsi="仿宋" w:eastAsia="仿宋"/>
                <w:color w:val="auto"/>
                <w:spacing w:val="-4"/>
              </w:rPr>
              <w:t>1、具有</w:t>
            </w:r>
            <w:r>
              <w:rPr>
                <w:rFonts w:hint="eastAsia" w:ascii="仿宋" w:hAnsi="仿宋" w:eastAsia="仿宋"/>
                <w:color w:val="auto"/>
                <w:u w:val="single"/>
              </w:rPr>
              <w:t>工程师及以上</w:t>
            </w:r>
            <w:bookmarkEnd w:id="14"/>
            <w:r>
              <w:rPr>
                <w:rFonts w:hint="eastAsia" w:ascii="仿宋" w:hAnsi="仿宋" w:eastAsia="仿宋"/>
                <w:color w:val="auto"/>
              </w:rPr>
              <w:t>技术职称，并有有</w:t>
            </w:r>
            <w:r>
              <w:rPr>
                <w:rFonts w:ascii="仿宋" w:hAnsi="仿宋" w:eastAsia="仿宋"/>
                <w:color w:val="auto"/>
              </w:rPr>
              <w:t>效期内的</w:t>
            </w:r>
            <w:r>
              <w:rPr>
                <w:rFonts w:hint="eastAsia" w:ascii="仿宋" w:hAnsi="仿宋" w:eastAsia="仿宋"/>
                <w:color w:val="auto"/>
              </w:rPr>
              <w:t>建筑施工企业项目</w:t>
            </w:r>
            <w:r>
              <w:rPr>
                <w:rFonts w:hint="eastAsia" w:ascii="仿宋" w:hAnsi="仿宋" w:eastAsia="仿宋"/>
                <w:bCs/>
                <w:color w:val="auto"/>
                <w:szCs w:val="21"/>
              </w:rPr>
              <w:t>负责人安全生产考核合格证书（B类）；</w:t>
            </w:r>
          </w:p>
          <w:p>
            <w:pPr>
              <w:spacing w:line="360" w:lineRule="exact"/>
              <w:jc w:val="left"/>
              <w:rPr>
                <w:rFonts w:hint="eastAsia" w:ascii="仿宋" w:hAnsi="仿宋" w:eastAsia="仿宋"/>
                <w:color w:val="auto"/>
                <w:szCs w:val="21"/>
              </w:rPr>
            </w:pPr>
            <w:r>
              <w:rPr>
                <w:rFonts w:hint="eastAsia" w:ascii="仿宋" w:hAnsi="仿宋" w:eastAsia="仿宋"/>
                <w:bCs/>
                <w:color w:val="auto"/>
                <w:szCs w:val="21"/>
              </w:rPr>
              <w:t>2、项目技术负责人的安全生产考核合格证书中的聘用企业名称应与投标人名称一致。</w:t>
            </w:r>
          </w:p>
        </w:tc>
      </w:tr>
    </w:tbl>
    <w:p>
      <w:pPr>
        <w:spacing w:line="400" w:lineRule="exact"/>
        <w:rPr>
          <w:rFonts w:hint="eastAsia" w:ascii="仿宋" w:hAnsi="仿宋" w:eastAsia="仿宋"/>
          <w:color w:val="auto"/>
          <w:szCs w:val="21"/>
        </w:rPr>
      </w:pPr>
      <w:r>
        <w:rPr>
          <w:rFonts w:hint="eastAsia" w:ascii="仿宋" w:hAnsi="仿宋" w:eastAsia="仿宋"/>
          <w:color w:val="auto"/>
          <w:szCs w:val="21"/>
        </w:rPr>
        <w:t>注：1.拟委任的项目经理有行贿犯罪行为的认定：由投标人自行书面如实填报，隐瞒不报的一经查实作否决投标处理，并视作投标人提供虚假资料，按投标人须知第3.5.8项处理。</w:t>
      </w:r>
    </w:p>
    <w:p>
      <w:pPr>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2. 在建合同工程的开始时间为该合同工程中标通知书发出之日（不通过招标方式的，开始时间为合同签订之日），结束时间为该合同工程通过交工验收或合同解除之日。</w:t>
      </w:r>
    </w:p>
    <w:p>
      <w:pPr>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3. 拟委任项目经理是否有“在建合同工程”按以下原则认定：</w:t>
      </w:r>
    </w:p>
    <w:p>
      <w:pPr>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(1)若该合同工程协议书尚未签订，则其中标通知书中明确的项目经理视为有“在建合同工程”；</w:t>
      </w:r>
    </w:p>
    <w:p>
      <w:pPr>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(2)若该合同工程协议书已签订的，则仅合同协议书中明确的项目经理视为有“在建合同工程”。</w:t>
      </w:r>
    </w:p>
    <w:p>
      <w:pPr>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(3)该合同工程未通过验收或合同解除前，合同协议书中明确的项目经理已经更换的，则现任项目经理视为有“在建合同工程”，同时应在投标文件中附该合同工程项目发包人的同意更换证明材料，否则更换前后的项目经理均视为有“在建合同工程”。</w:t>
      </w:r>
    </w:p>
    <w:p>
      <w:pPr>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4. “在建合同工程”范围：包括在中华人民共和国境内所有建设工程，不受地域、行业和投资性质的限制。</w:t>
      </w:r>
    </w:p>
    <w:p>
      <w:pPr>
        <w:spacing w:line="400" w:lineRule="exact"/>
        <w:ind w:firstLine="420" w:firstLineChars="200"/>
        <w:rPr>
          <w:rFonts w:hint="eastAsia" w:ascii="仿宋" w:hAnsi="仿宋" w:eastAsia="仿宋"/>
          <w:color w:val="auto"/>
          <w:szCs w:val="21"/>
        </w:rPr>
      </w:pPr>
      <w:r>
        <w:rPr>
          <w:rFonts w:hint="eastAsia" w:ascii="仿宋" w:hAnsi="仿宋" w:eastAsia="仿宋"/>
          <w:color w:val="auto"/>
          <w:szCs w:val="21"/>
        </w:rPr>
        <w:t>5. 投标人主要管理人员中项目经理的职称信息、建造师注册证信息、安全生产考核合格证书信息以及项目技术负责人的职称证信息、安全生产考核合格证书信息在浙江省交通运输厅建设市场诚信信息系统中已全部公开的，可在诚信信息系统统一一览表后提供含有该系统水印的《主要人员信息一览表》截图。</w:t>
      </w:r>
    </w:p>
    <w:p>
      <w:bookmarkStart w:id="15" w:name="_GoBack"/>
      <w:bookmarkEnd w:id="1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A596B0"/>
    <w:multiLevelType w:val="singleLevel"/>
    <w:tmpl w:val="EAA596B0"/>
    <w:lvl w:ilvl="0" w:tentative="0">
      <w:start w:val="1"/>
      <w:numFmt w:val="decimal"/>
      <w:suff w:val="nothing"/>
      <w:lvlText w:val="%1、"/>
      <w:lvlJc w:val="left"/>
    </w:lvl>
  </w:abstractNum>
  <w:abstractNum w:abstractNumId="1">
    <w:nsid w:val="3D6FC403"/>
    <w:multiLevelType w:val="singleLevel"/>
    <w:tmpl w:val="3D6FC403"/>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A643C4"/>
    <w:rsid w:val="1AA643C4"/>
    <w:rsid w:val="7D3250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5">
    <w:name w:val="样式3"/>
    <w:basedOn w:val="2"/>
    <w:uiPriority w:val="0"/>
    <w:pPr>
      <w:spacing w:before="120" w:after="0"/>
      <w:jc w:val="center"/>
    </w:pPr>
    <w:rPr>
      <w:rFonts w:eastAsia="黑体"/>
      <w:b w:val="0"/>
      <w:sz w:val="30"/>
      <w:szCs w:val="30"/>
    </w:rPr>
  </w:style>
  <w:style w:type="paragraph" w:customStyle="1" w:styleId="6">
    <w:name w:val="正文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潮州市直及下属单位</Company>
  <Pages>1</Pages>
  <Words>0</Words>
  <Characters>0</Characters>
  <Lines>0</Lines>
  <Paragraphs>0</Paragraphs>
  <TotalTime>0</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2019-03-08T02:07:00Z</dcterms:created>
  <dc:creator>阿文</dc:creator>
  <cp:lastModifiedBy>阿文</cp:lastModifiedBy>
  <dcterms:modified xsi:type="dcterms:W3CDTF">2019-03-08T02:07:45Z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